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0" w:rsidRPr="00E93E80" w:rsidRDefault="00553F52" w:rsidP="001F3C83">
      <w:pPr>
        <w:ind w:right="1317"/>
        <w:jc w:val="center"/>
      </w:pPr>
      <w:r>
        <w:rPr>
          <w:noProof/>
          <w:lang w:val="en-GB"/>
        </w:rPr>
        <w:drawing>
          <wp:anchor distT="0" distB="0" distL="114300" distR="114300" simplePos="0" relativeHeight="251657728" behindDoc="1" locked="0" layoutInCell="1" allowOverlap="0">
            <wp:simplePos x="0" y="0"/>
            <wp:positionH relativeFrom="column">
              <wp:align>left</wp:align>
            </wp:positionH>
            <wp:positionV relativeFrom="paragraph">
              <wp:posOffset>-510540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 NATIONAL DETACHE A LA COMMISSION EUROPEENNE</w:t>
      </w:r>
    </w:p>
    <w:p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59779D"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454010" w:rsidRPr="0059779D" w:rsidRDefault="00A610E3" w:rsidP="00454010">
            <w:pPr>
              <w:spacing w:before="120"/>
              <w:ind w:right="1315"/>
              <w:jc w:val="both"/>
              <w:rPr>
                <w:b/>
              </w:rPr>
            </w:pPr>
            <w:r>
              <w:rPr>
                <w:b/>
              </w:rPr>
              <w:t>CNECT-I-2</w:t>
            </w:r>
          </w:p>
        </w:tc>
      </w:tr>
      <w:tr w:rsidR="00A766A4" w:rsidRPr="0059779D" w:rsidTr="000D6BA8">
        <w:trPr>
          <w:gridAfter w:val="1"/>
          <w:wAfter w:w="14"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r w:rsidRPr="009D324E">
              <w:rPr>
                <w:b/>
                <w:sz w:val="22"/>
                <w:szCs w:val="22"/>
              </w:rPr>
              <w:t>Chef d’unité :</w:t>
            </w:r>
          </w:p>
          <w:p w:rsidR="00A766A4" w:rsidRPr="009D324E" w:rsidRDefault="00A766A4" w:rsidP="0059779D">
            <w:pPr>
              <w:tabs>
                <w:tab w:val="left" w:pos="1697"/>
              </w:tabs>
              <w:ind w:right="-1739"/>
              <w:jc w:val="both"/>
              <w:rPr>
                <w:b/>
                <w:sz w:val="22"/>
                <w:szCs w:val="22"/>
              </w:rPr>
            </w:pPr>
            <w:r w:rsidRPr="009D324E">
              <w:rPr>
                <w:b/>
                <w:sz w:val="22"/>
                <w:szCs w:val="22"/>
              </w:rPr>
              <w:t>Adresse e-mail :</w:t>
            </w:r>
          </w:p>
          <w:p w:rsidR="00A766A4" w:rsidRPr="009D324E" w:rsidRDefault="00A766A4" w:rsidP="0059779D">
            <w:pPr>
              <w:tabs>
                <w:tab w:val="left" w:pos="1697"/>
              </w:tabs>
              <w:ind w:right="-1739"/>
              <w:jc w:val="both"/>
              <w:rPr>
                <w:b/>
                <w:sz w:val="22"/>
                <w:szCs w:val="22"/>
              </w:rPr>
            </w:pPr>
            <w:r w:rsidRPr="009D324E">
              <w:rPr>
                <w:b/>
                <w:sz w:val="22"/>
                <w:szCs w:val="22"/>
              </w:rPr>
              <w:t>Téléphone :</w:t>
            </w:r>
          </w:p>
          <w:p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rsidR="00A766A4" w:rsidRPr="003B5F6F" w:rsidRDefault="00A610E3" w:rsidP="0059779D">
            <w:pPr>
              <w:ind w:right="1317"/>
              <w:jc w:val="both"/>
              <w:rPr>
                <w:b/>
                <w:sz w:val="22"/>
                <w:szCs w:val="22"/>
                <w:lang w:val="es-ES"/>
              </w:rPr>
            </w:pPr>
            <w:r w:rsidRPr="003B5F6F">
              <w:rPr>
                <w:b/>
                <w:sz w:val="22"/>
                <w:szCs w:val="22"/>
                <w:lang w:val="es-ES"/>
              </w:rPr>
              <w:t>Marco GIORELLO</w:t>
            </w:r>
          </w:p>
          <w:p w:rsidR="00F351F4" w:rsidRPr="003B5F6F" w:rsidRDefault="007662D5" w:rsidP="0059779D">
            <w:pPr>
              <w:ind w:right="1317"/>
              <w:jc w:val="both"/>
              <w:rPr>
                <w:b/>
                <w:sz w:val="22"/>
                <w:szCs w:val="22"/>
                <w:lang w:val="es-ES"/>
              </w:rPr>
            </w:pPr>
            <w:hyperlink r:id="rId10" w:history="1">
              <w:r w:rsidR="00A610E3" w:rsidRPr="003B5F6F">
                <w:rPr>
                  <w:rStyle w:val="Hyperlink"/>
                  <w:b/>
                  <w:sz w:val="22"/>
                  <w:szCs w:val="22"/>
                  <w:lang w:val="es-ES"/>
                </w:rPr>
                <w:t>Marco.Giorello@ec.europa.eu</w:t>
              </w:r>
            </w:hyperlink>
          </w:p>
          <w:p w:rsidR="00482CE4" w:rsidRPr="00A610E3" w:rsidRDefault="00A610E3" w:rsidP="0059779D">
            <w:pPr>
              <w:ind w:right="1317"/>
              <w:jc w:val="both"/>
              <w:rPr>
                <w:b/>
                <w:sz w:val="22"/>
                <w:szCs w:val="22"/>
                <w:lang w:val="en-GB"/>
              </w:rPr>
            </w:pPr>
            <w:r>
              <w:rPr>
                <w:b/>
                <w:sz w:val="22"/>
                <w:szCs w:val="22"/>
                <w:lang w:val="en-GB"/>
              </w:rPr>
              <w:t>+32-2-29.69563</w:t>
            </w:r>
          </w:p>
          <w:p w:rsidR="00A766A4" w:rsidRPr="00A610E3" w:rsidRDefault="00A610E3" w:rsidP="0059779D">
            <w:pPr>
              <w:ind w:left="34" w:right="1317"/>
              <w:jc w:val="both"/>
              <w:rPr>
                <w:b/>
                <w:sz w:val="22"/>
                <w:szCs w:val="22"/>
                <w:lang w:val="en-GB"/>
              </w:rPr>
            </w:pPr>
            <w:r>
              <w:rPr>
                <w:b/>
                <w:sz w:val="22"/>
                <w:szCs w:val="22"/>
                <w:lang w:val="en-GB"/>
              </w:rPr>
              <w:t>1</w:t>
            </w:r>
          </w:p>
          <w:p w:rsidR="00A766A4" w:rsidRPr="009D324E" w:rsidRDefault="00A610E3" w:rsidP="0059779D">
            <w:pPr>
              <w:ind w:left="34" w:right="1317"/>
              <w:jc w:val="both"/>
              <w:rPr>
                <w:b/>
                <w:sz w:val="22"/>
                <w:szCs w:val="22"/>
                <w:lang w:val="fr-FR"/>
              </w:rPr>
            </w:pPr>
            <w:r>
              <w:rPr>
                <w:b/>
                <w:sz w:val="22"/>
                <w:szCs w:val="22"/>
              </w:rPr>
              <w:t>3</w:t>
            </w:r>
            <w:r w:rsidRPr="00A610E3">
              <w:rPr>
                <w:b/>
                <w:sz w:val="22"/>
                <w:szCs w:val="22"/>
                <w:vertAlign w:val="superscript"/>
              </w:rPr>
              <w:t>ème</w:t>
            </w:r>
            <w:r>
              <w:rPr>
                <w:b/>
                <w:sz w:val="22"/>
                <w:szCs w:val="22"/>
              </w:rPr>
              <w:t xml:space="preserve"> t</w:t>
            </w:r>
            <w:r w:rsidR="00A766A4" w:rsidRPr="009D324E">
              <w:rPr>
                <w:b/>
                <w:sz w:val="22"/>
                <w:szCs w:val="22"/>
              </w:rPr>
              <w:t>rimestre 201</w:t>
            </w:r>
            <w:r w:rsidR="00A766A4">
              <w:rPr>
                <w:b/>
                <w:sz w:val="22"/>
                <w:szCs w:val="22"/>
              </w:rPr>
              <w:t>9</w:t>
            </w:r>
            <w:r w:rsidR="00A766A4" w:rsidRPr="009D324E">
              <w:rPr>
                <w:b/>
                <w:sz w:val="22"/>
                <w:szCs w:val="22"/>
                <w:lang w:val="fr-FR"/>
              </w:rPr>
              <w:t xml:space="preserve"> </w:t>
            </w:r>
            <w:r w:rsidR="00A766A4" w:rsidRPr="009D324E">
              <w:rPr>
                <w:rStyle w:val="FootnoteReference"/>
                <w:b/>
                <w:sz w:val="22"/>
                <w:szCs w:val="22"/>
              </w:rPr>
              <w:footnoteReference w:id="1"/>
            </w:r>
          </w:p>
          <w:p w:rsidR="00A766A4" w:rsidRPr="009D324E" w:rsidRDefault="00A610E3" w:rsidP="001653AB">
            <w:pPr>
              <w:ind w:right="1317"/>
              <w:jc w:val="both"/>
              <w:rPr>
                <w:b/>
                <w:sz w:val="22"/>
                <w:szCs w:val="22"/>
                <w:lang w:val="fr-FR"/>
              </w:rPr>
            </w:pPr>
            <w:r>
              <w:rPr>
                <w:rStyle w:val="FootnoteReference"/>
                <w:b/>
                <w:sz w:val="22"/>
                <w:szCs w:val="22"/>
                <w:vertAlign w:val="baseline"/>
                <w:lang w:val="fr-FR"/>
              </w:rPr>
              <w:t>2</w:t>
            </w:r>
            <w:r w:rsidR="00A766A4" w:rsidRPr="009D324E">
              <w:rPr>
                <w:rStyle w:val="FootnoteReference"/>
                <w:b/>
                <w:sz w:val="22"/>
                <w:szCs w:val="22"/>
                <w:vertAlign w:val="baseline"/>
                <w:lang w:val="fr-FR"/>
              </w:rPr>
              <w:t xml:space="preserve"> an(s</w:t>
            </w:r>
            <w:r w:rsidR="00A766A4" w:rsidRPr="009D324E">
              <w:rPr>
                <w:rStyle w:val="FootnoteReference"/>
                <w:b/>
                <w:sz w:val="22"/>
                <w:szCs w:val="22"/>
                <w:lang w:val="fr-FR"/>
              </w:rPr>
              <w:t>)1</w:t>
            </w:r>
          </w:p>
          <w:p w:rsidR="00A766A4" w:rsidRPr="009D324E" w:rsidRDefault="00A610E3" w:rsidP="00A610E3">
            <w:pPr>
              <w:tabs>
                <w:tab w:val="left" w:pos="1593"/>
              </w:tabs>
              <w:ind w:right="627"/>
              <w:rPr>
                <w:b/>
              </w:rPr>
            </w:pPr>
            <w:r w:rsidRPr="00A610E3">
              <w:rPr>
                <w:rFonts w:eastAsia="MS Minngs"/>
                <w:b/>
                <w:bCs/>
                <w:sz w:val="22"/>
                <w:szCs w:val="22"/>
                <w:lang w:val="fr-FR"/>
              </w:rPr>
              <w:sym w:font="Wingdings 2" w:char="F053"/>
            </w:r>
            <w:r w:rsidR="00A766A4">
              <w:rPr>
                <w:rFonts w:eastAsia="MS Minngs"/>
                <w:bCs/>
                <w:sz w:val="22"/>
                <w:szCs w:val="22"/>
                <w:lang w:val="fr-FR"/>
              </w:rPr>
              <w:t xml:space="preserve"> </w:t>
            </w:r>
            <w:r w:rsidR="00A766A4" w:rsidRPr="009D324E">
              <w:rPr>
                <w:b/>
                <w:sz w:val="22"/>
                <w:szCs w:val="22"/>
              </w:rPr>
              <w:t>Bruxelles</w:t>
            </w:r>
            <w:r w:rsidR="00A766A4">
              <w:rPr>
                <w:b/>
                <w:sz w:val="22"/>
                <w:szCs w:val="22"/>
              </w:rPr>
              <w:t xml:space="preserve">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b/>
                <w:sz w:val="22"/>
                <w:szCs w:val="22"/>
              </w:rPr>
              <w:t xml:space="preserve">Luxembourg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rFonts w:eastAsia="MS Minngs"/>
                <w:bCs/>
                <w:sz w:val="22"/>
                <w:szCs w:val="22"/>
                <w:lang w:val="fr-FR"/>
              </w:rPr>
              <w:t>A</w:t>
            </w:r>
            <w:proofErr w:type="spellStart"/>
            <w:r w:rsidR="00A766A4" w:rsidRPr="009D324E">
              <w:rPr>
                <w:b/>
                <w:sz w:val="22"/>
                <w:szCs w:val="22"/>
              </w:rPr>
              <w:t>utre</w:t>
            </w:r>
            <w:proofErr w:type="spellEnd"/>
            <w:r w:rsidR="00A766A4">
              <w:rPr>
                <w:b/>
                <w:sz w:val="22"/>
                <w:szCs w:val="22"/>
              </w:rPr>
              <w:t xml:space="preserve">: </w:t>
            </w:r>
            <w:r w:rsidR="00A766A4" w:rsidRPr="009D324E">
              <w:rPr>
                <w:b/>
                <w:sz w:val="22"/>
                <w:szCs w:val="22"/>
              </w:rPr>
              <w:t>……</w:t>
            </w:r>
            <w:r w:rsidR="00F351F4">
              <w:rPr>
                <w:b/>
                <w:sz w:val="22"/>
                <w:szCs w:val="22"/>
              </w:rPr>
              <w:t>……….</w:t>
            </w:r>
            <w:r w:rsidR="00A766A4" w:rsidRPr="009D324E">
              <w:rPr>
                <w:b/>
                <w:sz w:val="22"/>
                <w:szCs w:val="22"/>
              </w:rPr>
              <w:t>.</w:t>
            </w:r>
          </w:p>
        </w:tc>
      </w:tr>
      <w:tr w:rsidR="00A766A4" w:rsidRPr="0059779D" w:rsidTr="00177175">
        <w:trPr>
          <w:gridAfter w:val="1"/>
          <w:wAfter w:w="14" w:type="dxa"/>
          <w:trHeight w:val="439"/>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5302D1" w:rsidRDefault="00A610E3" w:rsidP="005302D1">
            <w:pPr>
              <w:rPr>
                <w:sz w:val="22"/>
                <w:szCs w:val="22"/>
              </w:rPr>
            </w:pPr>
            <w:r w:rsidRPr="00A610E3">
              <w:rPr>
                <w:rFonts w:eastAsia="MS Minngs"/>
                <w:b/>
                <w:bCs/>
                <w:sz w:val="22"/>
                <w:szCs w:val="22"/>
                <w:lang w:val="fr-FR"/>
              </w:rPr>
              <w:sym w:font="Wingdings 2" w:char="F053"/>
            </w:r>
            <w:r w:rsidR="00A766A4" w:rsidRPr="005302D1">
              <w:rPr>
                <w:rStyle w:val="Strong"/>
                <w:sz w:val="22"/>
                <w:szCs w:val="22"/>
              </w:rPr>
              <w:t xml:space="preserve">    </w:t>
            </w:r>
            <w:r w:rsidR="00A766A4" w:rsidRPr="005302D1">
              <w:rPr>
                <w:b/>
                <w:sz w:val="22"/>
                <w:szCs w:val="22"/>
              </w:rPr>
              <w:t xml:space="preserve">Avec indemnités  </w:t>
            </w:r>
            <w:r w:rsidR="00F351F4">
              <w:rPr>
                <w:b/>
                <w:sz w:val="22"/>
                <w:szCs w:val="22"/>
              </w:rPr>
              <w:t xml:space="preserve">             </w:t>
            </w:r>
            <w:r w:rsidR="00A766A4" w:rsidRPr="005302D1">
              <w:rPr>
                <w:b/>
                <w:sz w:val="22"/>
                <w:szCs w:val="22"/>
              </w:rPr>
              <w:t xml:space="preserve"> </w:t>
            </w:r>
            <w:r w:rsidR="00A766A4" w:rsidRPr="009D324E">
              <w:rPr>
                <w:rFonts w:eastAsia="MS Minngs"/>
                <w:bCs/>
                <w:sz w:val="22"/>
                <w:szCs w:val="22"/>
                <w:lang w:val="fr-FR"/>
              </w:rPr>
              <w:sym w:font="Wingdings 2" w:char="F0A3"/>
            </w:r>
            <w:r w:rsidR="00A766A4">
              <w:rPr>
                <w:rFonts w:eastAsia="MS Minngs"/>
                <w:bCs/>
                <w:sz w:val="22"/>
                <w:szCs w:val="22"/>
                <w:lang w:val="fr-FR"/>
              </w:rPr>
              <w:t xml:space="preserve">   </w:t>
            </w:r>
            <w:r w:rsidR="00A766A4" w:rsidRPr="005302D1">
              <w:rPr>
                <w:rStyle w:val="Strong"/>
                <w:sz w:val="22"/>
                <w:szCs w:val="22"/>
              </w:rPr>
              <w:t> </w:t>
            </w:r>
            <w:r w:rsidR="00A766A4" w:rsidRPr="005302D1">
              <w:rPr>
                <w:rFonts w:eastAsia="MS Minngs"/>
                <w:bCs/>
                <w:sz w:val="22"/>
                <w:szCs w:val="22"/>
                <w:lang w:val="fr-FR"/>
              </w:rPr>
              <w:t xml:space="preserve"> </w:t>
            </w:r>
            <w:r w:rsidR="00A766A4" w:rsidRPr="005302D1">
              <w:rPr>
                <w:b/>
                <w:sz w:val="22"/>
                <w:szCs w:val="22"/>
              </w:rPr>
              <w:t>Sans frais</w:t>
            </w:r>
          </w:p>
        </w:tc>
      </w:tr>
      <w:tr w:rsidR="00A766A4" w:rsidRPr="0059779D" w:rsidTr="00177175">
        <w:trPr>
          <w:gridAfter w:val="1"/>
          <w:wAfter w:w="14" w:type="dxa"/>
          <w:trHeight w:val="581"/>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0"/>
              </w:rPr>
            </w:pPr>
          </w:p>
        </w:tc>
        <w:tc>
          <w:tcPr>
            <w:tcW w:w="5787" w:type="dxa"/>
            <w:tcBorders>
              <w:left w:val="single" w:sz="4" w:space="0" w:color="auto"/>
              <w:bottom w:val="single" w:sz="4" w:space="0" w:color="auto"/>
              <w:right w:val="single" w:sz="4" w:space="0" w:color="auto"/>
            </w:tcBorders>
            <w:shd w:val="clear" w:color="auto" w:fill="auto"/>
            <w:vAlign w:val="center"/>
          </w:tcPr>
          <w:p w:rsidR="00A766A4" w:rsidRPr="005302D1" w:rsidRDefault="00A766A4" w:rsidP="007E36DE">
            <w:pPr>
              <w:rPr>
                <w:b/>
                <w:sz w:val="22"/>
                <w:szCs w:val="22"/>
              </w:rPr>
            </w:pPr>
            <w:r w:rsidRPr="005302D1">
              <w:rPr>
                <w:b/>
                <w:sz w:val="22"/>
                <w:szCs w:val="22"/>
              </w:rPr>
              <w:t>Cet avis est également ouvert</w:t>
            </w:r>
          </w:p>
          <w:p w:rsidR="00A766A4" w:rsidRPr="005302D1" w:rsidRDefault="00A766A4" w:rsidP="007E36DE">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A766A4" w:rsidRPr="005302D1" w:rsidRDefault="00A766A4" w:rsidP="005302D1">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A766A4" w:rsidRPr="00495CA4" w:rsidRDefault="00A766A4" w:rsidP="005302D1">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495CA4">
              <w:rPr>
                <w:b/>
                <w:sz w:val="22"/>
                <w:szCs w:val="22"/>
              </w:rPr>
              <w:t>in-Kind</w:t>
            </w:r>
          </w:p>
          <w:p w:rsidR="00A766A4" w:rsidRPr="005302D1" w:rsidRDefault="00A766A4" w:rsidP="007E36DE">
            <w:pPr>
              <w:tabs>
                <w:tab w:val="left" w:pos="1697"/>
              </w:tabs>
              <w:ind w:right="-1739"/>
              <w:rPr>
                <w:b/>
                <w:sz w:val="22"/>
                <w:szCs w:val="22"/>
              </w:rPr>
            </w:pPr>
            <w:r w:rsidRPr="005302D1">
              <w:rPr>
                <w:b/>
                <w:sz w:val="22"/>
                <w:szCs w:val="22"/>
                <w:lang w:val="fr-FR"/>
              </w:rPr>
              <w:t xml:space="preserve">                   </w:t>
            </w:r>
            <w:r w:rsidRPr="005302D1">
              <w:rPr>
                <w:b/>
                <w:sz w:val="22"/>
                <w:szCs w:val="22"/>
              </w:rPr>
              <w:t xml:space="preserve">(Islande, Liechtenstein, Norvège)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A766A4" w:rsidRPr="005302D1" w:rsidRDefault="00A766A4" w:rsidP="007E36DE">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p w:rsidR="00A766A4" w:rsidRPr="005302D1" w:rsidRDefault="00A766A4" w:rsidP="007E36DE">
            <w:pPr>
              <w:rPr>
                <w:sz w:val="22"/>
                <w:szCs w:val="22"/>
              </w:rPr>
            </w:pPr>
          </w:p>
        </w:tc>
      </w:tr>
      <w:tr w:rsidR="002F757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Nature des fonctions</w:t>
            </w:r>
            <w:r w:rsidR="002F757B" w:rsidRPr="005302D1">
              <w:rPr>
                <w:b/>
                <w:sz w:val="22"/>
                <w:szCs w:val="22"/>
              </w:rPr>
              <w:t> :</w:t>
            </w:r>
          </w:p>
        </w:tc>
      </w:tr>
      <w:tr w:rsidR="002F757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9D324E">
        <w:trPr>
          <w:gridAfter w:val="1"/>
          <w:wAfter w:w="14" w:type="dxa"/>
          <w:jc w:val="center"/>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2"/>
            <w:tcBorders>
              <w:right w:val="single" w:sz="4" w:space="0" w:color="auto"/>
            </w:tcBorders>
            <w:shd w:val="clear" w:color="auto" w:fill="auto"/>
          </w:tcPr>
          <w:p w:rsidR="00A610E3" w:rsidRPr="00A610E3" w:rsidRDefault="00A610E3" w:rsidP="00A610E3">
            <w:pPr>
              <w:ind w:right="60"/>
              <w:jc w:val="both"/>
              <w:rPr>
                <w:sz w:val="22"/>
                <w:szCs w:val="22"/>
              </w:rPr>
            </w:pPr>
            <w:r w:rsidRPr="00A610E3">
              <w:rPr>
                <w:sz w:val="22"/>
                <w:szCs w:val="22"/>
              </w:rPr>
              <w:t xml:space="preserve">L'expert national détaché (END) fera partie de l'unité de la DG Réseaux de communication, contenu et technologie, qui est responsable de l'élaboration de la politique de la Commission dans le domaine du droit d'auteur et des droits voisins. Il ou elle rejoindra une équipe collégiale, dynamique et diversifiée de professionnels hautement dévoués à un moment crucial où </w:t>
            </w:r>
            <w:r w:rsidR="003B5F6F">
              <w:rPr>
                <w:sz w:val="22"/>
                <w:szCs w:val="22"/>
              </w:rPr>
              <w:t>l'application du</w:t>
            </w:r>
            <w:r w:rsidRPr="00A610E3">
              <w:rPr>
                <w:sz w:val="22"/>
                <w:szCs w:val="22"/>
              </w:rPr>
              <w:t xml:space="preserve"> droit d'auteur à l'ère numérique fait l'objet d'un vif débat en Europe et au-delà.</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La politique du droit d'auteur a été identifiée comme une priorité politique claire de la Commission Juncker et est considérée, non seulement par la Commission, mais aussi par le Parlement européen et le Conseil, comme un élément clé dans le développement de la stratégie du marché unique numérique. L'unité est actuellement chargée du processus législatif relatif à la modernisation en cours des règles de l'UE en matière de droit d'auteur. Deux propositions majeures de la Commission, une directive sur le droit d'auteur dans le marché unique numérique et un</w:t>
            </w:r>
            <w:r w:rsidR="003B5F6F">
              <w:rPr>
                <w:sz w:val="22"/>
                <w:szCs w:val="22"/>
              </w:rPr>
              <w:t xml:space="preserve">e Directive </w:t>
            </w:r>
            <w:r w:rsidRPr="00A610E3">
              <w:rPr>
                <w:sz w:val="22"/>
                <w:szCs w:val="22"/>
              </w:rPr>
              <w:t xml:space="preserve">fixant les règles relatives à l'exercice du droit d'auteur et des droits voisins applicables à certaines transmissions en ligne d'organismes de radiodiffusion et à la retransmission de programmes de télévision et de radio, </w:t>
            </w:r>
            <w:r w:rsidR="00553F52">
              <w:rPr>
                <w:sz w:val="22"/>
                <w:szCs w:val="22"/>
              </w:rPr>
              <w:t>sont sur le point d'être</w:t>
            </w:r>
            <w:r w:rsidR="003B5F6F">
              <w:rPr>
                <w:sz w:val="22"/>
                <w:szCs w:val="22"/>
              </w:rPr>
              <w:t xml:space="preserve"> adoptée</w:t>
            </w:r>
            <w:r w:rsidR="00553F52">
              <w:rPr>
                <w:sz w:val="22"/>
                <w:szCs w:val="22"/>
              </w:rPr>
              <w:t>s</w:t>
            </w:r>
            <w:r w:rsidR="003B5F6F">
              <w:rPr>
                <w:sz w:val="22"/>
                <w:szCs w:val="22"/>
              </w:rPr>
              <w:t xml:space="preserve"> formellement  par le </w:t>
            </w:r>
            <w:r w:rsidRPr="00A610E3">
              <w:rPr>
                <w:sz w:val="22"/>
                <w:szCs w:val="22"/>
              </w:rPr>
              <w:t xml:space="preserve">Parlement européen et </w:t>
            </w:r>
            <w:r w:rsidR="003B5F6F">
              <w:rPr>
                <w:sz w:val="22"/>
                <w:szCs w:val="22"/>
              </w:rPr>
              <w:t>le</w:t>
            </w:r>
            <w:r w:rsidR="003B5F6F" w:rsidRPr="00A610E3">
              <w:rPr>
                <w:sz w:val="22"/>
                <w:szCs w:val="22"/>
              </w:rPr>
              <w:t xml:space="preserve"> </w:t>
            </w:r>
            <w:r w:rsidRPr="00A610E3">
              <w:rPr>
                <w:sz w:val="22"/>
                <w:szCs w:val="22"/>
              </w:rPr>
              <w:t>Conseil.</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 xml:space="preserve">L'Unité est également responsable d'un corpus législatif considérable adopté au fil des ans dans le domaine du droit d'auteur (onze directives et deux règlements - y compris le règlement récemment adopté sur la portabilité de contenu ainsi que la directive et le règlement d'application du traité de Marrakech dans le droit de l'UE) et est régulièrement appelée à intervenir dans le cadre des arrêts préjudiciels de la Cour de justice de l'Union européenne. </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lastRenderedPageBreak/>
              <w:t xml:space="preserve">Après </w:t>
            </w:r>
            <w:r w:rsidR="003B5F6F">
              <w:rPr>
                <w:sz w:val="22"/>
                <w:szCs w:val="22"/>
              </w:rPr>
              <w:t xml:space="preserve">l'adoption  de la </w:t>
            </w:r>
            <w:r w:rsidR="003B5F6F" w:rsidRPr="00A610E3">
              <w:rPr>
                <w:sz w:val="22"/>
                <w:szCs w:val="22"/>
              </w:rPr>
              <w:t>directive sur le droit d'auteur dans le marché unique numérique</w:t>
            </w:r>
            <w:r w:rsidRPr="00A610E3">
              <w:rPr>
                <w:sz w:val="22"/>
                <w:szCs w:val="22"/>
              </w:rPr>
              <w:t>, l'unité assurera activement le suivi de sa mise en œuvre</w:t>
            </w:r>
            <w:r w:rsidR="00553F52">
              <w:rPr>
                <w:sz w:val="22"/>
                <w:szCs w:val="22"/>
              </w:rPr>
              <w:t xml:space="preserve"> </w:t>
            </w:r>
            <w:r w:rsidR="00553F52" w:rsidRPr="00A610E3">
              <w:rPr>
                <w:sz w:val="22"/>
                <w:szCs w:val="22"/>
              </w:rPr>
              <w:t>ainsi que la mise en œuvre</w:t>
            </w:r>
            <w:r w:rsidR="003B5F6F">
              <w:rPr>
                <w:sz w:val="22"/>
                <w:szCs w:val="22"/>
              </w:rPr>
              <w:t xml:space="preserve"> de la Directive </w:t>
            </w:r>
            <w:r w:rsidR="003B5F6F">
              <w:rPr>
                <w:color w:val="000000"/>
              </w:rPr>
              <w:t>établissant des règles sur l'exercice du droit d'auteur et des droits voisins applicables à certaines diffusions en ligne d'organismes de radiodiffusion et retransmissions d'émissions de télévision et de radio</w:t>
            </w:r>
            <w:r w:rsidR="00553F52">
              <w:rPr>
                <w:sz w:val="22"/>
                <w:szCs w:val="22"/>
              </w:rPr>
              <w:t xml:space="preserve">, </w:t>
            </w:r>
            <w:r w:rsidRPr="00A610E3">
              <w:rPr>
                <w:sz w:val="22"/>
                <w:szCs w:val="22"/>
              </w:rPr>
              <w:t xml:space="preserve"> de la directive transposant dans la législation de l'UE le traité de Marrakech et l'application du règlement sur la portabilité. En particulier, ces fonctions peuvent impliquer d'apporter une orientation et des conseils sur l'applicabilité de ces nouvelles règles auprès d'états membres et d'acteurs intéressés.</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Parallèlement, nous continuerons à participer à des discussions politiques plus larges sur le droit d'auteur et l'Internet, notamment en vue du prochain mandat de la Commission (2019-2024). En fonction de l'évolution future de la politique, cela pourrait impliquer la préparation d'analyses d'impact et de propositions législatives dans le domaine du droit d'auteur de l'UE au cours de la prochaine Commission.</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L'Unité est également en charge de la directive 2014/26/UE sur la gestion collective du droit d’auteur et des droits voisins et l’octroi de licences multi</w:t>
            </w:r>
            <w:r w:rsidR="007662D5">
              <w:rPr>
                <w:sz w:val="22"/>
                <w:szCs w:val="22"/>
              </w:rPr>
              <w:t>-</w:t>
            </w:r>
            <w:r w:rsidRPr="00A610E3">
              <w:rPr>
                <w:sz w:val="22"/>
                <w:szCs w:val="22"/>
              </w:rPr>
              <w:t xml:space="preserve">territoriales de droits sur des œuvres musicales en vue de leur utilisation en ligne dans le marché intérieur ("Directive CRM"). L'Unité organise régulièrement des réunions du groupe d'experts afin de discuter des problèmes liés à l'application de la directive et de faciliter l'échange d'informations. Dans la période à venir, une tâche importante pour l'Unité sera de préparer un rapport d'évaluation sur l'application de la directive et de proposer des actions de suivi si nécessaire. </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Enfin, l'Unité dispose d'un important portefeuille d'activités internationales. Nous représentons l'UE et ses États membres dans les discussions et les négociations sur le droit d'auteur au sein de l'Organisation mondiale de la propriété intellectuelle (OMPI) et contribuons aux travaux d'autres directions générales en ce qui concerne les aspects relatifs au droit d'auteur des accords commerciaux bilatéraux. Au cours des deux prochaines années, nous aborderons la ratification éventuelle par l'Union européenne du Traité de Pékin de 2012 sur la protection des interprétations et exécutions audiovisuelles. Nous continuerons de nous engager dans les discussions de l'OMPI concernant la protection des organismes de radiodiffusion. </w:t>
            </w:r>
          </w:p>
          <w:p w:rsidR="00A610E3" w:rsidRPr="00A610E3" w:rsidRDefault="00A610E3" w:rsidP="00A610E3">
            <w:pPr>
              <w:ind w:right="60"/>
              <w:jc w:val="both"/>
              <w:rPr>
                <w:sz w:val="22"/>
                <w:szCs w:val="22"/>
              </w:rPr>
            </w:pPr>
          </w:p>
          <w:p w:rsidR="00A610E3" w:rsidRPr="00A610E3" w:rsidRDefault="00A610E3" w:rsidP="00A610E3">
            <w:pPr>
              <w:ind w:right="60"/>
              <w:jc w:val="both"/>
              <w:rPr>
                <w:sz w:val="22"/>
                <w:szCs w:val="22"/>
              </w:rPr>
            </w:pPr>
            <w:r w:rsidRPr="00A610E3">
              <w:rPr>
                <w:sz w:val="22"/>
                <w:szCs w:val="22"/>
              </w:rPr>
              <w:t xml:space="preserve">L'END contribuera à la définition des politiques de l'UE en matière de droit d'auteur et de droits voisins, à la préparation et à la rédaction de propositions législatives et assistera ses collègues de l'unité dans le cadre des négociations au sein des institutions européennes et des organisations internationales, ce qui implique des contacts fréquents avec d'autres directions générales de la Commission, du Parlement européen, du Conseil, des autorités des États membres et des parties prenantes. L'END aidera également l'unité sur des questions liées à l'interprétation, au suivi et à l'application du cadre communautaire existant en matière de droit d'auteur, y compris en ce qui concerne les renvois préjudiciels devant la Cour de justice de l'UE. </w:t>
            </w:r>
          </w:p>
          <w:p w:rsidR="00A610E3" w:rsidRPr="00A610E3" w:rsidRDefault="00A610E3" w:rsidP="00A610E3">
            <w:pPr>
              <w:ind w:right="60"/>
              <w:jc w:val="both"/>
              <w:rPr>
                <w:sz w:val="22"/>
                <w:szCs w:val="22"/>
              </w:rPr>
            </w:pPr>
          </w:p>
          <w:p w:rsidR="002F757B" w:rsidRPr="00A610E3" w:rsidRDefault="00A610E3" w:rsidP="00A610E3">
            <w:pPr>
              <w:ind w:right="60"/>
              <w:jc w:val="both"/>
              <w:rPr>
                <w:b/>
                <w:sz w:val="22"/>
                <w:szCs w:val="22"/>
              </w:rPr>
            </w:pPr>
            <w:r w:rsidRPr="00A610E3">
              <w:rPr>
                <w:sz w:val="22"/>
                <w:szCs w:val="22"/>
              </w:rPr>
              <w:t>L'END travaillera sous la supervision d'un administrateur. Sans préjudice du principe de coopération loyale entre les administrations nationales/régionales et européennes, l'END ne travaillera pas sur des cas individuels ayant des implications avec des dossiers qu'il aurait eu à traiter dans son administration nationale au cours des deux années précédant son entrée à la Commission, ou des cas directement adjacents. En aucun cas, il ne peut représenter la Commission pour prendre des engagements, financiers ou autres, ou pour négocier au nom de la Commission.</w:t>
            </w:r>
          </w:p>
          <w:p w:rsidR="00836F84" w:rsidRPr="0059779D" w:rsidRDefault="00836F84" w:rsidP="00A610E3">
            <w:pPr>
              <w:ind w:right="60"/>
              <w:jc w:val="both"/>
              <w:rPr>
                <w:b/>
                <w:sz w:val="20"/>
              </w:rPr>
            </w:pP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2</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Qualifications requises :</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59779D">
            <w:pPr>
              <w:ind w:right="1317"/>
              <w:jc w:val="both"/>
              <w:rPr>
                <w:sz w:val="22"/>
                <w:szCs w:val="22"/>
              </w:rPr>
            </w:pPr>
          </w:p>
          <w:p w:rsidR="001653AB" w:rsidRPr="005302D1" w:rsidRDefault="001653AB" w:rsidP="0059779D">
            <w:pPr>
              <w:ind w:right="1317"/>
              <w:jc w:val="both"/>
              <w:rPr>
                <w:sz w:val="22"/>
                <w:szCs w:val="22"/>
              </w:rPr>
            </w:pPr>
            <w:r w:rsidRPr="005302D1">
              <w:rPr>
                <w:sz w:val="22"/>
                <w:szCs w:val="22"/>
              </w:rPr>
              <w:t xml:space="preserve">a) </w:t>
            </w:r>
            <w:r w:rsidRPr="00482CE4">
              <w:rPr>
                <w:b/>
                <w:sz w:val="22"/>
                <w:szCs w:val="22"/>
                <w:u w:val="single"/>
              </w:rPr>
              <w:t>Critères d'éligibilité</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left="48" w:right="161"/>
              <w:jc w:val="both"/>
              <w:rPr>
                <w:sz w:val="22"/>
                <w:szCs w:val="22"/>
              </w:rPr>
            </w:pPr>
            <w:r w:rsidRPr="005302D1">
              <w:rPr>
                <w:sz w:val="22"/>
                <w:szCs w:val="22"/>
              </w:rPr>
              <w:t xml:space="preserve">Les critères d'éligibilité doivent être obligatoirement remplis par l'END pour être détaché auprès de la Commission. Par conséquent, le candidat qui ne remplirait </w:t>
            </w:r>
            <w:r w:rsidR="000B1463">
              <w:rPr>
                <w:sz w:val="22"/>
                <w:szCs w:val="22"/>
              </w:rPr>
              <w:t xml:space="preserve">pas </w:t>
            </w:r>
            <w:r w:rsidR="00F40B04">
              <w:rPr>
                <w:sz w:val="22"/>
                <w:szCs w:val="22"/>
              </w:rPr>
              <w:t>tous</w:t>
            </w:r>
            <w:r w:rsidRPr="005302D1">
              <w:rPr>
                <w:sz w:val="22"/>
                <w:szCs w:val="22"/>
              </w:rPr>
              <w:t xml:space="preserve"> ces critères serait automatiquement éliminé de la procédure de sélection.</w:t>
            </w:r>
          </w:p>
          <w:p w:rsidR="001653AB" w:rsidRPr="005302D1" w:rsidRDefault="001653AB" w:rsidP="00DF3FDD">
            <w:pPr>
              <w:ind w:right="161"/>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Expérience professionnelle</w:t>
            </w:r>
            <w:r w:rsidRPr="005302D1">
              <w:rPr>
                <w:sz w:val="22"/>
                <w:szCs w:val="22"/>
              </w:rPr>
              <w:t xml:space="preserve"> : posséder une expérience </w:t>
            </w:r>
            <w:r w:rsidR="0021673D">
              <w:rPr>
                <w:sz w:val="22"/>
                <w:szCs w:val="22"/>
              </w:rPr>
              <w:t xml:space="preserve">professionnelle </w:t>
            </w:r>
            <w:r w:rsidRPr="005302D1">
              <w:rPr>
                <w:sz w:val="22"/>
                <w:szCs w:val="22"/>
              </w:rPr>
              <w:t>d'au moins trois ans dans des fonctions administratives, judiciaires, scientifiques, techniques, de conseil ou de supervision, à un grade équivalant au groupe de fonctions administrateur AD;</w:t>
            </w:r>
          </w:p>
          <w:p w:rsidR="001653AB" w:rsidRPr="005302D1" w:rsidRDefault="001653AB" w:rsidP="0059779D">
            <w:pPr>
              <w:ind w:left="473" w:right="161" w:hanging="473"/>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Ancienneté de service</w:t>
            </w:r>
            <w:r w:rsidR="00110A6A" w:rsidRPr="005302D1">
              <w:rPr>
                <w:sz w:val="22"/>
                <w:szCs w:val="22"/>
              </w:rPr>
              <w:t xml:space="preserve"> </w:t>
            </w:r>
            <w:r w:rsidRPr="005302D1">
              <w:rPr>
                <w:sz w:val="22"/>
                <w:szCs w:val="22"/>
              </w:rPr>
              <w:t xml:space="preserve">: avoir une ancienneté d'au moins un an auprès de son employeur, c'est-à-dire être employé depuis au moins un an par un employeur éligible au sens de l'article 1 de la décision END, </w:t>
            </w:r>
            <w:r w:rsidR="00EA4A1F">
              <w:rPr>
                <w:sz w:val="22"/>
                <w:szCs w:val="22"/>
              </w:rPr>
              <w:t>dans un cadre statutaire ou contractuel avant le détachement</w:t>
            </w:r>
            <w:r w:rsidR="00110A6A" w:rsidRPr="005302D1">
              <w:rPr>
                <w:sz w:val="22"/>
                <w:szCs w:val="22"/>
              </w:rPr>
              <w:t>;</w:t>
            </w:r>
            <w:r w:rsidRPr="005302D1">
              <w:rPr>
                <w:sz w:val="22"/>
                <w:szCs w:val="22"/>
              </w:rPr>
              <w:t xml:space="preserve"> </w:t>
            </w:r>
          </w:p>
          <w:p w:rsidR="001653AB" w:rsidRPr="005302D1" w:rsidRDefault="001653AB" w:rsidP="0059779D">
            <w:pPr>
              <w:ind w:left="473" w:right="161" w:hanging="473"/>
              <w:jc w:val="both"/>
              <w:rPr>
                <w:sz w:val="22"/>
                <w:szCs w:val="22"/>
              </w:rPr>
            </w:pPr>
          </w:p>
          <w:p w:rsidR="001653AB" w:rsidRPr="005302D1" w:rsidRDefault="001653AB" w:rsidP="00EA4A1F">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Compétences linguistiques</w:t>
            </w:r>
            <w:r w:rsidRPr="005302D1">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Pr>
                <w:sz w:val="22"/>
                <w:szCs w:val="22"/>
              </w:rPr>
              <w:t>l'</w:t>
            </w:r>
            <w:r w:rsidRPr="005302D1">
              <w:rPr>
                <w:sz w:val="22"/>
                <w:szCs w:val="22"/>
              </w:rPr>
              <w:t>accomplissement des tâches qui lui s</w:t>
            </w:r>
            <w:r w:rsidR="00EA4A1F">
              <w:rPr>
                <w:sz w:val="22"/>
                <w:szCs w:val="22"/>
              </w:rPr>
              <w:t>er</w:t>
            </w:r>
            <w:r w:rsidRPr="005302D1">
              <w:rPr>
                <w:sz w:val="22"/>
                <w:szCs w:val="22"/>
              </w:rPr>
              <w:t>ont confiées.</w:t>
            </w: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110A6A">
            <w:pPr>
              <w:tabs>
                <w:tab w:val="left" w:pos="317"/>
              </w:tabs>
              <w:ind w:right="1317"/>
              <w:jc w:val="both"/>
              <w:rPr>
                <w:sz w:val="22"/>
                <w:szCs w:val="22"/>
              </w:rPr>
            </w:pPr>
            <w:r w:rsidRPr="005302D1">
              <w:rPr>
                <w:sz w:val="22"/>
                <w:szCs w:val="22"/>
              </w:rPr>
              <w:t>b)</w:t>
            </w:r>
            <w:r w:rsidRPr="005302D1">
              <w:rPr>
                <w:sz w:val="22"/>
                <w:szCs w:val="22"/>
              </w:rPr>
              <w:tab/>
            </w:r>
            <w:r w:rsidR="001653AB" w:rsidRPr="00482CE4">
              <w:rPr>
                <w:b/>
                <w:sz w:val="22"/>
                <w:szCs w:val="22"/>
                <w:u w:val="single"/>
              </w:rPr>
              <w:t>Critères de sélection</w:t>
            </w:r>
            <w:r w:rsidR="00482CE4">
              <w:rPr>
                <w:b/>
                <w:sz w:val="22"/>
                <w:szCs w:val="22"/>
                <w:u w:val="single"/>
              </w:rPr>
              <w:t xml:space="preserve"> </w:t>
            </w:r>
          </w:p>
          <w:p w:rsidR="006A35E2" w:rsidRPr="005302D1" w:rsidRDefault="006A35E2" w:rsidP="0059779D">
            <w:pPr>
              <w:ind w:right="1317"/>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Pr="005302D1" w:rsidRDefault="00110A6A" w:rsidP="000D6BA8">
            <w:pPr>
              <w:tabs>
                <w:tab w:val="left" w:pos="317"/>
              </w:tabs>
              <w:ind w:right="60"/>
              <w:jc w:val="both"/>
              <w:rPr>
                <w:sz w:val="22"/>
                <w:szCs w:val="22"/>
              </w:rPr>
            </w:pPr>
            <w:r w:rsidRPr="005302D1">
              <w:rPr>
                <w:sz w:val="22"/>
                <w:szCs w:val="22"/>
              </w:rPr>
              <w:tab/>
            </w:r>
            <w:r w:rsidR="001653AB" w:rsidRPr="005302D1">
              <w:rPr>
                <w:sz w:val="22"/>
                <w:szCs w:val="22"/>
              </w:rPr>
              <w:t>Diplôme</w:t>
            </w:r>
            <w:r w:rsidR="000D6BA8">
              <w:rPr>
                <w:sz w:val="22"/>
                <w:szCs w:val="22"/>
              </w:rPr>
              <w:t xml:space="preserve"> </w:t>
            </w:r>
          </w:p>
          <w:p w:rsidR="00110A6A" w:rsidRPr="005302D1" w:rsidRDefault="00110A6A" w:rsidP="00110A6A">
            <w:pPr>
              <w:tabs>
                <w:tab w:val="left" w:pos="317"/>
              </w:tabs>
              <w:ind w:right="1317"/>
              <w:jc w:val="both"/>
              <w:rPr>
                <w:sz w:val="22"/>
                <w:szCs w:val="22"/>
              </w:rPr>
            </w:pPr>
            <w:r w:rsidRPr="005302D1">
              <w:rPr>
                <w:sz w:val="22"/>
                <w:szCs w:val="22"/>
              </w:rPr>
              <w:tab/>
              <w:t xml:space="preserve">- diplôme universitaire ou </w:t>
            </w:r>
          </w:p>
          <w:p w:rsidR="001653AB" w:rsidRPr="005302D1" w:rsidRDefault="00110A6A" w:rsidP="00110A6A">
            <w:pPr>
              <w:tabs>
                <w:tab w:val="left" w:pos="317"/>
              </w:tabs>
              <w:ind w:right="1317"/>
              <w:jc w:val="both"/>
              <w:rPr>
                <w:sz w:val="22"/>
                <w:szCs w:val="22"/>
              </w:rPr>
            </w:pPr>
            <w:r w:rsidRPr="005302D1">
              <w:rPr>
                <w:sz w:val="22"/>
                <w:szCs w:val="22"/>
              </w:rPr>
              <w:tab/>
              <w:t>- formation professionnelle ou expérience professionnelle de niveau équivalent</w:t>
            </w:r>
          </w:p>
          <w:p w:rsidR="00110A6A" w:rsidRPr="005302D1" w:rsidRDefault="00110A6A" w:rsidP="00110A6A">
            <w:pPr>
              <w:tabs>
                <w:tab w:val="left" w:pos="317"/>
              </w:tabs>
              <w:ind w:right="1317"/>
              <w:jc w:val="both"/>
              <w:rPr>
                <w:sz w:val="22"/>
                <w:szCs w:val="22"/>
              </w:rPr>
            </w:pPr>
          </w:p>
          <w:p w:rsidR="005302D1" w:rsidRPr="005302D1" w:rsidRDefault="00110A6A" w:rsidP="00110A6A">
            <w:pPr>
              <w:tabs>
                <w:tab w:val="left" w:pos="317"/>
              </w:tabs>
              <w:ind w:right="1317"/>
              <w:jc w:val="both"/>
              <w:rPr>
                <w:sz w:val="22"/>
                <w:szCs w:val="22"/>
              </w:rPr>
            </w:pPr>
            <w:r w:rsidRPr="005302D1">
              <w:rPr>
                <w:sz w:val="22"/>
                <w:szCs w:val="22"/>
              </w:rPr>
              <w:tab/>
              <w:t xml:space="preserve">dans le(s) domaine(s) </w:t>
            </w:r>
            <w:r w:rsidR="005302D1">
              <w:rPr>
                <w:sz w:val="22"/>
                <w:szCs w:val="22"/>
              </w:rPr>
              <w:t xml:space="preserve">: </w:t>
            </w:r>
            <w:r w:rsidR="005E0625" w:rsidRPr="005E0625">
              <w:rPr>
                <w:sz w:val="22"/>
                <w:szCs w:val="22"/>
              </w:rPr>
              <w:t>Droit ou autre avec un contenu juridique substantiel.</w:t>
            </w:r>
          </w:p>
          <w:p w:rsidR="001653AB" w:rsidRPr="005302D1" w:rsidRDefault="001653AB" w:rsidP="00110555">
            <w:pPr>
              <w:tabs>
                <w:tab w:val="left" w:pos="8539"/>
              </w:tabs>
              <w:ind w:right="161"/>
              <w:jc w:val="both"/>
              <w:rPr>
                <w:sz w:val="22"/>
                <w:szCs w:val="22"/>
              </w:rPr>
            </w:pPr>
          </w:p>
        </w:tc>
      </w:tr>
      <w:tr w:rsidR="001653AB" w:rsidRPr="0059779D" w:rsidTr="009D324E">
        <w:trPr>
          <w:gridAfter w:val="1"/>
          <w:wAfter w:w="14"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1653AB" w:rsidRDefault="00110A6A" w:rsidP="00110A6A">
            <w:pPr>
              <w:tabs>
                <w:tab w:val="left" w:pos="317"/>
              </w:tabs>
              <w:ind w:right="1317"/>
              <w:jc w:val="both"/>
              <w:rPr>
                <w:sz w:val="22"/>
                <w:szCs w:val="22"/>
              </w:rPr>
            </w:pPr>
            <w:r w:rsidRPr="005302D1">
              <w:rPr>
                <w:sz w:val="22"/>
                <w:szCs w:val="22"/>
              </w:rPr>
              <w:tab/>
            </w:r>
            <w:r w:rsidR="001653AB" w:rsidRPr="005302D1">
              <w:rPr>
                <w:sz w:val="22"/>
                <w:szCs w:val="22"/>
              </w:rPr>
              <w:t>Expérience professionnelle :</w:t>
            </w:r>
          </w:p>
          <w:p w:rsidR="005302D1" w:rsidRDefault="005302D1" w:rsidP="005C4FC1">
            <w:pPr>
              <w:tabs>
                <w:tab w:val="left" w:pos="317"/>
              </w:tabs>
              <w:ind w:right="60"/>
              <w:jc w:val="both"/>
              <w:rPr>
                <w:sz w:val="22"/>
                <w:szCs w:val="22"/>
              </w:rPr>
            </w:pPr>
          </w:p>
          <w:p w:rsidR="001653AB" w:rsidRPr="005302D1" w:rsidRDefault="005E0625" w:rsidP="007662D5">
            <w:pPr>
              <w:tabs>
                <w:tab w:val="left" w:pos="317"/>
              </w:tabs>
              <w:ind w:left="318" w:right="62"/>
              <w:jc w:val="both"/>
              <w:rPr>
                <w:sz w:val="22"/>
                <w:szCs w:val="22"/>
              </w:rPr>
            </w:pPr>
            <w:r>
              <w:rPr>
                <w:sz w:val="22"/>
                <w:szCs w:val="22"/>
              </w:rPr>
              <w:t>J</w:t>
            </w:r>
            <w:r w:rsidRPr="005E0625">
              <w:rPr>
                <w:sz w:val="22"/>
                <w:szCs w:val="22"/>
              </w:rPr>
              <w:t>uriste ayant de l'expérience avec les politiques du marché unique. Des connaissances et de l'expérience dans les domaines du droit d'auteur, du numérique ou des médias seraient un atout.</w:t>
            </w:r>
          </w:p>
          <w:p w:rsidR="001653AB" w:rsidRPr="005302D1" w:rsidRDefault="001653AB" w:rsidP="00110555">
            <w:pPr>
              <w:tabs>
                <w:tab w:val="left" w:pos="8539"/>
              </w:tabs>
              <w:ind w:right="161"/>
              <w:jc w:val="both"/>
              <w:rPr>
                <w:sz w:val="22"/>
                <w:szCs w:val="22"/>
              </w:rPr>
            </w:pPr>
          </w:p>
        </w:tc>
      </w:tr>
      <w:tr w:rsidR="001653AB" w:rsidRPr="0059779D" w:rsidTr="009D324E">
        <w:trPr>
          <w:gridAfter w:val="1"/>
          <w:wAfter w:w="14" w:type="dxa"/>
          <w:trHeight w:val="95"/>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2"/>
            <w:tcBorders>
              <w:left w:val="nil"/>
              <w:right w:val="single" w:sz="4" w:space="0" w:color="auto"/>
            </w:tcBorders>
            <w:shd w:val="clear" w:color="auto" w:fill="auto"/>
          </w:tcPr>
          <w:p w:rsidR="006A35E2" w:rsidRDefault="00110A6A" w:rsidP="007662D5">
            <w:pPr>
              <w:tabs>
                <w:tab w:val="left" w:pos="317"/>
              </w:tabs>
              <w:ind w:right="1317"/>
              <w:jc w:val="both"/>
              <w:rPr>
                <w:sz w:val="22"/>
                <w:szCs w:val="22"/>
              </w:rPr>
            </w:pPr>
            <w:r w:rsidRPr="005302D1">
              <w:rPr>
                <w:sz w:val="22"/>
                <w:szCs w:val="22"/>
              </w:rPr>
              <w:tab/>
            </w:r>
            <w:r w:rsidR="001653AB" w:rsidRPr="005302D1">
              <w:rPr>
                <w:sz w:val="22"/>
                <w:szCs w:val="22"/>
              </w:rPr>
              <w:t xml:space="preserve">Langue(s) nécessaire(s) pour l'accomplissement des tâches : </w:t>
            </w:r>
          </w:p>
          <w:p w:rsidR="007662D5" w:rsidRDefault="007662D5" w:rsidP="007662D5">
            <w:pPr>
              <w:tabs>
                <w:tab w:val="left" w:pos="317"/>
              </w:tabs>
              <w:ind w:right="1317"/>
              <w:jc w:val="both"/>
              <w:rPr>
                <w:sz w:val="22"/>
                <w:szCs w:val="22"/>
              </w:rPr>
            </w:pPr>
          </w:p>
          <w:p w:rsidR="005E0625" w:rsidRPr="005E0625" w:rsidRDefault="005E0625" w:rsidP="007662D5">
            <w:pPr>
              <w:ind w:left="318" w:right="53"/>
              <w:jc w:val="both"/>
              <w:rPr>
                <w:sz w:val="22"/>
                <w:szCs w:val="22"/>
              </w:rPr>
            </w:pPr>
            <w:r w:rsidRPr="005E0625">
              <w:rPr>
                <w:sz w:val="22"/>
                <w:szCs w:val="22"/>
              </w:rPr>
              <w:t>Anglais.</w:t>
            </w:r>
            <w:r w:rsidR="007662D5">
              <w:rPr>
                <w:sz w:val="22"/>
                <w:szCs w:val="22"/>
              </w:rPr>
              <w:t xml:space="preserve">  </w:t>
            </w:r>
            <w:r w:rsidRPr="005E0625">
              <w:rPr>
                <w:sz w:val="22"/>
                <w:szCs w:val="22"/>
              </w:rPr>
              <w:t>La connaissance du français et d'une autre langue de l'UE serait un avantage.</w:t>
            </w:r>
          </w:p>
          <w:p w:rsidR="001653AB" w:rsidRDefault="001653AB" w:rsidP="006A35E2">
            <w:pPr>
              <w:ind w:right="92"/>
              <w:jc w:val="both"/>
              <w:rPr>
                <w:sz w:val="22"/>
                <w:szCs w:val="22"/>
              </w:rPr>
            </w:pPr>
          </w:p>
          <w:p w:rsidR="007662D5" w:rsidRPr="005302D1" w:rsidRDefault="007662D5" w:rsidP="006A35E2">
            <w:pPr>
              <w:ind w:right="92"/>
              <w:jc w:val="both"/>
              <w:rPr>
                <w:sz w:val="22"/>
                <w:szCs w:val="22"/>
              </w:rPr>
            </w:pP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2"/>
            <w:tcBorders>
              <w:top w:val="single" w:sz="4" w:space="0" w:color="auto"/>
              <w:bottom w:val="single" w:sz="4" w:space="0" w:color="auto"/>
            </w:tcBorders>
            <w:shd w:val="clear" w:color="auto" w:fill="auto"/>
          </w:tcPr>
          <w:p w:rsidR="005302D1" w:rsidRDefault="005302D1" w:rsidP="0059779D">
            <w:pPr>
              <w:ind w:right="1317"/>
              <w:jc w:val="both"/>
              <w:rPr>
                <w:b/>
                <w:sz w:val="20"/>
              </w:rPr>
            </w:pPr>
          </w:p>
          <w:p w:rsidR="007662D5" w:rsidRDefault="007662D5" w:rsidP="0059779D">
            <w:pPr>
              <w:ind w:right="1317"/>
              <w:jc w:val="both"/>
              <w:rPr>
                <w:b/>
                <w:sz w:val="20"/>
              </w:rPr>
            </w:pPr>
          </w:p>
          <w:p w:rsidR="007662D5" w:rsidRPr="0059779D" w:rsidRDefault="007662D5" w:rsidP="0059779D">
            <w:pPr>
              <w:ind w:right="1317"/>
              <w:jc w:val="both"/>
              <w:rPr>
                <w:b/>
                <w:sz w:val="20"/>
              </w:rPr>
            </w:pPr>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3</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Soumission des candidatures et procédure de sélection</w:t>
            </w:r>
          </w:p>
        </w:tc>
      </w:tr>
      <w:tr w:rsidR="001653AB" w:rsidRPr="0059779D" w:rsidTr="009D324E">
        <w:trPr>
          <w:gridAfter w:val="1"/>
          <w:wAfter w:w="14" w:type="dxa"/>
          <w:jc w:val="center"/>
        </w:trPr>
        <w:tc>
          <w:tcPr>
            <w:tcW w:w="392" w:type="dxa"/>
            <w:tcBorders>
              <w:top w:val="single" w:sz="4" w:space="0" w:color="auto"/>
              <w:left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left w:val="nil"/>
              <w:right w:val="single" w:sz="4" w:space="0" w:color="auto"/>
            </w:tcBorders>
            <w:shd w:val="clear" w:color="auto" w:fill="auto"/>
          </w:tcPr>
          <w:p w:rsidR="001653AB" w:rsidRPr="005302D1" w:rsidRDefault="001653AB" w:rsidP="00DB7D07">
            <w:pPr>
              <w:ind w:right="175"/>
              <w:jc w:val="both"/>
              <w:rPr>
                <w:sz w:val="22"/>
                <w:szCs w:val="22"/>
              </w:rPr>
            </w:pPr>
          </w:p>
          <w:p w:rsidR="001653AB" w:rsidRDefault="001653AB" w:rsidP="005302D1">
            <w:pPr>
              <w:ind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1"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sidR="005302D1">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sidR="005302D1">
              <w:rPr>
                <w:sz w:val="22"/>
                <w:szCs w:val="22"/>
              </w:rPr>
              <w:t xml:space="preserve">la </w:t>
            </w:r>
            <w:r w:rsidRPr="005302D1">
              <w:rPr>
                <w:sz w:val="22"/>
                <w:szCs w:val="22"/>
              </w:rPr>
              <w:t xml:space="preserve">transmettra aux services </w:t>
            </w:r>
            <w:r w:rsidR="005302D1">
              <w:rPr>
                <w:sz w:val="22"/>
                <w:szCs w:val="22"/>
              </w:rPr>
              <w:t>compétents de la Commission,</w:t>
            </w:r>
            <w:r w:rsidR="00A13127">
              <w:rPr>
                <w:sz w:val="22"/>
                <w:szCs w:val="22"/>
              </w:rPr>
              <w:t xml:space="preserve"> </w:t>
            </w:r>
            <w:r w:rsidRPr="005302D1">
              <w:rPr>
                <w:sz w:val="22"/>
                <w:szCs w:val="22"/>
              </w:rPr>
              <w:t>dans les délais fixés par ces derniers.</w:t>
            </w:r>
            <w:r w:rsidR="00824FF5">
              <w:rPr>
                <w:sz w:val="22"/>
                <w:szCs w:val="22"/>
              </w:rPr>
              <w:t xml:space="preserve"> </w:t>
            </w:r>
            <w:r w:rsidR="00824FF5" w:rsidRPr="000B1463">
              <w:rPr>
                <w:sz w:val="22"/>
                <w:szCs w:val="22"/>
              </w:rPr>
              <w:t>Le CV doit obligatoirement mentionner la date de naissance et la nationalité du candidat.</w:t>
            </w:r>
            <w:r w:rsidR="005302D1" w:rsidRPr="00824FF5">
              <w:rPr>
                <w:b/>
                <w:sz w:val="22"/>
                <w:szCs w:val="22"/>
              </w:rPr>
              <w:t xml:space="preserve"> </w:t>
            </w:r>
            <w:r w:rsidR="005302D1">
              <w:rPr>
                <w:b/>
                <w:sz w:val="22"/>
                <w:szCs w:val="22"/>
              </w:rPr>
              <w:t>Le non-</w:t>
            </w:r>
            <w:r w:rsidRPr="005302D1">
              <w:rPr>
                <w:b/>
                <w:sz w:val="22"/>
                <w:szCs w:val="22"/>
              </w:rPr>
              <w:t>respect de cette procédure ou des délais invalidera automatiquement la candidature.</w:t>
            </w:r>
            <w:r w:rsidR="005302D1">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5302D1" w:rsidRDefault="00A13127" w:rsidP="00446C52">
            <w:pPr>
              <w:ind w:right="175"/>
              <w:jc w:val="both"/>
              <w:rPr>
                <w:b/>
                <w:sz w:val="22"/>
                <w:szCs w:val="22"/>
              </w:rPr>
            </w:pPr>
            <w:r w:rsidRPr="005302D1">
              <w:rPr>
                <w:sz w:val="22"/>
                <w:szCs w:val="22"/>
              </w:rPr>
              <w:t>Les candidats seront informés du suivi de leur candidature par l'unité concernée.</w:t>
            </w:r>
          </w:p>
        </w:tc>
      </w:tr>
      <w:tr w:rsidR="001653AB" w:rsidRPr="0059779D" w:rsidTr="009D324E">
        <w:trPr>
          <w:gridAfter w:val="1"/>
          <w:wAfter w:w="14" w:type="dxa"/>
          <w:jc w:val="center"/>
        </w:trPr>
        <w:tc>
          <w:tcPr>
            <w:tcW w:w="392" w:type="dxa"/>
            <w:tcBorders>
              <w:top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top w:val="single" w:sz="4" w:space="0" w:color="auto"/>
              <w:bottom w:val="single" w:sz="4" w:space="0" w:color="auto"/>
            </w:tcBorders>
            <w:shd w:val="clear" w:color="auto" w:fill="auto"/>
          </w:tcPr>
          <w:p w:rsidR="001653AB" w:rsidRDefault="001653AB" w:rsidP="0059779D">
            <w:pPr>
              <w:ind w:right="175"/>
              <w:jc w:val="both"/>
              <w:rPr>
                <w:b/>
                <w:sz w:val="22"/>
                <w:szCs w:val="22"/>
              </w:rPr>
            </w:pPr>
          </w:p>
          <w:p w:rsidR="007662D5" w:rsidRPr="005302D1" w:rsidRDefault="007662D5" w:rsidP="0059779D">
            <w:pPr>
              <w:ind w:right="175"/>
              <w:jc w:val="both"/>
              <w:rPr>
                <w:b/>
                <w:sz w:val="22"/>
                <w:szCs w:val="22"/>
              </w:rPr>
            </w:pPr>
            <w:bookmarkStart w:id="0" w:name="_GoBack"/>
            <w:bookmarkEnd w:id="0"/>
          </w:p>
        </w:tc>
      </w:tr>
      <w:tr w:rsidR="001653AB" w:rsidRPr="0059779D" w:rsidTr="009D324E">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lastRenderedPageBreak/>
              <w:t>4</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75"/>
              <w:jc w:val="both"/>
              <w:rPr>
                <w:b/>
                <w:sz w:val="22"/>
                <w:szCs w:val="22"/>
              </w:rPr>
            </w:pPr>
            <w:r w:rsidRPr="005302D1">
              <w:rPr>
                <w:b/>
                <w:sz w:val="22"/>
                <w:szCs w:val="22"/>
              </w:rPr>
              <w:t>Conditions du détachement</w:t>
            </w:r>
          </w:p>
        </w:tc>
      </w:tr>
      <w:tr w:rsidR="001653AB" w:rsidRPr="0059779D" w:rsidTr="00446C52">
        <w:trPr>
          <w:gridAfter w:val="1"/>
          <w:wAfter w:w="14" w:type="dxa"/>
          <w:trHeight w:val="3098"/>
          <w:jc w:val="center"/>
        </w:trPr>
        <w:tc>
          <w:tcPr>
            <w:tcW w:w="392" w:type="dxa"/>
            <w:tcBorders>
              <w:top w:val="single" w:sz="4" w:space="0" w:color="auto"/>
              <w:left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8916" w:type="dxa"/>
            <w:gridSpan w:val="2"/>
            <w:tcBorders>
              <w:left w:val="nil"/>
              <w:bottom w:val="single" w:sz="4" w:space="0" w:color="auto"/>
              <w:right w:val="single" w:sz="4" w:space="0" w:color="auto"/>
            </w:tcBorders>
            <w:shd w:val="clear" w:color="auto" w:fill="auto"/>
          </w:tcPr>
          <w:p w:rsidR="001653AB" w:rsidRPr="005302D1" w:rsidRDefault="001653AB" w:rsidP="00CF55F6">
            <w:pPr>
              <w:ind w:right="175"/>
              <w:jc w:val="both"/>
              <w:rPr>
                <w:sz w:val="22"/>
                <w:szCs w:val="22"/>
              </w:rPr>
            </w:pPr>
          </w:p>
          <w:p w:rsidR="001653AB" w:rsidRPr="005302D1" w:rsidRDefault="001653AB" w:rsidP="00CF55F6">
            <w:pPr>
              <w:ind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2" w:history="1">
              <w:r w:rsidRPr="005302D1">
                <w:rPr>
                  <w:rStyle w:val="Hyperlink"/>
                  <w:sz w:val="22"/>
                  <w:szCs w:val="22"/>
                </w:rPr>
                <w:t>http://ec.europa.eu/civil_service/job/sne/index_fr.htm</w:t>
              </w:r>
            </w:hyperlink>
            <w:r w:rsidRPr="005302D1">
              <w:rPr>
                <w:sz w:val="22"/>
                <w:szCs w:val="22"/>
              </w:rPr>
              <w:t>.</w:t>
            </w:r>
          </w:p>
          <w:p w:rsidR="001653AB" w:rsidRPr="005302D1" w:rsidRDefault="001653AB" w:rsidP="0059779D">
            <w:pPr>
              <w:ind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1653AB" w:rsidRPr="005302D1" w:rsidRDefault="001653AB" w:rsidP="0059779D">
            <w:pPr>
              <w:ind w:right="175"/>
              <w:jc w:val="both"/>
              <w:rPr>
                <w:sz w:val="22"/>
                <w:szCs w:val="22"/>
              </w:rPr>
            </w:pPr>
            <w:r w:rsidRPr="005302D1">
              <w:rPr>
                <w:sz w:val="22"/>
                <w:szCs w:val="22"/>
              </w:rPr>
              <w:t>Sauf pour les END sans frais, des indemnités de séjour peuvent être versées à l'END qui remplit les conditions</w:t>
            </w:r>
            <w:r w:rsidR="000B1463">
              <w:rPr>
                <w:sz w:val="22"/>
                <w:szCs w:val="22"/>
              </w:rPr>
              <w:t>,</w:t>
            </w:r>
            <w:r w:rsidRPr="005302D1">
              <w:rPr>
                <w:sz w:val="22"/>
                <w:szCs w:val="22"/>
              </w:rPr>
              <w:t xml:space="preserve"> conformément à l'article 17 de la décision END.</w:t>
            </w:r>
          </w:p>
          <w:p w:rsidR="001653AB" w:rsidRPr="005302D1" w:rsidRDefault="001653AB" w:rsidP="0059779D">
            <w:pPr>
              <w:ind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1653AB" w:rsidRDefault="001653AB" w:rsidP="00D85988">
            <w:pPr>
              <w:pStyle w:val="ListBullet"/>
              <w:numPr>
                <w:ilvl w:val="0"/>
                <w:numId w:val="0"/>
              </w:numPr>
              <w:ind w:right="161"/>
              <w:rPr>
                <w:bCs/>
                <w:sz w:val="22"/>
                <w:szCs w:val="22"/>
              </w:rPr>
            </w:pPr>
            <w:r w:rsidRPr="005302D1">
              <w:rPr>
                <w:bCs/>
                <w:sz w:val="22"/>
                <w:szCs w:val="22"/>
              </w:rPr>
              <w:t>Toute déclaration incomplète ou fausse pourra entraîner le refus de la candidature.</w:t>
            </w:r>
          </w:p>
          <w:p w:rsidR="00255C6F" w:rsidRPr="005302D1" w:rsidRDefault="00255C6F" w:rsidP="00255C6F">
            <w:pPr>
              <w:pStyle w:val="ListBullet"/>
              <w:numPr>
                <w:ilvl w:val="0"/>
                <w:numId w:val="0"/>
              </w:numPr>
              <w:ind w:right="161"/>
              <w:rPr>
                <w:sz w:val="22"/>
                <w:szCs w:val="22"/>
              </w:rPr>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w:t>
            </w:r>
            <w:r>
              <w:rPr>
                <w:sz w:val="22"/>
                <w:szCs w:val="22"/>
              </w:rPr>
              <w:t>'obtenir la confirmation de son détachement</w:t>
            </w:r>
            <w:r w:rsidRPr="00255C6F">
              <w:rPr>
                <w:sz w:val="22"/>
                <w:szCs w:val="22"/>
              </w:rPr>
              <w:t>.</w:t>
            </w:r>
          </w:p>
        </w:tc>
      </w:tr>
      <w:tr w:rsidR="001653AB" w:rsidRPr="0059779D" w:rsidTr="009D324E">
        <w:trPr>
          <w:jc w:val="center"/>
        </w:trPr>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3"/>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9D324E">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59779D">
            <w:pPr>
              <w:ind w:right="1317"/>
              <w:jc w:val="both"/>
              <w:rPr>
                <w:b/>
                <w:sz w:val="22"/>
                <w:szCs w:val="22"/>
              </w:rPr>
            </w:pPr>
            <w:r w:rsidRPr="008304E3">
              <w:rPr>
                <w:b/>
                <w:sz w:val="22"/>
                <w:szCs w:val="22"/>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E3586A">
            <w:pPr>
              <w:pStyle w:val="Footer"/>
              <w:rPr>
                <w:b/>
                <w:sz w:val="22"/>
                <w:szCs w:val="22"/>
              </w:rPr>
            </w:pPr>
            <w:r w:rsidRPr="008304E3">
              <w:rPr>
                <w:b/>
                <w:sz w:val="22"/>
                <w:szCs w:val="22"/>
              </w:rPr>
              <w:t>Traitement des données à caractère personnel :</w:t>
            </w:r>
          </w:p>
        </w:tc>
      </w:tr>
      <w:tr w:rsidR="001653AB" w:rsidRPr="0059779D" w:rsidTr="00F311DF">
        <w:trPr>
          <w:jc w:val="center"/>
        </w:trPr>
        <w:tc>
          <w:tcPr>
            <w:tcW w:w="392" w:type="dxa"/>
            <w:tcBorders>
              <w:top w:val="single" w:sz="4" w:space="0" w:color="auto"/>
              <w:left w:val="single" w:sz="4" w:space="0" w:color="auto"/>
              <w:bottom w:val="single" w:sz="4" w:space="0" w:color="auto"/>
            </w:tcBorders>
            <w:shd w:val="clear" w:color="auto" w:fill="auto"/>
          </w:tcPr>
          <w:p w:rsidR="001653AB" w:rsidRPr="008304E3" w:rsidRDefault="001653AB" w:rsidP="0059779D">
            <w:pPr>
              <w:ind w:right="1317"/>
              <w:jc w:val="both"/>
              <w:rPr>
                <w:b/>
                <w:sz w:val="22"/>
                <w:szCs w:val="22"/>
              </w:rPr>
            </w:pPr>
          </w:p>
        </w:tc>
        <w:tc>
          <w:tcPr>
            <w:tcW w:w="8930" w:type="dxa"/>
            <w:gridSpan w:val="3"/>
            <w:tcBorders>
              <w:top w:val="single" w:sz="4" w:space="0" w:color="auto"/>
              <w:bottom w:val="single" w:sz="4" w:space="0" w:color="auto"/>
              <w:right w:val="single" w:sz="4" w:space="0" w:color="auto"/>
            </w:tcBorders>
            <w:shd w:val="clear" w:color="auto" w:fill="auto"/>
          </w:tcPr>
          <w:p w:rsidR="008304E3" w:rsidRDefault="008304E3" w:rsidP="00D85988">
            <w:pPr>
              <w:ind w:right="175"/>
              <w:jc w:val="both"/>
              <w:rPr>
                <w:sz w:val="22"/>
                <w:szCs w:val="22"/>
              </w:rPr>
            </w:pPr>
          </w:p>
          <w:p w:rsidR="001653AB" w:rsidRPr="008304E3" w:rsidRDefault="001653AB" w:rsidP="00D85988">
            <w:pPr>
              <w:ind w:right="175"/>
              <w:jc w:val="both"/>
              <w:rPr>
                <w:sz w:val="22"/>
                <w:szCs w:val="22"/>
              </w:rPr>
            </w:pPr>
            <w:r w:rsidRPr="008304E3">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Pr>
                <w:sz w:val="22"/>
                <w:szCs w:val="22"/>
              </w:rPr>
              <w:t>DDG.</w:t>
            </w:r>
            <w:r w:rsidRPr="008304E3">
              <w:rPr>
                <w:sz w:val="22"/>
                <w:szCs w:val="22"/>
              </w:rPr>
              <w:t>B4. Ce traitement est basé sur la décision de la Commission relative aux END et est soumis au Règlement (</w:t>
            </w:r>
            <w:r w:rsidR="00F57591">
              <w:rPr>
                <w:sz w:val="22"/>
                <w:szCs w:val="22"/>
              </w:rPr>
              <w:t>UE</w:t>
            </w:r>
            <w:r w:rsidRPr="008304E3">
              <w:rPr>
                <w:sz w:val="22"/>
                <w:szCs w:val="22"/>
              </w:rPr>
              <w:t>) No 201</w:t>
            </w:r>
            <w:r w:rsidR="0051143D">
              <w:rPr>
                <w:sz w:val="22"/>
                <w:szCs w:val="22"/>
              </w:rPr>
              <w:t>8/1725.</w:t>
            </w:r>
          </w:p>
          <w:p w:rsidR="001653AB" w:rsidRPr="008304E3" w:rsidRDefault="001653AB" w:rsidP="00D85988">
            <w:pPr>
              <w:ind w:right="175"/>
              <w:jc w:val="both"/>
              <w:rPr>
                <w:sz w:val="22"/>
                <w:szCs w:val="22"/>
              </w:rPr>
            </w:pPr>
            <w:r w:rsidRPr="008304E3">
              <w:rPr>
                <w:sz w:val="22"/>
                <w:szCs w:val="22"/>
              </w:rPr>
              <w:t xml:space="preserve">Les données des END seront conservées pendant 10 ans à compter de la fin du détachement (2 ans pour les END dont la candidature n'a pas été retenue ou a été retirée). </w:t>
            </w:r>
          </w:p>
          <w:p w:rsidR="0051143D" w:rsidRPr="0051143D" w:rsidRDefault="0051143D" w:rsidP="0051143D">
            <w:pPr>
              <w:ind w:right="175"/>
              <w:jc w:val="both"/>
              <w:rPr>
                <w:sz w:val="22"/>
                <w:szCs w:val="22"/>
              </w:rPr>
            </w:pPr>
            <w:r w:rsidRPr="0051143D">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Pr>
                <w:sz w:val="22"/>
                <w:szCs w:val="22"/>
              </w:rPr>
              <w:t>au</w:t>
            </w:r>
            <w:r w:rsidRPr="0051143D">
              <w:rPr>
                <w:sz w:val="22"/>
                <w:szCs w:val="22"/>
              </w:rPr>
              <w:t xml:space="preserve"> droit à la portabilité des données.</w:t>
            </w:r>
          </w:p>
          <w:p w:rsidR="001653AB" w:rsidRDefault="0051143D" w:rsidP="0051143D">
            <w:pPr>
              <w:ind w:right="175"/>
              <w:jc w:val="both"/>
              <w:rPr>
                <w:sz w:val="22"/>
                <w:szCs w:val="22"/>
              </w:rPr>
            </w:pPr>
            <w:r w:rsidRPr="0051143D">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Default="00F311DF" w:rsidP="0051143D">
            <w:pPr>
              <w:ind w:right="175"/>
              <w:jc w:val="both"/>
              <w:rPr>
                <w:sz w:val="22"/>
                <w:szCs w:val="22"/>
              </w:rPr>
            </w:pPr>
          </w:p>
          <w:p w:rsidR="00F311DF" w:rsidRPr="00F311DF" w:rsidRDefault="00F311DF" w:rsidP="00F311DF">
            <w:pPr>
              <w:ind w:right="175"/>
              <w:jc w:val="both"/>
              <w:rPr>
                <w:b/>
                <w:sz w:val="22"/>
                <w:szCs w:val="22"/>
                <w:u w:val="single"/>
              </w:rPr>
            </w:pPr>
            <w:r w:rsidRPr="00F311DF">
              <w:rPr>
                <w:b/>
                <w:sz w:val="22"/>
                <w:szCs w:val="22"/>
                <w:u w:val="single"/>
              </w:rPr>
              <w:t>Informations de contact</w:t>
            </w:r>
          </w:p>
          <w:p w:rsidR="00F311DF" w:rsidRPr="00F311DF" w:rsidRDefault="00F311DF" w:rsidP="00F311DF">
            <w:pPr>
              <w:tabs>
                <w:tab w:val="left" w:pos="193"/>
              </w:tabs>
              <w:ind w:right="175"/>
              <w:jc w:val="both"/>
              <w:rPr>
                <w:sz w:val="22"/>
                <w:szCs w:val="22"/>
              </w:rPr>
            </w:pPr>
            <w:r w:rsidRPr="00F311DF">
              <w:rPr>
                <w:sz w:val="22"/>
                <w:szCs w:val="22"/>
              </w:rPr>
              <w:t>-</w:t>
            </w:r>
            <w:r>
              <w:rPr>
                <w:sz w:val="22"/>
                <w:szCs w:val="22"/>
              </w:rPr>
              <w:tab/>
            </w:r>
            <w:r w:rsidRPr="00F311DF">
              <w:rPr>
                <w:b/>
                <w:sz w:val="22"/>
                <w:szCs w:val="22"/>
              </w:rPr>
              <w:t>Le contrôleur de données</w:t>
            </w:r>
          </w:p>
          <w:p w:rsidR="00F311DF" w:rsidRPr="00F311DF" w:rsidRDefault="00F311DF" w:rsidP="00F311DF">
            <w:pPr>
              <w:ind w:right="175"/>
              <w:jc w:val="both"/>
              <w:rPr>
                <w:sz w:val="22"/>
                <w:szCs w:val="22"/>
              </w:rPr>
            </w:pPr>
            <w:r w:rsidRPr="00F311DF">
              <w:rPr>
                <w:sz w:val="22"/>
                <w:szCs w:val="22"/>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3" w:history="1">
              <w:r w:rsidRPr="00925F73">
                <w:rPr>
                  <w:rStyle w:val="Hyperlink"/>
                  <w:sz w:val="22"/>
                  <w:szCs w:val="22"/>
                </w:rPr>
                <w:t>HR-MAIL-B4@ec.europa.eu</w:t>
              </w:r>
            </w:hyperlink>
            <w:r w:rsidRPr="00F311DF">
              <w:rPr>
                <w:sz w:val="22"/>
                <w:szCs w:val="22"/>
              </w:rPr>
              <w:t>.</w:t>
            </w:r>
          </w:p>
          <w:p w:rsidR="00F311DF" w:rsidRPr="00F311DF" w:rsidRDefault="00F311DF" w:rsidP="00F311DF">
            <w:pPr>
              <w:tabs>
                <w:tab w:val="left" w:pos="193"/>
              </w:tabs>
              <w:ind w:right="175"/>
              <w:jc w:val="both"/>
              <w:rPr>
                <w:sz w:val="22"/>
                <w:szCs w:val="22"/>
              </w:rPr>
            </w:pPr>
            <w:r>
              <w:rPr>
                <w:sz w:val="22"/>
                <w:szCs w:val="22"/>
              </w:rPr>
              <w:t>-</w:t>
            </w:r>
            <w:r>
              <w:rPr>
                <w:sz w:val="22"/>
                <w:szCs w:val="22"/>
              </w:rPr>
              <w:tab/>
            </w:r>
            <w:r>
              <w:rPr>
                <w:b/>
                <w:sz w:val="22"/>
                <w:szCs w:val="22"/>
                <w:u w:val="single"/>
              </w:rPr>
              <w:t>L</w:t>
            </w:r>
            <w:r w:rsidRPr="00F311DF">
              <w:rPr>
                <w:b/>
                <w:sz w:val="22"/>
                <w:szCs w:val="22"/>
                <w:u w:val="single"/>
              </w:rPr>
              <w:t>e délégué à la protection des données (DPD) de la Commission</w:t>
            </w:r>
          </w:p>
          <w:p w:rsidR="00F311DF" w:rsidRPr="00F311DF" w:rsidRDefault="00F311DF" w:rsidP="00F311DF">
            <w:pPr>
              <w:ind w:right="175"/>
              <w:jc w:val="both"/>
              <w:rPr>
                <w:sz w:val="22"/>
                <w:szCs w:val="22"/>
              </w:rPr>
            </w:pPr>
            <w:r w:rsidRPr="00F311DF">
              <w:rPr>
                <w:sz w:val="22"/>
                <w:szCs w:val="22"/>
              </w:rPr>
              <w:t>Vous pouvez contacter le délégué à la protection des données (</w:t>
            </w:r>
            <w:hyperlink r:id="rId14" w:history="1">
              <w:r w:rsidRPr="00925F73">
                <w:rPr>
                  <w:rStyle w:val="Hyperlink"/>
                  <w:sz w:val="22"/>
                  <w:szCs w:val="22"/>
                </w:rPr>
                <w:t>DATA-PROTECTION-OFFICER@ec.europa.eu</w:t>
              </w:r>
            </w:hyperlink>
            <w:r w:rsidRPr="00F311DF">
              <w:rPr>
                <w:sz w:val="22"/>
                <w:szCs w:val="22"/>
              </w:rPr>
              <w:t>) pour toute question relative au traitement de vos données à caractère personnel en vertu du règlement (UE) 2018/1725.</w:t>
            </w:r>
          </w:p>
          <w:p w:rsidR="00F311DF" w:rsidRPr="00F311DF" w:rsidRDefault="00F311DF" w:rsidP="00F311DF">
            <w:pPr>
              <w:tabs>
                <w:tab w:val="left" w:pos="193"/>
              </w:tabs>
              <w:ind w:right="175"/>
              <w:jc w:val="both"/>
              <w:rPr>
                <w:b/>
                <w:sz w:val="22"/>
                <w:szCs w:val="22"/>
                <w:u w:val="single"/>
              </w:rPr>
            </w:pPr>
            <w:r w:rsidRPr="00F311DF">
              <w:rPr>
                <w:b/>
                <w:sz w:val="22"/>
                <w:szCs w:val="22"/>
              </w:rPr>
              <w:t>-</w:t>
            </w:r>
            <w:r>
              <w:rPr>
                <w:b/>
                <w:sz w:val="22"/>
                <w:szCs w:val="22"/>
              </w:rPr>
              <w:tab/>
            </w:r>
            <w:r>
              <w:rPr>
                <w:b/>
                <w:sz w:val="22"/>
                <w:szCs w:val="22"/>
                <w:u w:val="single"/>
              </w:rPr>
              <w:t>L</w:t>
            </w:r>
            <w:r w:rsidRPr="00F311DF">
              <w:rPr>
                <w:b/>
                <w:sz w:val="22"/>
                <w:szCs w:val="22"/>
                <w:u w:val="single"/>
              </w:rPr>
              <w:t>e contrôleur européen de la protection des données (CEPD)</w:t>
            </w:r>
          </w:p>
          <w:p w:rsidR="00F311DF" w:rsidRPr="00F311DF" w:rsidRDefault="00F311DF" w:rsidP="00F311DF">
            <w:pPr>
              <w:ind w:right="175"/>
              <w:jc w:val="both"/>
              <w:rPr>
                <w:sz w:val="22"/>
                <w:szCs w:val="22"/>
              </w:rPr>
            </w:pPr>
            <w:r w:rsidRPr="00F311DF">
              <w:rPr>
                <w:sz w:val="22"/>
                <w:szCs w:val="22"/>
              </w:rPr>
              <w:t>Vous avez le droit de saisir le contrôleur européen de la protection des données (</w:t>
            </w:r>
            <w:hyperlink r:id="rId15" w:history="1">
              <w:r w:rsidRPr="00925F73">
                <w:rPr>
                  <w:rStyle w:val="Hyperlink"/>
                  <w:sz w:val="22"/>
                  <w:szCs w:val="22"/>
                </w:rPr>
                <w:t>edps@edps.europa.eu</w:t>
              </w:r>
            </w:hyperlink>
            <w:r w:rsidRPr="00F311DF">
              <w:rPr>
                <w:sz w:val="22"/>
                <w:szCs w:val="22"/>
              </w:rPr>
              <w:t xml:space="preserve">) (c’est-à-dire que vous pouvez porter plainte) si vous estimez que vos droits en vertu du règlement (UE) 2018/1725 ont été violés </w:t>
            </w:r>
            <w:r>
              <w:rPr>
                <w:sz w:val="22"/>
                <w:szCs w:val="22"/>
              </w:rPr>
              <w:t xml:space="preserve">par le contrôleur </w:t>
            </w:r>
            <w:r w:rsidRPr="00F311DF">
              <w:rPr>
                <w:sz w:val="22"/>
                <w:szCs w:val="22"/>
              </w:rPr>
              <w:t>d</w:t>
            </w:r>
            <w:r>
              <w:rPr>
                <w:sz w:val="22"/>
                <w:szCs w:val="22"/>
              </w:rPr>
              <w:t>es</w:t>
            </w:r>
            <w:r w:rsidRPr="00F311DF">
              <w:rPr>
                <w:sz w:val="22"/>
                <w:szCs w:val="22"/>
              </w:rPr>
              <w:t xml:space="preserve"> </w:t>
            </w:r>
            <w:r>
              <w:rPr>
                <w:sz w:val="22"/>
                <w:szCs w:val="22"/>
              </w:rPr>
              <w:t>données</w:t>
            </w:r>
            <w:r w:rsidRPr="00F311DF">
              <w:rPr>
                <w:sz w:val="22"/>
                <w:szCs w:val="22"/>
              </w:rPr>
              <w:t>.</w:t>
            </w:r>
          </w:p>
          <w:p w:rsidR="00F311DF" w:rsidRDefault="00F311DF" w:rsidP="00F311DF">
            <w:pPr>
              <w:ind w:right="175"/>
              <w:jc w:val="both"/>
              <w:rPr>
                <w:sz w:val="22"/>
                <w:szCs w:val="22"/>
              </w:rPr>
            </w:pPr>
          </w:p>
          <w:p w:rsidR="001653AB" w:rsidRPr="008304E3" w:rsidRDefault="00F311DF" w:rsidP="00F311DF">
            <w:pPr>
              <w:ind w:right="175"/>
              <w:jc w:val="both"/>
              <w:rPr>
                <w:sz w:val="22"/>
                <w:szCs w:val="22"/>
              </w:rPr>
            </w:pPr>
            <w:r w:rsidRPr="00F311DF">
              <w:rPr>
                <w:sz w:val="22"/>
                <w:szCs w:val="22"/>
              </w:rPr>
              <w:lastRenderedPageBreak/>
              <w:t xml:space="preserve">À l'attention des candidats </w:t>
            </w:r>
            <w:r>
              <w:rPr>
                <w:sz w:val="22"/>
                <w:szCs w:val="22"/>
              </w:rPr>
              <w:t xml:space="preserve">ressortissant </w:t>
            </w:r>
            <w:r w:rsidRPr="00F311DF">
              <w:rPr>
                <w:sz w:val="22"/>
                <w:szCs w:val="22"/>
              </w:rPr>
              <w:t>de pays tiers: vos données personnelles peuvent être utilisées aux fins des vérifications nécessaires.</w:t>
            </w:r>
          </w:p>
        </w:tc>
      </w:tr>
    </w:tbl>
    <w:p w:rsidR="00E45131" w:rsidRPr="00300579" w:rsidRDefault="00E45131" w:rsidP="00300579">
      <w:pPr>
        <w:ind w:right="1317"/>
        <w:jc w:val="both"/>
        <w:rPr>
          <w:sz w:val="8"/>
          <w:szCs w:val="8"/>
        </w:rPr>
      </w:pPr>
    </w:p>
    <w:sectPr w:rsidR="00E45131" w:rsidRPr="00300579" w:rsidSect="00E93E80">
      <w:headerReference w:type="default" r:id="rId16"/>
      <w:footerReference w:type="default" r:id="rId17"/>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4F8" w:rsidRDefault="009C74F8">
      <w:r>
        <w:separator/>
      </w:r>
    </w:p>
  </w:endnote>
  <w:endnote w:type="continuationSeparator" w:id="0">
    <w:p w:rsidR="009C74F8" w:rsidRDefault="009C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EE4" w:rsidRPr="004C1142" w:rsidRDefault="004C1142" w:rsidP="004C1142">
    <w:pPr>
      <w:pStyle w:val="Footer"/>
      <w:jc w:val="right"/>
      <w:rPr>
        <w:sz w:val="20"/>
      </w:rPr>
    </w:pPr>
    <w:r w:rsidRPr="004C1142">
      <w:rPr>
        <w:sz w:val="20"/>
      </w:rPr>
      <w:t>Version 201</w:t>
    </w:r>
    <w:r w:rsidR="008304E3">
      <w:rPr>
        <w:sz w:val="20"/>
      </w:rPr>
      <w:t>9</w:t>
    </w:r>
    <w:r w:rsidRPr="004C1142">
      <w:rPr>
        <w:sz w:val="20"/>
      </w:rPr>
      <w:t>-</w:t>
    </w:r>
    <w:r w:rsidR="00110A6A">
      <w:rPr>
        <w:sz w:val="20"/>
      </w:rPr>
      <w:t>0</w:t>
    </w:r>
    <w:r w:rsidR="00F351F4">
      <w:rPr>
        <w:sz w:val="20"/>
      </w:rPr>
      <w:t>3</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4F8" w:rsidRDefault="009C74F8">
      <w:r>
        <w:separator/>
      </w:r>
    </w:p>
  </w:footnote>
  <w:footnote w:type="continuationSeparator" w:id="0">
    <w:p w:rsidR="009C74F8" w:rsidRDefault="009C74F8">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8928AB"/>
    <w:multiLevelType w:val="hybridMultilevel"/>
    <w:tmpl w:val="A5D2F6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7"/>
  </w:num>
  <w:num w:numId="4">
    <w:abstractNumId w:val="10"/>
  </w:num>
  <w:num w:numId="5">
    <w:abstractNumId w:val="9"/>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860A3"/>
    <w:rsid w:val="000B1463"/>
    <w:rsid w:val="000D13C7"/>
    <w:rsid w:val="000D6BA8"/>
    <w:rsid w:val="000E6B9E"/>
    <w:rsid w:val="000F0B02"/>
    <w:rsid w:val="00103973"/>
    <w:rsid w:val="0010457A"/>
    <w:rsid w:val="00110555"/>
    <w:rsid w:val="00110A6A"/>
    <w:rsid w:val="00135773"/>
    <w:rsid w:val="0016470B"/>
    <w:rsid w:val="001653AB"/>
    <w:rsid w:val="00177175"/>
    <w:rsid w:val="00182ACD"/>
    <w:rsid w:val="00184D0D"/>
    <w:rsid w:val="00184FC0"/>
    <w:rsid w:val="00185847"/>
    <w:rsid w:val="00185A6E"/>
    <w:rsid w:val="001B6676"/>
    <w:rsid w:val="001D0B72"/>
    <w:rsid w:val="001F3C8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71801"/>
    <w:rsid w:val="00277C58"/>
    <w:rsid w:val="00277C82"/>
    <w:rsid w:val="00281224"/>
    <w:rsid w:val="00285754"/>
    <w:rsid w:val="00290FFF"/>
    <w:rsid w:val="00295F97"/>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76E4"/>
    <w:rsid w:val="00377F18"/>
    <w:rsid w:val="003B2134"/>
    <w:rsid w:val="003B5F6F"/>
    <w:rsid w:val="003D484D"/>
    <w:rsid w:val="003E0024"/>
    <w:rsid w:val="003E7309"/>
    <w:rsid w:val="00407204"/>
    <w:rsid w:val="00410120"/>
    <w:rsid w:val="00436856"/>
    <w:rsid w:val="00446C52"/>
    <w:rsid w:val="0045400E"/>
    <w:rsid w:val="00454010"/>
    <w:rsid w:val="00464F7A"/>
    <w:rsid w:val="00482CE4"/>
    <w:rsid w:val="00491FE7"/>
    <w:rsid w:val="00495CA4"/>
    <w:rsid w:val="004B0250"/>
    <w:rsid w:val="004B7487"/>
    <w:rsid w:val="004C1142"/>
    <w:rsid w:val="004C1CF4"/>
    <w:rsid w:val="00501362"/>
    <w:rsid w:val="00506CDC"/>
    <w:rsid w:val="0051143D"/>
    <w:rsid w:val="00523BEC"/>
    <w:rsid w:val="00525AB3"/>
    <w:rsid w:val="005302D1"/>
    <w:rsid w:val="0053797D"/>
    <w:rsid w:val="005459ED"/>
    <w:rsid w:val="005524F3"/>
    <w:rsid w:val="0055386D"/>
    <w:rsid w:val="00553F52"/>
    <w:rsid w:val="00554C6D"/>
    <w:rsid w:val="0056395F"/>
    <w:rsid w:val="00570F58"/>
    <w:rsid w:val="00577BDC"/>
    <w:rsid w:val="00577E73"/>
    <w:rsid w:val="00597574"/>
    <w:rsid w:val="0059779D"/>
    <w:rsid w:val="005A1433"/>
    <w:rsid w:val="005A2544"/>
    <w:rsid w:val="005C4FC1"/>
    <w:rsid w:val="005D3035"/>
    <w:rsid w:val="005D56DF"/>
    <w:rsid w:val="005D6462"/>
    <w:rsid w:val="005E0625"/>
    <w:rsid w:val="005F7BCC"/>
    <w:rsid w:val="00625DED"/>
    <w:rsid w:val="00630D64"/>
    <w:rsid w:val="00657080"/>
    <w:rsid w:val="00673097"/>
    <w:rsid w:val="00682CB4"/>
    <w:rsid w:val="006A175E"/>
    <w:rsid w:val="006A35E2"/>
    <w:rsid w:val="006B0276"/>
    <w:rsid w:val="006B764A"/>
    <w:rsid w:val="006C2880"/>
    <w:rsid w:val="007429C6"/>
    <w:rsid w:val="00747985"/>
    <w:rsid w:val="0076561B"/>
    <w:rsid w:val="007662D5"/>
    <w:rsid w:val="0078320E"/>
    <w:rsid w:val="007E36DE"/>
    <w:rsid w:val="007F12AE"/>
    <w:rsid w:val="00807D4A"/>
    <w:rsid w:val="00811432"/>
    <w:rsid w:val="00820556"/>
    <w:rsid w:val="00824FF5"/>
    <w:rsid w:val="008304E3"/>
    <w:rsid w:val="0083637C"/>
    <w:rsid w:val="00836F84"/>
    <w:rsid w:val="00837C9B"/>
    <w:rsid w:val="00844D7B"/>
    <w:rsid w:val="00856CF1"/>
    <w:rsid w:val="008650B6"/>
    <w:rsid w:val="008B38B2"/>
    <w:rsid w:val="008C1BAB"/>
    <w:rsid w:val="008F4E36"/>
    <w:rsid w:val="008F5099"/>
    <w:rsid w:val="008F6CE2"/>
    <w:rsid w:val="00921131"/>
    <w:rsid w:val="009436D0"/>
    <w:rsid w:val="0094446C"/>
    <w:rsid w:val="00951939"/>
    <w:rsid w:val="00952714"/>
    <w:rsid w:val="009555C7"/>
    <w:rsid w:val="00961FDC"/>
    <w:rsid w:val="00977839"/>
    <w:rsid w:val="009C74F8"/>
    <w:rsid w:val="009D324E"/>
    <w:rsid w:val="009E1B29"/>
    <w:rsid w:val="009F27F5"/>
    <w:rsid w:val="00A047E9"/>
    <w:rsid w:val="00A13127"/>
    <w:rsid w:val="00A26BD3"/>
    <w:rsid w:val="00A26C4A"/>
    <w:rsid w:val="00A462B8"/>
    <w:rsid w:val="00A610E3"/>
    <w:rsid w:val="00A766A4"/>
    <w:rsid w:val="00A83AC3"/>
    <w:rsid w:val="00AA6F9C"/>
    <w:rsid w:val="00AA7C72"/>
    <w:rsid w:val="00AB2358"/>
    <w:rsid w:val="00B07C01"/>
    <w:rsid w:val="00B25175"/>
    <w:rsid w:val="00B25951"/>
    <w:rsid w:val="00B30B67"/>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355A"/>
    <w:rsid w:val="00C67062"/>
    <w:rsid w:val="00C72A05"/>
    <w:rsid w:val="00C734AA"/>
    <w:rsid w:val="00C7471D"/>
    <w:rsid w:val="00CC0DBE"/>
    <w:rsid w:val="00CC6445"/>
    <w:rsid w:val="00CD0164"/>
    <w:rsid w:val="00CD6C77"/>
    <w:rsid w:val="00CF55F6"/>
    <w:rsid w:val="00CF75BB"/>
    <w:rsid w:val="00D07676"/>
    <w:rsid w:val="00D17D0C"/>
    <w:rsid w:val="00D411C5"/>
    <w:rsid w:val="00D436AB"/>
    <w:rsid w:val="00D459AB"/>
    <w:rsid w:val="00D743B0"/>
    <w:rsid w:val="00D85988"/>
    <w:rsid w:val="00DB2121"/>
    <w:rsid w:val="00DB2B95"/>
    <w:rsid w:val="00DB632F"/>
    <w:rsid w:val="00DB7CF2"/>
    <w:rsid w:val="00DB7D07"/>
    <w:rsid w:val="00DC353D"/>
    <w:rsid w:val="00DC7A1C"/>
    <w:rsid w:val="00DD20D9"/>
    <w:rsid w:val="00DD7A2A"/>
    <w:rsid w:val="00DE6CF2"/>
    <w:rsid w:val="00DF3FDD"/>
    <w:rsid w:val="00E00EE4"/>
    <w:rsid w:val="00E3586A"/>
    <w:rsid w:val="00E45131"/>
    <w:rsid w:val="00E63EEB"/>
    <w:rsid w:val="00E67CD7"/>
    <w:rsid w:val="00E71A8F"/>
    <w:rsid w:val="00E71C56"/>
    <w:rsid w:val="00E93E80"/>
    <w:rsid w:val="00EA4A1F"/>
    <w:rsid w:val="00EB347A"/>
    <w:rsid w:val="00ED15A0"/>
    <w:rsid w:val="00EE2303"/>
    <w:rsid w:val="00EF61D4"/>
    <w:rsid w:val="00F25489"/>
    <w:rsid w:val="00F311DF"/>
    <w:rsid w:val="00F351F4"/>
    <w:rsid w:val="00F40B04"/>
    <w:rsid w:val="00F54F7E"/>
    <w:rsid w:val="00F57591"/>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Marco.Giorello@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17E4B-00D0-4392-BFB7-270F73C7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1947</Words>
  <Characters>11606</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13526</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7536757</vt:i4>
      </vt:variant>
      <vt:variant>
        <vt:i4>3</vt:i4>
      </vt:variant>
      <vt:variant>
        <vt:i4>0</vt:i4>
      </vt:variant>
      <vt:variant>
        <vt:i4>5</vt:i4>
      </vt:variant>
      <vt:variant>
        <vt:lpwstr>http://ec.europa.eu/civil_service/job/sne/index_fr.htm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HENROTTE Corinne (HR)</cp:lastModifiedBy>
  <cp:revision>2</cp:revision>
  <cp:lastPrinted>2019-03-19T14:28:00Z</cp:lastPrinted>
  <dcterms:created xsi:type="dcterms:W3CDTF">2019-04-09T08:50:00Z</dcterms:created>
  <dcterms:modified xsi:type="dcterms:W3CDTF">2019-04-09T08:50:00Z</dcterms:modified>
</cp:coreProperties>
</file>