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737" w:rsidRDefault="002D3414" w:rsidP="0069244E">
      <w:pPr>
        <w:ind w:right="1317"/>
        <w:jc w:val="center"/>
        <w:rPr>
          <w:b/>
          <w:lang w:val="de-DE"/>
        </w:rPr>
      </w:pPr>
      <w:r>
        <w:rPr>
          <w:b/>
          <w:noProof/>
          <w:lang w:val="en-GB"/>
        </w:rPr>
        <w:drawing>
          <wp:anchor distT="0" distB="0" distL="114300" distR="114300" simplePos="0" relativeHeight="251657728" behindDoc="1" locked="0" layoutInCell="1" allowOverlap="1">
            <wp:simplePos x="0" y="0"/>
            <wp:positionH relativeFrom="column">
              <wp:posOffset>0</wp:posOffset>
            </wp:positionH>
            <wp:positionV relativeFrom="paragraph">
              <wp:posOffset>-409575</wp:posOffset>
            </wp:positionV>
            <wp:extent cx="1381125" cy="685800"/>
            <wp:effectExtent l="0" t="0" r="9525" b="0"/>
            <wp:wrapTight wrapText="bothSides">
              <wp:wrapPolygon edited="0">
                <wp:start x="0" y="0"/>
                <wp:lineTo x="0" y="21000"/>
                <wp:lineTo x="21451" y="21000"/>
                <wp:lineTo x="2145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CA54D9" w:rsidRDefault="006643E5" w:rsidP="00527871">
      <w:pPr>
        <w:spacing w:before="240"/>
        <w:ind w:left="720" w:right="1315"/>
        <w:jc w:val="center"/>
        <w:rPr>
          <w:b/>
          <w:lang w:val="de-DE"/>
        </w:rPr>
      </w:pPr>
      <w:r w:rsidRPr="009222CC">
        <w:rPr>
          <w:b/>
          <w:lang w:val="de-DE"/>
        </w:rPr>
        <w:t>STELLENAUSSCHREIBUNG</w:t>
      </w:r>
    </w:p>
    <w:p w:rsidR="00527871" w:rsidRPr="009222CC" w:rsidRDefault="00527871" w:rsidP="00527871">
      <w:pPr>
        <w:ind w:left="720" w:right="1315"/>
        <w:jc w:val="center"/>
        <w:rPr>
          <w:b/>
          <w:lang w:val="de-DE"/>
        </w:rPr>
      </w:pPr>
    </w:p>
    <w:p w:rsidR="00CC152B" w:rsidRDefault="00CC152B" w:rsidP="00527871">
      <w:pPr>
        <w:tabs>
          <w:tab w:val="left" w:pos="10065"/>
        </w:tabs>
        <w:ind w:left="720" w:right="1317"/>
        <w:jc w:val="center"/>
        <w:rPr>
          <w:b/>
          <w:lang w:val="de-DE"/>
        </w:rPr>
      </w:pPr>
      <w:r>
        <w:rPr>
          <w:b/>
          <w:lang w:val="de-DE"/>
        </w:rPr>
        <w:t>ZU</w:t>
      </w:r>
      <w:r w:rsidRPr="009222CC">
        <w:rPr>
          <w:b/>
          <w:lang w:val="de-DE"/>
        </w:rPr>
        <w:t xml:space="preserve">R EUROPÄISCHEN KOMMISSION </w:t>
      </w:r>
    </w:p>
    <w:p w:rsidR="006643E5" w:rsidRPr="009222CC" w:rsidRDefault="006643E5" w:rsidP="00527871">
      <w:pPr>
        <w:tabs>
          <w:tab w:val="left" w:pos="10065"/>
        </w:tabs>
        <w:ind w:left="720"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jc w:val="center"/>
        <w:tblLayout w:type="fixed"/>
        <w:tblLook w:val="01E0" w:firstRow="1" w:lastRow="1" w:firstColumn="1" w:lastColumn="1" w:noHBand="0" w:noVBand="0"/>
      </w:tblPr>
      <w:tblGrid>
        <w:gridCol w:w="392"/>
        <w:gridCol w:w="3271"/>
        <w:gridCol w:w="5645"/>
        <w:gridCol w:w="14"/>
      </w:tblGrid>
      <w:tr w:rsidR="008F4989" w:rsidRPr="00430C1C" w:rsidTr="00527871">
        <w:trPr>
          <w:gridAfter w:val="1"/>
          <w:wAfter w:w="14" w:type="dxa"/>
          <w:jc w:val="center"/>
        </w:trPr>
        <w:tc>
          <w:tcPr>
            <w:tcW w:w="3663"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645" w:type="dxa"/>
            <w:tcBorders>
              <w:top w:val="single" w:sz="4" w:space="0" w:color="auto"/>
              <w:left w:val="single" w:sz="4" w:space="0" w:color="auto"/>
              <w:bottom w:val="single" w:sz="4" w:space="0" w:color="auto"/>
              <w:right w:val="single" w:sz="4" w:space="0" w:color="auto"/>
            </w:tcBorders>
          </w:tcPr>
          <w:p w:rsidR="008F4989" w:rsidRPr="009222CC" w:rsidRDefault="00D03C40" w:rsidP="00D03C40">
            <w:pPr>
              <w:ind w:right="1317"/>
              <w:rPr>
                <w:b/>
                <w:lang w:val="de-DE"/>
              </w:rPr>
            </w:pPr>
            <w:r>
              <w:rPr>
                <w:rFonts w:eastAsia="Calibri"/>
                <w:b/>
                <w:szCs w:val="24"/>
                <w:lang w:val="de-DE" w:eastAsia="en-US"/>
              </w:rPr>
              <w:t>CNECT-B-2</w:t>
            </w:r>
          </w:p>
        </w:tc>
      </w:tr>
      <w:tr w:rsidR="00DF1D3A" w:rsidRPr="002D3414" w:rsidTr="00DF1D3A">
        <w:trPr>
          <w:gridAfter w:val="1"/>
          <w:wAfter w:w="14" w:type="dxa"/>
          <w:trHeight w:val="2150"/>
          <w:jc w:val="center"/>
        </w:trPr>
        <w:tc>
          <w:tcPr>
            <w:tcW w:w="3663" w:type="dxa"/>
            <w:gridSpan w:val="2"/>
            <w:vMerge w:val="restart"/>
            <w:tcBorders>
              <w:top w:val="single" w:sz="4" w:space="0" w:color="auto"/>
              <w:left w:val="single" w:sz="4" w:space="0" w:color="auto"/>
              <w:bottom w:val="nil"/>
              <w:right w:val="single" w:sz="4" w:space="0" w:color="auto"/>
            </w:tcBorders>
          </w:tcPr>
          <w:p w:rsidR="00DF1D3A" w:rsidRPr="00527871" w:rsidRDefault="00DF1D3A" w:rsidP="0069244E">
            <w:pPr>
              <w:tabs>
                <w:tab w:val="left" w:pos="1697"/>
              </w:tabs>
              <w:ind w:right="-1739"/>
              <w:jc w:val="both"/>
              <w:rPr>
                <w:b/>
                <w:sz w:val="22"/>
                <w:szCs w:val="22"/>
                <w:lang w:val="de-DE"/>
              </w:rPr>
            </w:pPr>
            <w:r w:rsidRPr="00527871">
              <w:rPr>
                <w:b/>
                <w:sz w:val="22"/>
                <w:szCs w:val="22"/>
                <w:lang w:val="de-DE"/>
              </w:rPr>
              <w:t>Referatsleiter:</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E-Mail-Adresse:</w:t>
            </w:r>
          </w:p>
          <w:p w:rsidR="00DF1D3A" w:rsidRDefault="00DF1D3A" w:rsidP="0069244E">
            <w:pPr>
              <w:tabs>
                <w:tab w:val="left" w:pos="1697"/>
              </w:tabs>
              <w:ind w:right="-1739"/>
              <w:jc w:val="both"/>
              <w:rPr>
                <w:b/>
                <w:sz w:val="22"/>
                <w:szCs w:val="22"/>
                <w:lang w:val="de-DE"/>
              </w:rPr>
            </w:pPr>
            <w:r w:rsidRPr="00527871">
              <w:rPr>
                <w:b/>
                <w:sz w:val="22"/>
                <w:szCs w:val="22"/>
                <w:lang w:val="de-DE"/>
              </w:rPr>
              <w:t>Telefon:</w:t>
            </w:r>
          </w:p>
          <w:p w:rsidR="00DF1D3A" w:rsidRPr="00527871" w:rsidRDefault="00DF1D3A" w:rsidP="0069244E">
            <w:pPr>
              <w:tabs>
                <w:tab w:val="left" w:pos="1697"/>
              </w:tabs>
              <w:ind w:right="-1739"/>
              <w:jc w:val="both"/>
              <w:rPr>
                <w:sz w:val="22"/>
                <w:szCs w:val="22"/>
                <w:lang w:val="de-DE"/>
              </w:rPr>
            </w:pPr>
            <w:r w:rsidRPr="00527871">
              <w:rPr>
                <w:b/>
                <w:sz w:val="22"/>
                <w:szCs w:val="22"/>
                <w:lang w:val="de-DE"/>
              </w:rPr>
              <w:t>Anzahl der zu besetzenden Stellen:</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Gewünschter Dienstantritt:</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 Dauer der</w:t>
            </w:r>
          </w:p>
          <w:p w:rsidR="00DF1D3A" w:rsidRPr="00527871" w:rsidRDefault="00DF1D3A" w:rsidP="0069244E">
            <w:pPr>
              <w:tabs>
                <w:tab w:val="left" w:pos="1697"/>
              </w:tabs>
              <w:ind w:right="-1739"/>
              <w:jc w:val="both"/>
              <w:rPr>
                <w:sz w:val="22"/>
                <w:szCs w:val="22"/>
                <w:lang w:val="de-DE"/>
              </w:rPr>
            </w:pPr>
            <w:r w:rsidRPr="00527871">
              <w:rPr>
                <w:b/>
                <w:sz w:val="22"/>
                <w:szCs w:val="22"/>
                <w:lang w:val="de-DE"/>
              </w:rPr>
              <w:t>1. Abordnung:</w:t>
            </w:r>
          </w:p>
          <w:p w:rsidR="00DF1D3A" w:rsidRPr="00527871" w:rsidRDefault="00DF1D3A" w:rsidP="00DF1D3A">
            <w:pPr>
              <w:tabs>
                <w:tab w:val="left" w:pos="1697"/>
              </w:tabs>
              <w:ind w:right="-1739"/>
              <w:jc w:val="both"/>
              <w:rPr>
                <w:sz w:val="22"/>
                <w:szCs w:val="22"/>
                <w:lang w:val="de-DE"/>
              </w:rPr>
            </w:pPr>
            <w:r w:rsidRPr="00527871">
              <w:rPr>
                <w:b/>
                <w:sz w:val="22"/>
                <w:szCs w:val="22"/>
                <w:lang w:val="de-DE"/>
              </w:rPr>
              <w:t>Dienstort:</w:t>
            </w:r>
          </w:p>
        </w:tc>
        <w:tc>
          <w:tcPr>
            <w:tcW w:w="5645" w:type="dxa"/>
            <w:tcBorders>
              <w:top w:val="single" w:sz="4" w:space="0" w:color="auto"/>
              <w:left w:val="single" w:sz="4" w:space="0" w:color="auto"/>
              <w:right w:val="single" w:sz="4" w:space="0" w:color="auto"/>
            </w:tcBorders>
          </w:tcPr>
          <w:p w:rsidR="00EA20CD" w:rsidRPr="002D3414" w:rsidRDefault="00EA20CD" w:rsidP="00EA20CD">
            <w:pPr>
              <w:ind w:right="1317"/>
              <w:jc w:val="both"/>
              <w:rPr>
                <w:b/>
                <w:sz w:val="22"/>
                <w:szCs w:val="22"/>
                <w:lang w:val="de-DE"/>
              </w:rPr>
            </w:pPr>
            <w:r w:rsidRPr="002D3414">
              <w:rPr>
                <w:b/>
                <w:sz w:val="22"/>
                <w:szCs w:val="22"/>
                <w:lang w:val="de-DE"/>
              </w:rPr>
              <w:t>Wolf-Dietrich GRUSSMANN</w:t>
            </w:r>
          </w:p>
          <w:p w:rsidR="00DF1D3A" w:rsidRPr="00EA20CD" w:rsidRDefault="002D3414" w:rsidP="0069244E">
            <w:pPr>
              <w:ind w:right="1317"/>
              <w:jc w:val="both"/>
              <w:rPr>
                <w:b/>
                <w:sz w:val="22"/>
                <w:szCs w:val="22"/>
                <w:lang w:val="de-DE"/>
              </w:rPr>
            </w:pPr>
            <w:hyperlink r:id="rId9" w:history="1">
              <w:r w:rsidR="00D03C40" w:rsidRPr="00BB60C7">
                <w:rPr>
                  <w:rStyle w:val="Hyperlink"/>
                  <w:b/>
                  <w:sz w:val="22"/>
                  <w:szCs w:val="22"/>
                  <w:lang w:val="de-DE"/>
                </w:rPr>
                <w:t>Wolf-Dietrich.Grussmann@ec.europa.eu</w:t>
              </w:r>
            </w:hyperlink>
          </w:p>
          <w:p w:rsidR="00DF1D3A" w:rsidRDefault="00EA20CD" w:rsidP="0069244E">
            <w:pPr>
              <w:ind w:right="1317"/>
              <w:jc w:val="both"/>
              <w:rPr>
                <w:b/>
                <w:sz w:val="22"/>
                <w:szCs w:val="22"/>
                <w:lang w:val="de-DE"/>
              </w:rPr>
            </w:pPr>
            <w:r>
              <w:rPr>
                <w:b/>
                <w:sz w:val="22"/>
                <w:szCs w:val="22"/>
                <w:lang w:val="de-DE"/>
              </w:rPr>
              <w:t>+32 2 29 58559</w:t>
            </w:r>
          </w:p>
          <w:p w:rsidR="00DF1D3A" w:rsidRDefault="00EA20CD" w:rsidP="0069244E">
            <w:pPr>
              <w:ind w:right="1317"/>
              <w:jc w:val="both"/>
              <w:rPr>
                <w:b/>
                <w:sz w:val="22"/>
                <w:szCs w:val="22"/>
                <w:lang w:val="de-DE"/>
              </w:rPr>
            </w:pPr>
            <w:r>
              <w:rPr>
                <w:b/>
                <w:sz w:val="22"/>
                <w:szCs w:val="22"/>
                <w:lang w:val="de-DE"/>
              </w:rPr>
              <w:t>1</w:t>
            </w:r>
          </w:p>
          <w:p w:rsidR="00DF1D3A" w:rsidRPr="00527871" w:rsidRDefault="00EA20CD" w:rsidP="0069244E">
            <w:pPr>
              <w:ind w:left="34" w:right="1317"/>
              <w:jc w:val="both"/>
              <w:rPr>
                <w:b/>
                <w:sz w:val="22"/>
                <w:szCs w:val="22"/>
                <w:lang w:val="de-DE"/>
              </w:rPr>
            </w:pPr>
            <w:r w:rsidRPr="003F1150">
              <w:rPr>
                <w:b/>
                <w:sz w:val="22"/>
                <w:szCs w:val="22"/>
                <w:lang w:val="de-DE"/>
              </w:rPr>
              <w:t>3</w:t>
            </w:r>
            <w:r w:rsidR="003F1150" w:rsidRPr="003F1150">
              <w:rPr>
                <w:b/>
                <w:sz w:val="22"/>
                <w:szCs w:val="22"/>
                <w:lang w:val="de-DE"/>
              </w:rPr>
              <w:t>tes</w:t>
            </w:r>
            <w:r w:rsidR="00DF1D3A" w:rsidRPr="003F1150">
              <w:rPr>
                <w:b/>
                <w:sz w:val="22"/>
                <w:szCs w:val="22"/>
                <w:lang w:val="de-DE"/>
              </w:rPr>
              <w:t xml:space="preserve"> </w:t>
            </w:r>
            <w:r w:rsidR="00DF1D3A" w:rsidRPr="00527871">
              <w:rPr>
                <w:b/>
                <w:sz w:val="22"/>
                <w:szCs w:val="22"/>
                <w:lang w:val="de-DE"/>
              </w:rPr>
              <w:t>Quartal 201</w:t>
            </w:r>
            <w:r w:rsidR="00DF1D3A">
              <w:rPr>
                <w:b/>
                <w:sz w:val="22"/>
                <w:szCs w:val="22"/>
                <w:lang w:val="de-DE"/>
              </w:rPr>
              <w:t>9</w:t>
            </w:r>
            <w:r w:rsidR="00DF1D3A" w:rsidRPr="00527871">
              <w:rPr>
                <w:rStyle w:val="FootnoteReference"/>
                <w:b/>
                <w:sz w:val="22"/>
                <w:szCs w:val="22"/>
                <w:lang w:val="de-DE"/>
              </w:rPr>
              <w:footnoteReference w:id="1"/>
            </w:r>
          </w:p>
          <w:p w:rsidR="00DF1D3A" w:rsidRDefault="00430C1C" w:rsidP="00DF1D3A">
            <w:pPr>
              <w:ind w:right="1317"/>
              <w:jc w:val="both"/>
              <w:rPr>
                <w:b/>
                <w:sz w:val="22"/>
                <w:szCs w:val="22"/>
                <w:lang w:val="de-DE"/>
              </w:rPr>
            </w:pPr>
            <w:r>
              <w:rPr>
                <w:b/>
                <w:sz w:val="22"/>
                <w:szCs w:val="22"/>
                <w:lang w:val="de-DE"/>
              </w:rPr>
              <w:t xml:space="preserve">2 </w:t>
            </w:r>
            <w:r w:rsidR="007F5463">
              <w:rPr>
                <w:b/>
                <w:sz w:val="22"/>
                <w:szCs w:val="22"/>
                <w:lang w:val="de-DE"/>
              </w:rPr>
              <w:t>Jahr</w:t>
            </w:r>
            <w:r w:rsidR="00DF1D3A" w:rsidRPr="00527871">
              <w:rPr>
                <w:b/>
                <w:sz w:val="22"/>
                <w:szCs w:val="22"/>
                <w:lang w:val="de-DE"/>
              </w:rPr>
              <w:t>e</w:t>
            </w:r>
            <w:r w:rsidR="00DF1D3A" w:rsidRPr="00527871">
              <w:rPr>
                <w:rStyle w:val="FootnoteReference"/>
                <w:b/>
                <w:sz w:val="22"/>
                <w:szCs w:val="22"/>
                <w:lang w:val="de-DE"/>
              </w:rPr>
              <w:t>1</w:t>
            </w:r>
          </w:p>
          <w:p w:rsidR="00DF6CAE" w:rsidRDefault="00DF6CAE" w:rsidP="00DF1D3A">
            <w:pPr>
              <w:ind w:right="1317"/>
              <w:jc w:val="both"/>
              <w:rPr>
                <w:b/>
                <w:sz w:val="22"/>
                <w:szCs w:val="22"/>
                <w:lang w:val="de-DE"/>
              </w:rPr>
            </w:pPr>
          </w:p>
          <w:p w:rsidR="00DF1D3A" w:rsidRPr="00527871" w:rsidRDefault="00EA20CD" w:rsidP="00527871">
            <w:pPr>
              <w:tabs>
                <w:tab w:val="left" w:pos="317"/>
                <w:tab w:val="left" w:pos="1310"/>
                <w:tab w:val="left" w:pos="1735"/>
                <w:tab w:val="left" w:pos="3011"/>
                <w:tab w:val="left" w:pos="3436"/>
              </w:tabs>
              <w:ind w:right="9"/>
              <w:jc w:val="both"/>
              <w:rPr>
                <w:b/>
                <w:sz w:val="22"/>
                <w:szCs w:val="22"/>
                <w:lang w:val="de-DE"/>
              </w:rPr>
            </w:pPr>
            <w:r w:rsidRPr="002D3414">
              <w:rPr>
                <w:rFonts w:eastAsia="MS Minngs"/>
                <w:bCs/>
                <w:sz w:val="22"/>
                <w:szCs w:val="22"/>
                <w:lang w:val="de-DE"/>
              </w:rPr>
              <w:t xml:space="preserve">X </w:t>
            </w:r>
            <w:r w:rsidR="00DF1D3A" w:rsidRPr="00527871">
              <w:rPr>
                <w:b/>
                <w:sz w:val="22"/>
                <w:szCs w:val="22"/>
                <w:lang w:val="de-DE"/>
              </w:rPr>
              <w:t>Brüssel</w:t>
            </w:r>
            <w:r w:rsidR="00DF1D3A">
              <w:rPr>
                <w:b/>
                <w:sz w:val="22"/>
                <w:szCs w:val="22"/>
                <w:lang w:val="de-DE"/>
              </w:rPr>
              <w:tab/>
            </w:r>
            <w:r w:rsidR="00DF1D3A" w:rsidRPr="00527871">
              <w:rPr>
                <w:rFonts w:eastAsia="MS Minngs"/>
                <w:bCs/>
                <w:sz w:val="22"/>
                <w:szCs w:val="22"/>
                <w:lang w:val="fr-FR"/>
              </w:rPr>
              <w:sym w:font="Wingdings 2" w:char="F0A3"/>
            </w:r>
            <w:r w:rsidR="00DF1D3A" w:rsidRPr="00527871">
              <w:rPr>
                <w:rFonts w:eastAsia="MS Minngs"/>
                <w:bCs/>
                <w:sz w:val="22"/>
                <w:szCs w:val="22"/>
                <w:lang w:val="de-DE"/>
              </w:rPr>
              <w:tab/>
            </w:r>
            <w:r w:rsidR="00DF1D3A" w:rsidRPr="00527871">
              <w:rPr>
                <w:b/>
                <w:sz w:val="22"/>
                <w:szCs w:val="22"/>
                <w:lang w:val="de-DE"/>
              </w:rPr>
              <w:t>Luxemburg</w:t>
            </w:r>
            <w:r w:rsidR="00DF1D3A">
              <w:rPr>
                <w:b/>
                <w:sz w:val="22"/>
                <w:szCs w:val="22"/>
                <w:lang w:val="de-DE"/>
              </w:rPr>
              <w:tab/>
            </w:r>
            <w:r w:rsidR="00DF1D3A" w:rsidRPr="00527871">
              <w:rPr>
                <w:rFonts w:eastAsia="MS Minngs"/>
                <w:bCs/>
                <w:sz w:val="22"/>
                <w:szCs w:val="22"/>
                <w:lang w:val="fr-FR"/>
              </w:rPr>
              <w:sym w:font="Wingdings 2" w:char="F0A3"/>
            </w:r>
            <w:r w:rsidR="00DF1D3A" w:rsidRPr="00527871">
              <w:rPr>
                <w:rFonts w:eastAsia="MS Minngs"/>
                <w:bCs/>
                <w:sz w:val="22"/>
                <w:szCs w:val="22"/>
                <w:lang w:val="de-DE"/>
              </w:rPr>
              <w:t xml:space="preserve"> </w:t>
            </w:r>
            <w:r w:rsidR="00DF1D3A">
              <w:rPr>
                <w:rFonts w:eastAsia="MS Minngs"/>
                <w:bCs/>
                <w:sz w:val="22"/>
                <w:szCs w:val="22"/>
                <w:lang w:val="de-DE"/>
              </w:rPr>
              <w:tab/>
            </w:r>
            <w:r w:rsidR="00DF1D3A" w:rsidRPr="00527871">
              <w:rPr>
                <w:b/>
                <w:sz w:val="22"/>
                <w:szCs w:val="22"/>
                <w:lang w:val="de-DE"/>
              </w:rPr>
              <w:t>Anderer:…</w:t>
            </w:r>
            <w:r w:rsidR="00DF1D3A">
              <w:rPr>
                <w:b/>
                <w:sz w:val="22"/>
                <w:szCs w:val="22"/>
                <w:lang w:val="de-DE"/>
              </w:rPr>
              <w:t>……..</w:t>
            </w:r>
          </w:p>
        </w:tc>
      </w:tr>
      <w:tr w:rsidR="00527871" w:rsidRPr="002D3414" w:rsidTr="00527871">
        <w:trPr>
          <w:gridAfter w:val="1"/>
          <w:wAfter w:w="14" w:type="dxa"/>
          <w:jc w:val="center"/>
        </w:trPr>
        <w:tc>
          <w:tcPr>
            <w:tcW w:w="3663" w:type="dxa"/>
            <w:gridSpan w:val="2"/>
            <w:vMerge/>
            <w:tcBorders>
              <w:left w:val="single" w:sz="4" w:space="0" w:color="auto"/>
              <w:right w:val="single" w:sz="4" w:space="0" w:color="auto"/>
            </w:tcBorders>
          </w:tcPr>
          <w:p w:rsidR="00527871" w:rsidRPr="00527871" w:rsidRDefault="00527871" w:rsidP="0069244E">
            <w:pPr>
              <w:tabs>
                <w:tab w:val="left" w:pos="1697"/>
              </w:tabs>
              <w:ind w:right="-1739"/>
              <w:jc w:val="both"/>
              <w:rPr>
                <w:sz w:val="22"/>
                <w:szCs w:val="22"/>
                <w:lang w:val="de-DE"/>
              </w:rPr>
            </w:pPr>
          </w:p>
        </w:tc>
        <w:tc>
          <w:tcPr>
            <w:tcW w:w="5645" w:type="dxa"/>
            <w:tcBorders>
              <w:top w:val="single" w:sz="4" w:space="0" w:color="auto"/>
              <w:left w:val="single" w:sz="4" w:space="0" w:color="auto"/>
              <w:bottom w:val="single" w:sz="4" w:space="0" w:color="auto"/>
              <w:right w:val="single" w:sz="4" w:space="0" w:color="auto"/>
            </w:tcBorders>
          </w:tcPr>
          <w:p w:rsidR="00527871" w:rsidRPr="00527871" w:rsidRDefault="00EA20CD" w:rsidP="00527871">
            <w:pPr>
              <w:tabs>
                <w:tab w:val="left" w:pos="1697"/>
              </w:tabs>
              <w:spacing w:before="100" w:after="100"/>
              <w:ind w:right="-1741"/>
              <w:rPr>
                <w:b/>
                <w:sz w:val="22"/>
                <w:szCs w:val="22"/>
                <w:lang w:val="de-DE"/>
              </w:rPr>
            </w:pPr>
            <w:r w:rsidRPr="002D3414">
              <w:rPr>
                <w:rFonts w:eastAsia="MS Minngs"/>
                <w:bCs/>
                <w:sz w:val="22"/>
                <w:szCs w:val="22"/>
                <w:lang w:val="de-DE"/>
              </w:rPr>
              <w:t xml:space="preserve">X </w:t>
            </w:r>
            <w:r w:rsidR="00527871" w:rsidRPr="00527871">
              <w:rPr>
                <w:b/>
                <w:sz w:val="22"/>
                <w:szCs w:val="22"/>
                <w:lang w:val="de-DE"/>
              </w:rPr>
              <w:t xml:space="preserve">Mit Vergütungen   </w:t>
            </w:r>
            <w:r w:rsidR="00527871" w:rsidRPr="00527871">
              <w:rPr>
                <w:rFonts w:eastAsia="MS Minngs"/>
                <w:bCs/>
                <w:sz w:val="22"/>
                <w:szCs w:val="22"/>
                <w:lang w:val="fr-FR"/>
              </w:rPr>
              <w:sym w:font="Wingdings 2" w:char="F0A3"/>
            </w:r>
            <w:r w:rsidR="00527871" w:rsidRPr="00527871">
              <w:rPr>
                <w:b/>
                <w:sz w:val="22"/>
                <w:szCs w:val="22"/>
                <w:lang w:val="de-DE"/>
              </w:rPr>
              <w:t xml:space="preserve">  Unentgeltlich Abgeordnet</w:t>
            </w:r>
          </w:p>
        </w:tc>
      </w:tr>
      <w:tr w:rsidR="00527871" w:rsidRPr="002D3414" w:rsidTr="00527871">
        <w:trPr>
          <w:gridAfter w:val="1"/>
          <w:wAfter w:w="14" w:type="dxa"/>
          <w:trHeight w:val="701"/>
          <w:jc w:val="center"/>
        </w:trPr>
        <w:tc>
          <w:tcPr>
            <w:tcW w:w="3663" w:type="dxa"/>
            <w:gridSpan w:val="2"/>
            <w:vMerge/>
            <w:tcBorders>
              <w:left w:val="single" w:sz="4" w:space="0" w:color="auto"/>
              <w:bottom w:val="single" w:sz="4" w:space="0" w:color="auto"/>
              <w:right w:val="single" w:sz="4" w:space="0" w:color="auto"/>
            </w:tcBorders>
          </w:tcPr>
          <w:p w:rsidR="00527871" w:rsidRPr="00527871" w:rsidRDefault="00527871" w:rsidP="0069244E">
            <w:pPr>
              <w:tabs>
                <w:tab w:val="left" w:pos="1697"/>
              </w:tabs>
              <w:ind w:right="-1739"/>
              <w:jc w:val="both"/>
              <w:rPr>
                <w:b/>
                <w:sz w:val="22"/>
                <w:szCs w:val="22"/>
                <w:lang w:val="de-DE"/>
              </w:rPr>
            </w:pPr>
          </w:p>
        </w:tc>
        <w:tc>
          <w:tcPr>
            <w:tcW w:w="5645" w:type="dxa"/>
            <w:tcBorders>
              <w:left w:val="single" w:sz="4" w:space="0" w:color="auto"/>
              <w:bottom w:val="single" w:sz="4" w:space="0" w:color="auto"/>
              <w:right w:val="single" w:sz="4" w:space="0" w:color="auto"/>
            </w:tcBorders>
          </w:tcPr>
          <w:p w:rsidR="00527871" w:rsidRPr="00527871" w:rsidRDefault="00527871" w:rsidP="002747E6">
            <w:pPr>
              <w:rPr>
                <w:b/>
                <w:sz w:val="22"/>
                <w:szCs w:val="22"/>
                <w:lang w:val="de-DE"/>
              </w:rPr>
            </w:pPr>
            <w:r w:rsidRPr="00527871">
              <w:rPr>
                <w:b/>
                <w:sz w:val="22"/>
                <w:szCs w:val="22"/>
                <w:lang w:val="de-DE"/>
              </w:rPr>
              <w:t>Auf diese Stellenausschreibung können sich auch</w:t>
            </w:r>
          </w:p>
          <w:p w:rsidR="00527871" w:rsidRPr="00527871" w:rsidRDefault="00527871" w:rsidP="00527871">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die </w:t>
            </w:r>
            <w:r>
              <w:rPr>
                <w:b/>
                <w:sz w:val="22"/>
                <w:szCs w:val="22"/>
                <w:lang w:val="de-DE"/>
              </w:rPr>
              <w:tab/>
            </w:r>
            <w:r>
              <w:rPr>
                <w:b/>
                <w:sz w:val="22"/>
                <w:szCs w:val="22"/>
                <w:lang w:val="de-DE"/>
              </w:rPr>
              <w:tab/>
            </w:r>
            <w:r>
              <w:rPr>
                <w:b/>
                <w:sz w:val="22"/>
                <w:szCs w:val="22"/>
                <w:lang w:val="de-DE"/>
              </w:rPr>
              <w:tab/>
            </w:r>
            <w:r w:rsidRPr="00527871">
              <w:rPr>
                <w:b/>
                <w:sz w:val="22"/>
                <w:szCs w:val="22"/>
                <w:lang w:val="de-DE"/>
              </w:rPr>
              <w:t>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w:t>
            </w:r>
            <w:r>
              <w:rPr>
                <w:b/>
                <w:sz w:val="22"/>
                <w:szCs w:val="22"/>
                <w:lang w:val="de-DE"/>
              </w:rPr>
              <w:br/>
            </w:r>
            <w:r>
              <w:rPr>
                <w:b/>
                <w:sz w:val="22"/>
                <w:szCs w:val="22"/>
                <w:lang w:val="de-DE"/>
              </w:rPr>
              <w:tab/>
              <w:t xml:space="preserve">     </w:t>
            </w:r>
            <w:r w:rsidRPr="00527871">
              <w:rPr>
                <w:b/>
                <w:sz w:val="22"/>
                <w:szCs w:val="22"/>
                <w:lang w:val="de-DE"/>
              </w:rPr>
              <w:t>(Island, Liechtenstein, Norwegen)</w:t>
            </w:r>
          </w:p>
          <w:p w:rsidR="00527871" w:rsidRPr="00527871" w:rsidRDefault="00527871" w:rsidP="002747E6">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527871" w:rsidRPr="00527871" w:rsidRDefault="00527871" w:rsidP="00527871">
            <w:pPr>
              <w:tabs>
                <w:tab w:val="left" w:pos="459"/>
              </w:tabs>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xml:space="preserve">    Bedienstete folgender zwischenstaatlicher </w:t>
            </w:r>
            <w:r>
              <w:rPr>
                <w:rStyle w:val="Strong"/>
                <w:sz w:val="22"/>
                <w:szCs w:val="22"/>
                <w:lang w:val="de-DE"/>
              </w:rPr>
              <w:tab/>
            </w:r>
            <w:r w:rsidRPr="00527871">
              <w:rPr>
                <w:rStyle w:val="Strong"/>
                <w:sz w:val="22"/>
                <w:szCs w:val="22"/>
                <w:lang w:val="de-DE"/>
              </w:rPr>
              <w:t>Organisationen bewerben:</w:t>
            </w:r>
          </w:p>
          <w:p w:rsidR="00527871" w:rsidRPr="00527871" w:rsidRDefault="00527871" w:rsidP="0069244E">
            <w:pPr>
              <w:tabs>
                <w:tab w:val="left" w:pos="1697"/>
              </w:tabs>
              <w:ind w:right="-1739"/>
              <w:jc w:val="both"/>
              <w:rPr>
                <w:rFonts w:eastAsia="MS Minngs"/>
                <w:bCs/>
                <w:sz w:val="22"/>
                <w:szCs w:val="22"/>
                <w:lang w:val="de-DE"/>
              </w:rPr>
            </w:pPr>
          </w:p>
        </w:tc>
      </w:tr>
      <w:tr w:rsidR="006643E5" w:rsidRPr="002D3414" w:rsidTr="00527871">
        <w:trPr>
          <w:gridAfter w:val="1"/>
          <w:wAfter w:w="14" w:type="dxa"/>
          <w:jc w:val="center"/>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Art der Tätigkeit:</w:t>
            </w:r>
          </w:p>
        </w:tc>
      </w:tr>
      <w:tr w:rsidR="006643E5" w:rsidRPr="002D3414" w:rsidTr="00527871">
        <w:trPr>
          <w:gridAfter w:val="1"/>
          <w:wAfter w:w="14" w:type="dxa"/>
          <w:jc w:val="center"/>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3F1150" w:rsidRPr="003F1150" w:rsidRDefault="003F1150" w:rsidP="003F1150">
            <w:pPr>
              <w:shd w:val="clear" w:color="auto" w:fill="FFFFFF"/>
              <w:spacing w:before="100" w:beforeAutospacing="1"/>
              <w:jc w:val="both"/>
              <w:rPr>
                <w:sz w:val="22"/>
                <w:szCs w:val="22"/>
                <w:lang w:val="de-DE"/>
              </w:rPr>
            </w:pPr>
            <w:r w:rsidRPr="003F1150">
              <w:rPr>
                <w:sz w:val="22"/>
                <w:szCs w:val="22"/>
                <w:lang w:val="de-DE"/>
              </w:rPr>
              <w:t>Referat B.2 "Umsetzung des Rechtsrahmens" ist eines der fünf Referate der Direktion B "Elektronische Kommunikationsnetze und -dienste" in der GD CNECT.</w:t>
            </w:r>
          </w:p>
          <w:p w:rsidR="003F1150" w:rsidRPr="003F1150" w:rsidRDefault="003F1150" w:rsidP="003F1150">
            <w:pPr>
              <w:pStyle w:val="NormalWeb"/>
              <w:spacing w:after="0" w:afterAutospacing="0"/>
              <w:jc w:val="both"/>
              <w:rPr>
                <w:sz w:val="22"/>
                <w:szCs w:val="22"/>
                <w:lang w:val="de-DE"/>
              </w:rPr>
            </w:pPr>
            <w:r w:rsidRPr="003F1150">
              <w:rPr>
                <w:sz w:val="22"/>
                <w:szCs w:val="22"/>
                <w:lang w:val="de-DE"/>
              </w:rPr>
              <w:t>Wir sind ein hoch motiviertes Team von ungefähr 20 Kollegen, die Markt- und regulatorische Entwicklungen in nationalen elektronischen Kommunikationsmärkten, einschließlich Mobilfunk und Internet-Zugangsdiensten, verfolgen sowie die Rechtsanwendung in diesem Bereich, in Zusammenarbeit mit dem Referat B3 im Bereich marktbezogener Regulierung, und mit Unterstützung der Referate B4 und B5 für einzelne Mitgliedstaaten. Zusätzlich zu der allgemeinen Verantwortung für die Umsetzung des Regulierungsrahmens und für die Stärkung bewährter Verfahren ist das Referat B2 insbesondere zuständig für die Beziehungen zu GEREK und für den Kommunikationsausschuss. Darüber hinaus ist das Referat B2 insbesondere auch zuständig für die vollständige Abschaffung der Roaming-Endkunden-Zusatzentgelte in der EU. Das Referat B2 trägt direkt bei zur Berichtserstattung zum Index der digitalen Wirtschaft und Gesellschaft (DESI), in Zusammenarbeit mit dem Direktorat F.</w:t>
            </w:r>
          </w:p>
          <w:p w:rsidR="003F1150" w:rsidRPr="003F1150" w:rsidRDefault="003F1150" w:rsidP="003F1150">
            <w:pPr>
              <w:pStyle w:val="NormalWeb"/>
              <w:shd w:val="clear" w:color="auto" w:fill="FFFFFF"/>
              <w:jc w:val="both"/>
              <w:rPr>
                <w:b/>
                <w:sz w:val="22"/>
                <w:szCs w:val="22"/>
                <w:u w:val="single"/>
                <w:lang w:val="de-DE"/>
              </w:rPr>
            </w:pPr>
            <w:r w:rsidRPr="003F1150">
              <w:rPr>
                <w:b/>
                <w:sz w:val="22"/>
                <w:szCs w:val="22"/>
                <w:u w:val="single"/>
                <w:lang w:val="de-DE"/>
              </w:rPr>
              <w:t>Wir bieten:</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 xml:space="preserve">Wir bieten eine sehr interessante Stelle als Sachbearbeiterin / Länderreferentin bzw. Sachbearbeiter / Länderreferent im Bereich der Regulierung der elektronischen Kommunikation </w:t>
            </w:r>
            <w:r w:rsidRPr="003F1150">
              <w:rPr>
                <w:sz w:val="22"/>
                <w:szCs w:val="22"/>
                <w:lang w:val="de-DE"/>
              </w:rPr>
              <w:lastRenderedPageBreak/>
              <w:t>für einen Kollegin bzw. Kollegen, die bzw. der aktiv zur Umsetzung des jüngst verabschiedeten neuen Kodex für elektronische Kommunikation beiträgt, und dadurch an der Umsetzung eines neuen und wichtigen Bestandteils des digitalen Binnenmarktes in Europa mitarbeitet, sowie an der bereits in Angriff genommenen Überprüfung der Roaming-Verordnung.</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Als Mitglied des Roaming Teams, werden Sie unter der Supervision des Sektorleiters/Referatsleiters insbesondere zur Analyse und zur Erstellung von schriftlichen Entwürfen im Rahmen der bereits begonnenen und bis Ende 2019 abzuschließenden  Überprüfung des Großhandels-Roaming beitragen. Dies umfasst ggf. auch die Vorbereitung angemessener Legislativvorschläge und ihrer Folgenabschätzung.</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Als Länderreferentin bzw. Länderreferent für einen oder mehrere Mitgliedstaaten werden Sie sich mit allen wichtigen Interessensvertretern austauschen und die Anlaufstelle innerhalb der Generaldirektion für das Konnektivitätskapitel des jährlichen DESI-Berichts der Kommission sein. Die Aufgaben umfassen den Kontakt mit den Mitgliedstaaten, Regulierungsbehörden, Marktteilnehmern, Nutzern und Industrieverbänden und bieten die Gelegenheit für Dienstreisen, um die Kommission bei jährlichen Informationsbesuchen und in verschiedenen anderen Foren zu vertreten.</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Sie werden die regulatorischen und Markt-Entwicklungen in den jeweiligen Ländern beobachten, Länderkapitel als Teil des DESI-Berichts entwerfen, die Umsetzung des EU-Regulierungsrahmens analysieren und hierzu Bericht erstatten, Vertragsverletzungsverfahren vorbereiten oder soweit erforderlich zur Interpretation von EU-Recht bei der Beantwortung von Vorabentscheidungsersuchen, die von nationalen Gerichten an den Europäischen Gerichtshof gerichtet werden, beitragen. Die Themengebiete, die Sie verfolgen werden, umfassen unter anderem die Umsetzung von Vorschriften zur Netzneutralität, das Roaming sowie die einheitliche europäische Notrufnummer 112.</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 xml:space="preserve">Die Arbeit in CNECT.B2 ist sehr dynamisch und keine Routine, da die Aufgaben des Referats weitreichend sind: Beobachtung der Entwicklungen des Telekommunikationsmarkts in einzelnen Mitgliedstaaten und EU-weit, Information des Managements zu neuen und aktuellen Fragen, Beurteilung der Auswirkungen von EU-Gesetzgebung auf die Märkte der elektronischen Kommunikation, Berichterstattung zur Umsetzung von EU-Recht in den Mitgliedstaaten, Durchführung von Vertragsverletzungsverfahren und Unterstützung der Tätigkeit des Kommunikationsausschusses und von GEREK. </w:t>
            </w:r>
          </w:p>
          <w:p w:rsidR="003F1150" w:rsidRPr="003F1150" w:rsidRDefault="003F1150" w:rsidP="003F1150">
            <w:pPr>
              <w:pStyle w:val="NormalWeb"/>
              <w:shd w:val="clear" w:color="auto" w:fill="FFFFFF"/>
              <w:jc w:val="both"/>
              <w:rPr>
                <w:sz w:val="22"/>
                <w:szCs w:val="22"/>
                <w:lang w:val="de-DE"/>
              </w:rPr>
            </w:pPr>
            <w:r w:rsidRPr="003F1150">
              <w:rPr>
                <w:rStyle w:val="Strong"/>
                <w:sz w:val="22"/>
                <w:szCs w:val="22"/>
                <w:u w:val="single"/>
                <w:lang w:val="de-DE"/>
              </w:rPr>
              <w:t>Wir suchen</w:t>
            </w:r>
            <w:r w:rsidRPr="003F1150">
              <w:rPr>
                <w:rStyle w:val="Strong"/>
                <w:sz w:val="22"/>
                <w:szCs w:val="22"/>
                <w:lang w:val="de-DE"/>
              </w:rPr>
              <w:t>:</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Eine Kandidatin bzw. einen Kandidaten mit vorzugsweise rechtlicher und/oder ökonomischer Berufserfahrung, die bzw. der analytische sowie Fähigkeiten zur Erstellung schriftlicher Entwürfe unter Beweis gestellt hat. </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 xml:space="preserve">Wir suchen eine/n enthusiastische/n und hoch motivierte/n Kollegin bzw. Kollegen mit großer Erfahrung und gründlicher Kenntnis des EU Rechts. Kenntnisse des Rechtsrahmens für elektronische Kommunikation sind ein Vorteil. </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Die Pflege von Kontakten mit Betreibern, Regierungsbehörden und anderen Interessensvertretern ist wichtig.</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Wir bemühen uns um einen gut aufgeteilten und handhabbaren Arbeitsanfall, gleichwohl sollten Sie in der Lage sein, unter Druck und innerhalb enger Fristsetzungen zu arbeiten.</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Die Kandidatin bzw. der Kandidat sollte über die Fähigkeit verfügen, sich neue Sachbereiche schnell zu erarbeiten, sobald dies notwendig ist. </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 xml:space="preserve">Die Tätigkeit erfordert exzellente organisatorische und kommunikative Fähigkeit und ein hohes </w:t>
            </w:r>
            <w:r w:rsidRPr="003F1150">
              <w:rPr>
                <w:sz w:val="22"/>
                <w:szCs w:val="22"/>
                <w:lang w:val="de-DE"/>
              </w:rPr>
              <w:lastRenderedPageBreak/>
              <w:t>Maß an Flexibilität.</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Wir erwarten von der Kandidatin bzw. von dem Kandidaten, dass sie bzw. er ein/e erprobte/r Teamplayerin bzw.Teamplayer ist, Initiative ergreift und fähig ist, selbständig zu arbeiten, sobald dies notwendig ist. </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Die Tätigkeit erfordert sehr gute englische Sprachkenntnisse, sowohl mündlich als auch schriftlich, und die Fähigkeit, in französischer Sprache zu arbeiten; Kenntnisse anderer Sprachen sind von Vorteil. Die Kandidatin bzw. der Kandidat sollte gute Computerkenntnisse besitzen.</w:t>
            </w:r>
          </w:p>
          <w:p w:rsidR="003F1150" w:rsidRPr="003F1150" w:rsidRDefault="003F1150" w:rsidP="003F1150">
            <w:pPr>
              <w:pStyle w:val="NormalWeb"/>
              <w:shd w:val="clear" w:color="auto" w:fill="FFFFFF"/>
              <w:jc w:val="both"/>
              <w:rPr>
                <w:sz w:val="22"/>
                <w:szCs w:val="22"/>
                <w:lang w:val="de-DE"/>
              </w:rPr>
            </w:pPr>
            <w:r w:rsidRPr="003F1150">
              <w:rPr>
                <w:sz w:val="22"/>
                <w:szCs w:val="22"/>
                <w:lang w:val="de-DE"/>
              </w:rPr>
              <w:t>Die GD CNECT verfolgt eine Politik der Chancengleichheit und Diversität. Innerhalb der Kommission steht die GD CNECT in vorderster Linie was das Wohlbefinden der Beschäftigten angeht, mit verschiedenen Aktivitäten für Gesundheitsförderung, Stressverarbeitung und interpersonelle Beziehungen. Darüber hinaus legt unsere GD besonderen Wert auf flexible Arbeitsbedingungen und eine gute Vereinbarkeit von Berufs- und Privatleben ihres Personals. Darüber hinaus haben wir eine Vielzahl von Maßnahmen zur Unterstützung von Neuankömmlingen und zur Gewährleistung ihrer reibungslosen Integration entwickelt.</w:t>
            </w:r>
          </w:p>
          <w:p w:rsidR="00EF57C4" w:rsidRPr="00527871" w:rsidRDefault="00EF57C4" w:rsidP="00EF57C4">
            <w:pPr>
              <w:suppressAutoHyphens/>
              <w:jc w:val="both"/>
              <w:rPr>
                <w:b/>
                <w:sz w:val="22"/>
                <w:szCs w:val="22"/>
                <w:lang w:val="de-DE"/>
              </w:rPr>
            </w:pPr>
          </w:p>
        </w:tc>
      </w:tr>
      <w:tr w:rsidR="006643E5" w:rsidRPr="002D3414"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Erforderliche Qualifikationen:</w:t>
            </w:r>
          </w:p>
        </w:tc>
      </w:tr>
      <w:tr w:rsidR="006643E5" w:rsidRPr="00527871" w:rsidTr="00527871">
        <w:trPr>
          <w:gridAfter w:val="1"/>
          <w:wAfter w:w="14" w:type="dxa"/>
          <w:jc w:val="center"/>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527871" w:rsidRDefault="006643E5" w:rsidP="0069244E">
            <w:pPr>
              <w:ind w:right="1317"/>
              <w:jc w:val="both"/>
              <w:rPr>
                <w:sz w:val="22"/>
                <w:szCs w:val="22"/>
                <w:lang w:val="de-DE"/>
              </w:rPr>
            </w:pPr>
          </w:p>
          <w:p w:rsidR="006643E5" w:rsidRDefault="006643E5" w:rsidP="0069244E">
            <w:pPr>
              <w:ind w:right="1317"/>
              <w:jc w:val="both"/>
              <w:rPr>
                <w:sz w:val="22"/>
                <w:szCs w:val="22"/>
                <w:u w:val="single"/>
                <w:lang w:val="de-DE"/>
              </w:rPr>
            </w:pPr>
            <w:r w:rsidRPr="00527871">
              <w:rPr>
                <w:sz w:val="22"/>
                <w:szCs w:val="22"/>
                <w:lang w:val="de-DE"/>
              </w:rPr>
              <w:t xml:space="preserve">a) </w:t>
            </w:r>
            <w:r w:rsidRPr="00EB2A8F">
              <w:rPr>
                <w:b/>
                <w:sz w:val="22"/>
                <w:szCs w:val="22"/>
                <w:u w:val="single"/>
                <w:lang w:val="de-DE"/>
              </w:rPr>
              <w:t>Zulassungskriterien</w:t>
            </w:r>
          </w:p>
          <w:p w:rsidR="009D5781" w:rsidRPr="00527871" w:rsidRDefault="009D5781" w:rsidP="0069244E">
            <w:pPr>
              <w:ind w:right="1317"/>
              <w:jc w:val="both"/>
              <w:rPr>
                <w:sz w:val="22"/>
                <w:szCs w:val="22"/>
                <w:lang w:val="de-DE"/>
              </w:rPr>
            </w:pPr>
          </w:p>
        </w:tc>
      </w:tr>
      <w:tr w:rsidR="006643E5" w:rsidRPr="002D3414"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6643E5" w:rsidP="0069244E">
            <w:pPr>
              <w:ind w:left="48" w:right="161"/>
              <w:jc w:val="both"/>
              <w:rPr>
                <w:sz w:val="22"/>
                <w:szCs w:val="22"/>
                <w:lang w:val="de-DE"/>
              </w:rPr>
            </w:pPr>
            <w:r w:rsidRPr="00527871">
              <w:rPr>
                <w:sz w:val="22"/>
                <w:szCs w:val="22"/>
                <w:lang w:val="de-DE"/>
              </w:rPr>
              <w:t xml:space="preserve">Nationale Sachverständige können zur Kommission abgeordnet werden, wenn sie alle Zulassungskriterien erfüllen. Bewerberinnen und Bewerber, die </w:t>
            </w:r>
            <w:r w:rsidR="004324AA">
              <w:rPr>
                <w:sz w:val="22"/>
                <w:szCs w:val="22"/>
                <w:lang w:val="de-DE"/>
              </w:rPr>
              <w:t>nicht alle diese</w:t>
            </w:r>
            <w:r w:rsidR="00904A6F">
              <w:rPr>
                <w:sz w:val="22"/>
                <w:szCs w:val="22"/>
                <w:lang w:val="de-DE"/>
              </w:rPr>
              <w:t>r</w:t>
            </w:r>
            <w:r w:rsidR="004324AA">
              <w:rPr>
                <w:sz w:val="22"/>
                <w:szCs w:val="22"/>
                <w:lang w:val="de-DE"/>
              </w:rPr>
              <w:t xml:space="preserve"> </w:t>
            </w:r>
            <w:r w:rsidRPr="00527871">
              <w:rPr>
                <w:sz w:val="22"/>
                <w:szCs w:val="22"/>
                <w:lang w:val="de-DE"/>
              </w:rPr>
              <w:t>Kriterien erfüllen, werden automatisch vom Auswahlverfahren ausgeschlossen.</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Berufserfahrung</w:t>
            </w:r>
            <w:r w:rsidR="009D5781" w:rsidRPr="009D5781">
              <w:rPr>
                <w:sz w:val="22"/>
                <w:szCs w:val="22"/>
                <w:lang w:val="de-DE"/>
              </w:rPr>
              <w:t xml:space="preserve"> </w:t>
            </w:r>
            <w:r w:rsidRPr="00527871">
              <w:rPr>
                <w:sz w:val="22"/>
                <w:szCs w:val="22"/>
                <w:lang w:val="de-DE"/>
              </w:rPr>
              <w:t xml:space="preserve">: Bewerberinnen und Bewerber müssen über </w:t>
            </w:r>
            <w:r w:rsidR="00112D65">
              <w:rPr>
                <w:sz w:val="22"/>
                <w:szCs w:val="22"/>
                <w:lang w:val="de-DE"/>
              </w:rPr>
              <w:t xml:space="preserve">eine </w:t>
            </w:r>
            <w:r w:rsidRPr="00527871">
              <w:rPr>
                <w:sz w:val="22"/>
                <w:szCs w:val="22"/>
                <w:lang w:val="de-DE"/>
              </w:rPr>
              <w:t>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Dienstalter</w:t>
            </w:r>
            <w:r w:rsidR="009D5781" w:rsidRPr="009D5781">
              <w:rPr>
                <w:sz w:val="22"/>
                <w:szCs w:val="22"/>
                <w:lang w:val="de-DE"/>
              </w:rPr>
              <w:t xml:space="preserve"> </w:t>
            </w:r>
            <w:r w:rsidRPr="00527871">
              <w:rPr>
                <w:sz w:val="22"/>
                <w:szCs w:val="22"/>
                <w:lang w:val="de-DE"/>
              </w:rPr>
              <w:t>: Bewerberinnen und Bewerber müssen ein Dienstalter von mindestens eine</w:t>
            </w:r>
            <w:r w:rsidR="0069244E" w:rsidRPr="00527871">
              <w:rPr>
                <w:sz w:val="22"/>
                <w:szCs w:val="22"/>
                <w:lang w:val="de-DE"/>
              </w:rPr>
              <w:t>m Jahr bei ihrem Arbeitgeber nach</w:t>
            </w:r>
            <w:r w:rsidRPr="00527871">
              <w:rPr>
                <w:sz w:val="22"/>
                <w:szCs w:val="22"/>
                <w:lang w:val="de-DE"/>
              </w:rPr>
              <w:t xml:space="preserve">weisen, das heißt seit mindestens einem Jahr in einem dienst- oder vertragsrechtlichen Verhältnis mit einem Arbeitgeber im Sinne von Artikel 1 des ANS-Beschlusses stehen. </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Sprachkenntnisse</w:t>
            </w:r>
            <w:r w:rsidR="009D5781" w:rsidRPr="009D5781">
              <w:rPr>
                <w:sz w:val="22"/>
                <w:szCs w:val="22"/>
                <w:lang w:val="de-DE"/>
              </w:rPr>
              <w:t xml:space="preserve"> </w:t>
            </w:r>
            <w:r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2D3414"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6643E5" w:rsidP="0069244E">
            <w:pPr>
              <w:ind w:right="1317"/>
              <w:jc w:val="both"/>
              <w:rPr>
                <w:b/>
                <w:sz w:val="22"/>
                <w:szCs w:val="22"/>
                <w:lang w:val="de-DE"/>
              </w:rPr>
            </w:pPr>
          </w:p>
        </w:tc>
      </w:tr>
      <w:tr w:rsidR="006643E5" w:rsidRPr="00EB2A8F"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EB2A8F" w:rsidRDefault="00E14E5A" w:rsidP="00E14E5A">
            <w:pPr>
              <w:tabs>
                <w:tab w:val="left" w:pos="317"/>
              </w:tabs>
              <w:ind w:right="1317"/>
              <w:jc w:val="both"/>
              <w:rPr>
                <w:sz w:val="22"/>
                <w:szCs w:val="22"/>
                <w:lang w:val="de-DE"/>
              </w:rPr>
            </w:pPr>
            <w:r w:rsidRPr="00EB2A8F">
              <w:rPr>
                <w:sz w:val="22"/>
                <w:szCs w:val="22"/>
                <w:lang w:val="de-DE"/>
              </w:rPr>
              <w:t>b)</w:t>
            </w:r>
            <w:r w:rsidRPr="00EB2A8F">
              <w:rPr>
                <w:sz w:val="22"/>
                <w:szCs w:val="22"/>
                <w:lang w:val="de-DE"/>
              </w:rPr>
              <w:tab/>
            </w:r>
            <w:r w:rsidR="006643E5" w:rsidRPr="00EB2A8F">
              <w:rPr>
                <w:b/>
                <w:sz w:val="22"/>
                <w:szCs w:val="22"/>
                <w:u w:val="single"/>
                <w:lang w:val="de-DE"/>
              </w:rPr>
              <w:t>Auswahlkriterien</w:t>
            </w:r>
            <w:r w:rsidR="00EB2A8F" w:rsidRPr="00EB2A8F">
              <w:rPr>
                <w:b/>
                <w:sz w:val="22"/>
                <w:szCs w:val="22"/>
                <w:u w:val="single"/>
                <w:lang w:val="de-DE"/>
              </w:rPr>
              <w:t xml:space="preserve"> </w:t>
            </w:r>
          </w:p>
          <w:p w:rsidR="00B3363A" w:rsidRPr="00EB2A8F" w:rsidRDefault="00EB2A8F" w:rsidP="0069244E">
            <w:pPr>
              <w:ind w:right="1317"/>
              <w:jc w:val="both"/>
              <w:rPr>
                <w:sz w:val="22"/>
                <w:szCs w:val="22"/>
                <w:lang w:val="de-DE"/>
              </w:rPr>
            </w:pPr>
            <w:r w:rsidRPr="00EB2A8F">
              <w:rPr>
                <w:sz w:val="22"/>
                <w:szCs w:val="22"/>
                <w:lang w:val="de-DE"/>
              </w:rPr>
              <w:t xml:space="preserve"> </w:t>
            </w:r>
          </w:p>
        </w:tc>
      </w:tr>
      <w:tr w:rsidR="006643E5" w:rsidRPr="00527871" w:rsidTr="00527871">
        <w:trPr>
          <w:gridAfter w:val="1"/>
          <w:wAfter w:w="14" w:type="dxa"/>
          <w:jc w:val="center"/>
        </w:trPr>
        <w:tc>
          <w:tcPr>
            <w:tcW w:w="392" w:type="dxa"/>
            <w:tcBorders>
              <w:left w:val="single" w:sz="4" w:space="0" w:color="auto"/>
            </w:tcBorders>
          </w:tcPr>
          <w:p w:rsidR="006643E5" w:rsidRPr="00EB2A8F"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E14E5A" w:rsidP="00E14E5A">
            <w:pPr>
              <w:tabs>
                <w:tab w:val="left" w:pos="317"/>
              </w:tabs>
              <w:ind w:right="212"/>
              <w:jc w:val="both"/>
              <w:rPr>
                <w:sz w:val="22"/>
                <w:szCs w:val="22"/>
                <w:lang w:val="de-DE"/>
              </w:rPr>
            </w:pPr>
            <w:r w:rsidRPr="00EB2A8F">
              <w:rPr>
                <w:sz w:val="22"/>
                <w:szCs w:val="22"/>
                <w:lang w:val="de-DE"/>
              </w:rPr>
              <w:tab/>
            </w:r>
            <w:r w:rsidR="006643E5" w:rsidRPr="00527871">
              <w:rPr>
                <w:sz w:val="22"/>
                <w:szCs w:val="22"/>
                <w:lang w:val="de-DE"/>
              </w:rPr>
              <w:t>Bildungsabschluss</w:t>
            </w:r>
            <w:r w:rsidR="00DF1D3A">
              <w:rPr>
                <w:sz w:val="22"/>
                <w:szCs w:val="22"/>
                <w:lang w:val="de-DE"/>
              </w:rPr>
              <w:t xml:space="preserve"> </w:t>
            </w:r>
            <w:r w:rsidR="00DF1D3A" w:rsidRPr="00DF1D3A">
              <w:rPr>
                <w:sz w:val="22"/>
                <w:szCs w:val="22"/>
                <w:lang w:val="de-DE"/>
              </w:rPr>
              <w:t>(Ändern Sie den Absatz nicht, sondern füllen Sie nur d</w:t>
            </w:r>
            <w:r w:rsidR="004324AA">
              <w:rPr>
                <w:sz w:val="22"/>
                <w:szCs w:val="22"/>
                <w:lang w:val="de-DE"/>
              </w:rPr>
              <w:t>en</w:t>
            </w:r>
            <w:r w:rsidR="00DF1D3A" w:rsidRPr="00DF1D3A">
              <w:rPr>
                <w:sz w:val="22"/>
                <w:szCs w:val="22"/>
                <w:lang w:val="de-DE"/>
              </w:rPr>
              <w:t xml:space="preserve"> </w:t>
            </w:r>
            <w:r w:rsidR="00DF1D3A" w:rsidRPr="00DF1D3A">
              <w:rPr>
                <w:sz w:val="22"/>
                <w:szCs w:val="22"/>
                <w:lang w:val="de-DE"/>
              </w:rPr>
              <w:tab/>
              <w:t>Bereich aus)</w:t>
            </w:r>
          </w:p>
          <w:p w:rsidR="00E14E5A" w:rsidRPr="00527871" w:rsidRDefault="00E14E5A" w:rsidP="00E14E5A">
            <w:pPr>
              <w:tabs>
                <w:tab w:val="left" w:pos="317"/>
              </w:tabs>
              <w:ind w:right="212"/>
              <w:jc w:val="both"/>
              <w:rPr>
                <w:sz w:val="22"/>
                <w:szCs w:val="22"/>
                <w:lang w:val="de-DE"/>
              </w:rPr>
            </w:pPr>
            <w:r w:rsidRPr="00527871">
              <w:rPr>
                <w:sz w:val="22"/>
                <w:szCs w:val="22"/>
                <w:lang w:val="de-DE"/>
              </w:rPr>
              <w:tab/>
              <w:t>- ein Universitätsabschluss oder</w:t>
            </w:r>
          </w:p>
          <w:p w:rsidR="006643E5" w:rsidRPr="00527871" w:rsidRDefault="00E14E5A" w:rsidP="00E14E5A">
            <w:pPr>
              <w:tabs>
                <w:tab w:val="left" w:pos="317"/>
              </w:tabs>
              <w:ind w:right="212"/>
              <w:jc w:val="both"/>
              <w:rPr>
                <w:sz w:val="22"/>
                <w:szCs w:val="22"/>
                <w:lang w:val="de-DE"/>
              </w:rPr>
            </w:pPr>
            <w:r w:rsidRPr="00527871">
              <w:rPr>
                <w:sz w:val="22"/>
                <w:szCs w:val="22"/>
                <w:lang w:val="de-DE"/>
              </w:rPr>
              <w:tab/>
              <w:t>- eine gleichwertige Berufsausbildung oder Berufserfahrung</w:t>
            </w:r>
          </w:p>
          <w:p w:rsidR="00E14E5A" w:rsidRPr="00527871" w:rsidRDefault="00E14E5A" w:rsidP="00E14E5A">
            <w:pPr>
              <w:tabs>
                <w:tab w:val="left" w:pos="317"/>
              </w:tabs>
              <w:ind w:right="212"/>
              <w:jc w:val="both"/>
              <w:rPr>
                <w:sz w:val="22"/>
                <w:szCs w:val="22"/>
                <w:lang w:val="de-DE"/>
              </w:rPr>
            </w:pPr>
          </w:p>
          <w:p w:rsidR="00E14E5A" w:rsidRPr="00527871" w:rsidRDefault="00E14E5A" w:rsidP="00E14E5A">
            <w:pPr>
              <w:tabs>
                <w:tab w:val="left" w:pos="317"/>
              </w:tabs>
              <w:ind w:right="212"/>
              <w:jc w:val="both"/>
              <w:rPr>
                <w:sz w:val="22"/>
                <w:szCs w:val="22"/>
                <w:lang w:val="de-DE"/>
              </w:rPr>
            </w:pPr>
            <w:r w:rsidRPr="00527871">
              <w:rPr>
                <w:sz w:val="22"/>
                <w:szCs w:val="22"/>
                <w:lang w:val="de-DE"/>
              </w:rPr>
              <w:tab/>
              <w:t>im Bereich</w:t>
            </w:r>
            <w:r w:rsidR="009D5781">
              <w:rPr>
                <w:sz w:val="22"/>
                <w:szCs w:val="22"/>
                <w:lang w:val="de-DE"/>
              </w:rPr>
              <w:t xml:space="preserve"> :</w:t>
            </w:r>
            <w:r w:rsidR="002D3414">
              <w:rPr>
                <w:sz w:val="22"/>
                <w:szCs w:val="22"/>
                <w:lang w:val="de-DE"/>
              </w:rPr>
              <w:t xml:space="preserve"> </w:t>
            </w:r>
            <w:r w:rsidR="00C57E1C">
              <w:rPr>
                <w:sz w:val="22"/>
                <w:szCs w:val="22"/>
                <w:lang w:val="de-DE"/>
              </w:rPr>
              <w:t>Elektronische Kommunikation.</w:t>
            </w:r>
          </w:p>
          <w:p w:rsidR="00B3363A" w:rsidRPr="00527871" w:rsidRDefault="00B3363A" w:rsidP="00B3363A">
            <w:pPr>
              <w:ind w:right="212"/>
              <w:jc w:val="both"/>
              <w:rPr>
                <w:sz w:val="22"/>
                <w:szCs w:val="22"/>
                <w:lang w:val="de-DE"/>
              </w:rPr>
            </w:pPr>
          </w:p>
        </w:tc>
      </w:tr>
      <w:tr w:rsidR="006643E5" w:rsidRPr="00527871"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9D5781" w:rsidRDefault="00E14E5A" w:rsidP="00E14E5A">
            <w:pPr>
              <w:tabs>
                <w:tab w:val="left" w:pos="317"/>
              </w:tabs>
              <w:ind w:right="212"/>
              <w:jc w:val="both"/>
              <w:rPr>
                <w:sz w:val="22"/>
                <w:szCs w:val="22"/>
                <w:lang w:val="de-DE"/>
              </w:rPr>
            </w:pPr>
            <w:r w:rsidRPr="00527871">
              <w:rPr>
                <w:sz w:val="22"/>
                <w:szCs w:val="22"/>
                <w:lang w:val="de-DE"/>
              </w:rPr>
              <w:tab/>
            </w:r>
            <w:r w:rsidR="006643E5" w:rsidRPr="00527871">
              <w:rPr>
                <w:sz w:val="22"/>
                <w:szCs w:val="22"/>
                <w:lang w:val="de-DE"/>
              </w:rPr>
              <w:t>Berufserfahrung</w:t>
            </w:r>
            <w:r w:rsidR="0039306A" w:rsidRPr="00527871">
              <w:rPr>
                <w:sz w:val="22"/>
                <w:szCs w:val="22"/>
                <w:lang w:val="de-DE"/>
              </w:rPr>
              <w:t>:</w:t>
            </w:r>
            <w:r w:rsidR="002D3414">
              <w:rPr>
                <w:sz w:val="22"/>
                <w:szCs w:val="22"/>
                <w:lang w:val="de-DE"/>
              </w:rPr>
              <w:t xml:space="preserve"> </w:t>
            </w:r>
            <w:r w:rsidR="00C57E1C">
              <w:rPr>
                <w:sz w:val="22"/>
                <w:szCs w:val="22"/>
                <w:lang w:val="de-DE"/>
              </w:rPr>
              <w:t>3-4 Jahre Berufserfahrung.</w:t>
            </w:r>
          </w:p>
          <w:p w:rsidR="006643E5" w:rsidRPr="00527871" w:rsidRDefault="006643E5" w:rsidP="00B3363A">
            <w:pPr>
              <w:ind w:right="212"/>
              <w:jc w:val="both"/>
              <w:rPr>
                <w:sz w:val="22"/>
                <w:szCs w:val="22"/>
                <w:lang w:val="de-DE"/>
              </w:rPr>
            </w:pPr>
          </w:p>
        </w:tc>
      </w:tr>
      <w:tr w:rsidR="006643E5" w:rsidRPr="002D3414" w:rsidTr="00527871">
        <w:trPr>
          <w:gridAfter w:val="1"/>
          <w:wAfter w:w="14" w:type="dxa"/>
          <w:trHeight w:val="95"/>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9D5781" w:rsidRPr="00527871" w:rsidRDefault="00E14E5A" w:rsidP="002D3414">
            <w:pPr>
              <w:tabs>
                <w:tab w:val="left" w:pos="317"/>
              </w:tabs>
              <w:ind w:left="328" w:right="212" w:hanging="328"/>
              <w:rPr>
                <w:sz w:val="22"/>
                <w:szCs w:val="22"/>
                <w:lang w:val="de-DE"/>
              </w:rPr>
            </w:pPr>
            <w:r w:rsidRPr="00527871">
              <w:rPr>
                <w:sz w:val="22"/>
                <w:szCs w:val="22"/>
                <w:lang w:val="de-DE"/>
              </w:rPr>
              <w:tab/>
            </w:r>
            <w:r w:rsidR="0039306A" w:rsidRPr="00527871">
              <w:rPr>
                <w:sz w:val="22"/>
                <w:szCs w:val="22"/>
                <w:lang w:val="de-DE"/>
              </w:rPr>
              <w:t xml:space="preserve">Zur Ausübung der Tätigkeit erforderliche </w:t>
            </w:r>
            <w:r w:rsidR="006643E5" w:rsidRPr="00527871">
              <w:rPr>
                <w:sz w:val="22"/>
                <w:szCs w:val="22"/>
                <w:lang w:val="de-DE"/>
              </w:rPr>
              <w:t>Sprachkenntnisse:</w:t>
            </w:r>
            <w:r w:rsidR="002D3414">
              <w:rPr>
                <w:sz w:val="22"/>
                <w:szCs w:val="22"/>
                <w:lang w:val="de-DE"/>
              </w:rPr>
              <w:t xml:space="preserve"> </w:t>
            </w:r>
            <w:r w:rsidR="00C57E1C" w:rsidRPr="00527871">
              <w:rPr>
                <w:sz w:val="22"/>
                <w:szCs w:val="22"/>
                <w:lang w:val="de-DE"/>
              </w:rPr>
              <w:tab/>
            </w:r>
            <w:r w:rsidR="00C57E1C">
              <w:rPr>
                <w:sz w:val="22"/>
                <w:szCs w:val="22"/>
                <w:lang w:val="de-DE"/>
              </w:rPr>
              <w:t>Englisch, Französisch. Kenntnisse anderer Sprachen sind von Vorteil.</w:t>
            </w:r>
            <w:bookmarkStart w:id="0" w:name="_GoBack"/>
            <w:bookmarkEnd w:id="0"/>
          </w:p>
          <w:p w:rsidR="00B3363A" w:rsidRPr="00527871" w:rsidRDefault="00B3363A" w:rsidP="00B3363A">
            <w:pPr>
              <w:ind w:right="212"/>
              <w:jc w:val="both"/>
              <w:rPr>
                <w:sz w:val="22"/>
                <w:szCs w:val="22"/>
                <w:lang w:val="de-DE"/>
              </w:rPr>
            </w:pPr>
          </w:p>
        </w:tc>
      </w:tr>
      <w:tr w:rsidR="006643E5" w:rsidRPr="002D3414"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Bewerbung und Auswahlverfahren</w:t>
            </w:r>
          </w:p>
        </w:tc>
      </w:tr>
      <w:tr w:rsidR="006643E5" w:rsidRPr="002D3414" w:rsidTr="00527871">
        <w:trPr>
          <w:gridAfter w:val="1"/>
          <w:wAfter w:w="14" w:type="dxa"/>
          <w:jc w:val="center"/>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9D5781" w:rsidRDefault="009D5781" w:rsidP="00EA222B">
            <w:pPr>
              <w:ind w:right="175"/>
              <w:jc w:val="both"/>
              <w:rPr>
                <w:sz w:val="22"/>
                <w:szCs w:val="22"/>
                <w:lang w:val="de-DE"/>
              </w:rPr>
            </w:pPr>
            <w:bookmarkStart w:id="1" w:name="_Hlt340069415"/>
            <w:bookmarkStart w:id="2" w:name="_Hlt340069416"/>
          </w:p>
          <w:p w:rsidR="006643E5" w:rsidRDefault="006643E5" w:rsidP="00EA222B">
            <w:pPr>
              <w:ind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00B921A3" w:rsidRPr="00527871">
              <w:rPr>
                <w:sz w:val="22"/>
                <w:szCs w:val="22"/>
                <w:lang w:val="de-DE"/>
              </w:rPr>
              <w:t>auf deutsch, englisch od</w:t>
            </w:r>
            <w:r w:rsidR="009D5781">
              <w:rPr>
                <w:sz w:val="22"/>
                <w:szCs w:val="22"/>
                <w:lang w:val="de-DE"/>
              </w:rPr>
              <w:t>er</w:t>
            </w:r>
            <w:r w:rsidR="00B921A3" w:rsidRPr="00527871">
              <w:rPr>
                <w:sz w:val="22"/>
                <w:szCs w:val="22"/>
                <w:lang w:val="de-DE"/>
              </w:rPr>
              <w:t xml:space="preserve"> </w:t>
            </w:r>
            <w:r w:rsidR="00EA222B" w:rsidRPr="00527871">
              <w:rPr>
                <w:sz w:val="22"/>
                <w:szCs w:val="22"/>
                <w:lang w:val="de-DE"/>
              </w:rPr>
              <w:t>französisch</w:t>
            </w:r>
            <w:r w:rsidR="00B921A3" w:rsidRPr="00527871">
              <w:rPr>
                <w:b/>
                <w:sz w:val="22"/>
                <w:szCs w:val="22"/>
                <w:lang w:val="de-DE"/>
              </w:rPr>
              <w:t xml:space="preserve"> </w:t>
            </w:r>
            <w:r w:rsidRPr="00527871">
              <w:rPr>
                <w:b/>
                <w:sz w:val="22"/>
                <w:szCs w:val="22"/>
                <w:u w:val="single"/>
                <w:lang w:val="de-DE"/>
              </w:rPr>
              <w:t>ausschließlich an die Ständige Vertretung</w:t>
            </w:r>
            <w:r w:rsidR="00B921A3" w:rsidRPr="00527871">
              <w:rPr>
                <w:b/>
                <w:sz w:val="22"/>
                <w:szCs w:val="22"/>
                <w:u w:val="single"/>
                <w:lang w:val="de-DE"/>
              </w:rPr>
              <w:t xml:space="preserve"> / diplomatische Mission</w:t>
            </w:r>
            <w:r w:rsidRPr="00527871">
              <w:rPr>
                <w:b/>
                <w:sz w:val="22"/>
                <w:szCs w:val="22"/>
                <w:u w:val="single"/>
                <w:lang w:val="de-DE"/>
              </w:rPr>
              <w:t xml:space="preserve"> ihres Landes bei der </w:t>
            </w:r>
            <w:r w:rsidR="00EA222B" w:rsidRPr="00527871">
              <w:rPr>
                <w:b/>
                <w:sz w:val="22"/>
                <w:szCs w:val="22"/>
                <w:u w:val="single"/>
                <w:lang w:val="de-DE"/>
              </w:rPr>
              <w:t>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00FD0532" w:rsidRPr="00112D65">
              <w:rPr>
                <w:sz w:val="22"/>
                <w:szCs w:val="22"/>
                <w:lang w:val="de-DE"/>
              </w:rPr>
              <w:t>Der Lebenslauf muss das Geburtsdatum und die Staatsangehörigkeit des Kandidaten enthalten.</w:t>
            </w:r>
            <w:r w:rsidR="00FD0532">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w:t>
            </w:r>
            <w:r w:rsidR="0069244E" w:rsidRPr="009D5781">
              <w:rPr>
                <w:sz w:val="22"/>
                <w:szCs w:val="22"/>
                <w:lang w:val="de-DE"/>
              </w:rPr>
              <w:t>ewerbung keine anderen</w:t>
            </w:r>
            <w:r w:rsidRPr="009D5781">
              <w:rPr>
                <w:sz w:val="22"/>
                <w:szCs w:val="22"/>
                <w:lang w:val="de-DE"/>
              </w:rPr>
              <w:t xml:space="preserve">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bookmarkEnd w:id="1"/>
            <w:bookmarkEnd w:id="2"/>
          </w:p>
          <w:p w:rsidR="009D5781" w:rsidRPr="00527871" w:rsidRDefault="009D5781" w:rsidP="00EA222B">
            <w:pPr>
              <w:ind w:right="175"/>
              <w:jc w:val="both"/>
              <w:rPr>
                <w:sz w:val="22"/>
                <w:szCs w:val="22"/>
                <w:lang w:val="de-DE"/>
              </w:rPr>
            </w:pPr>
            <w:r w:rsidRPr="00527871">
              <w:rPr>
                <w:sz w:val="22"/>
                <w:szCs w:val="22"/>
                <w:lang w:val="de-DE"/>
              </w:rPr>
              <w:t>Die Bewerberinnen und Bewerber werden von dem einstellenden Referat über den Stand ihrer Bewerbung informiert.</w:t>
            </w:r>
          </w:p>
        </w:tc>
      </w:tr>
      <w:tr w:rsidR="006643E5" w:rsidRPr="002D3414"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75"/>
              <w:jc w:val="both"/>
              <w:rPr>
                <w:b/>
                <w:sz w:val="22"/>
                <w:szCs w:val="22"/>
                <w:lang w:val="de-DE"/>
              </w:rPr>
            </w:pPr>
          </w:p>
        </w:tc>
      </w:tr>
      <w:tr w:rsidR="006643E5" w:rsidRPr="002D3414"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75"/>
              <w:jc w:val="both"/>
              <w:rPr>
                <w:sz w:val="22"/>
                <w:szCs w:val="22"/>
                <w:lang w:val="de-DE"/>
              </w:rPr>
            </w:pPr>
            <w:r w:rsidRPr="00527871">
              <w:rPr>
                <w:b/>
                <w:sz w:val="22"/>
                <w:szCs w:val="22"/>
                <w:lang w:val="de-DE"/>
              </w:rPr>
              <w:t>Bedingungen für die Abordnung nationaler Sachverständiger</w:t>
            </w:r>
          </w:p>
        </w:tc>
      </w:tr>
      <w:tr w:rsidR="006643E5" w:rsidRPr="002D3414" w:rsidTr="009D5781">
        <w:trPr>
          <w:gridAfter w:val="1"/>
          <w:wAfter w:w="14" w:type="dxa"/>
          <w:trHeight w:val="3697"/>
          <w:jc w:val="center"/>
        </w:trPr>
        <w:tc>
          <w:tcPr>
            <w:tcW w:w="392" w:type="dxa"/>
            <w:tcBorders>
              <w:top w:val="single" w:sz="4" w:space="0" w:color="auto"/>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9D5781" w:rsidRDefault="009D5781" w:rsidP="0069244E">
            <w:pPr>
              <w:ind w:right="175"/>
              <w:jc w:val="both"/>
              <w:rPr>
                <w:sz w:val="22"/>
                <w:szCs w:val="22"/>
                <w:lang w:val="de-DE"/>
              </w:rPr>
            </w:pPr>
            <w:bookmarkStart w:id="3" w:name="_Hlt340069984"/>
            <w:bookmarkStart w:id="4" w:name="_Hlt340069985"/>
            <w:bookmarkStart w:id="5" w:name="_Hlt340128808"/>
            <w:bookmarkStart w:id="6" w:name="_Hlt340128809"/>
          </w:p>
          <w:p w:rsidR="006643E5" w:rsidRPr="00527871" w:rsidRDefault="006643E5" w:rsidP="0069244E">
            <w:pPr>
              <w:ind w:right="175"/>
              <w:jc w:val="both"/>
              <w:rPr>
                <w:sz w:val="22"/>
                <w:szCs w:val="22"/>
                <w:lang w:val="de-DE"/>
              </w:rPr>
            </w:pPr>
            <w:r w:rsidRPr="00527871">
              <w:rPr>
                <w:sz w:val="22"/>
                <w:szCs w:val="22"/>
                <w:lang w:val="de-DE"/>
              </w:rPr>
              <w:t xml:space="preserve">Abordnungen fallen unter den </w:t>
            </w:r>
            <w:r w:rsidRPr="00527871">
              <w:rPr>
                <w:b/>
                <w:sz w:val="22"/>
                <w:szCs w:val="22"/>
                <w:lang w:val="de-DE"/>
              </w:rPr>
              <w:t xml:space="preserve">Beschluss </w:t>
            </w:r>
            <w:r w:rsidR="006674F0" w:rsidRPr="00527871">
              <w:rPr>
                <w:b/>
                <w:sz w:val="22"/>
                <w:szCs w:val="22"/>
                <w:lang w:val="de-DE"/>
              </w:rPr>
              <w:t>C</w:t>
            </w:r>
            <w:r w:rsidRPr="00527871">
              <w:rPr>
                <w:b/>
                <w:sz w:val="22"/>
                <w:szCs w:val="22"/>
                <w:lang w:val="de-DE"/>
              </w:rPr>
              <w:t>(2008) 6866 der Kommission vom 12.11.2008</w:t>
            </w:r>
            <w:r w:rsidRPr="00527871">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009D5781" w:rsidRPr="00DC259B">
                <w:rPr>
                  <w:rStyle w:val="Hyperlink"/>
                  <w:sz w:val="22"/>
                  <w:szCs w:val="22"/>
                  <w:lang w:val="de-DE"/>
                </w:rPr>
                <w:t>http://ec.europa.eu/civil_</w:t>
              </w:r>
              <w:r w:rsidR="009D5781" w:rsidRPr="009D5781">
                <w:rPr>
                  <w:rStyle w:val="Hyperlink"/>
                  <w:sz w:val="22"/>
                  <w:szCs w:val="22"/>
                  <w:lang w:val="de-DE"/>
                </w:rPr>
                <w:t>service</w:t>
              </w:r>
              <w:r w:rsidR="009D5781" w:rsidRPr="00DC259B">
                <w:rPr>
                  <w:rStyle w:val="Hyperlink"/>
                  <w:sz w:val="22"/>
                  <w:szCs w:val="22"/>
                  <w:lang w:val="de-DE"/>
                </w:rPr>
                <w:t>/job/sne/index_de.htm</w:t>
              </w:r>
            </w:hyperlink>
            <w:r w:rsidRPr="00527871">
              <w:rPr>
                <w:sz w:val="22"/>
                <w:szCs w:val="22"/>
                <w:lang w:val="de-DE"/>
              </w:rPr>
              <w:t>.</w:t>
            </w:r>
          </w:p>
          <w:bookmarkEnd w:id="3"/>
          <w:bookmarkEnd w:id="4"/>
          <w:bookmarkEnd w:id="5"/>
          <w:bookmarkEnd w:id="6"/>
          <w:p w:rsidR="006643E5" w:rsidRPr="00527871" w:rsidRDefault="006643E5" w:rsidP="0069244E">
            <w:pPr>
              <w:ind w:right="175"/>
              <w:jc w:val="both"/>
              <w:rPr>
                <w:sz w:val="22"/>
                <w:szCs w:val="22"/>
                <w:lang w:val="de-DE"/>
              </w:rPr>
            </w:pPr>
            <w:r w:rsidRPr="00527871">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643E5" w:rsidRPr="00527871" w:rsidRDefault="006643E5" w:rsidP="0069244E">
            <w:pPr>
              <w:ind w:right="175"/>
              <w:jc w:val="both"/>
              <w:rPr>
                <w:sz w:val="22"/>
                <w:szCs w:val="22"/>
                <w:lang w:val="de-DE"/>
              </w:rPr>
            </w:pPr>
            <w:r w:rsidRPr="00527871">
              <w:rPr>
                <w:sz w:val="22"/>
                <w:szCs w:val="22"/>
                <w:lang w:val="de-DE"/>
              </w:rPr>
              <w:t>Mit Ausnahme der unentgeltlich abgeordneten Sachverständigen können den ANS, die die Bedingungen nach Artikel 17 des ANS-Beschlusses erfüllen, Tagegelder gezahlt werden.</w:t>
            </w:r>
          </w:p>
          <w:p w:rsidR="006643E5" w:rsidRPr="00527871" w:rsidRDefault="006643E5" w:rsidP="0069244E">
            <w:pPr>
              <w:ind w:right="175"/>
              <w:jc w:val="both"/>
              <w:rPr>
                <w:sz w:val="22"/>
                <w:szCs w:val="22"/>
                <w:lang w:val="de-DE"/>
              </w:rPr>
            </w:pPr>
            <w:r w:rsidRPr="00527871">
              <w:rPr>
                <w:sz w:val="22"/>
                <w:szCs w:val="22"/>
                <w:lang w:val="de-DE"/>
              </w:rPr>
              <w:t>Während der Abordnung unterliegen die ANS den in den Artikeln 6 und 7 des ANS-Beschlusses vorgesehenen Verpflichtungen zur Vertraulichkeit, zur Loyalität und zum Nichtbestehen von Interessenkonflikten.</w:t>
            </w:r>
          </w:p>
          <w:p w:rsidR="006643E5" w:rsidRDefault="003838EB" w:rsidP="009D5781">
            <w:pPr>
              <w:pStyle w:val="ListBullet"/>
              <w:numPr>
                <w:ilvl w:val="0"/>
                <w:numId w:val="0"/>
              </w:numPr>
              <w:ind w:right="161"/>
              <w:rPr>
                <w:sz w:val="22"/>
                <w:szCs w:val="22"/>
                <w:lang w:val="de-DE"/>
              </w:rPr>
            </w:pPr>
            <w:r w:rsidRPr="00527871">
              <w:rPr>
                <w:sz w:val="22"/>
                <w:szCs w:val="22"/>
                <w:lang w:val="de-DE"/>
              </w:rPr>
              <w:t>Bei unvollständigen oder falschen Angaben kann die Bewerbung abgelehnt werden.</w:t>
            </w:r>
          </w:p>
          <w:p w:rsidR="00054396" w:rsidRPr="00054396" w:rsidRDefault="00054396" w:rsidP="00054396">
            <w:pPr>
              <w:pStyle w:val="ListBullet"/>
              <w:numPr>
                <w:ilvl w:val="0"/>
                <w:numId w:val="0"/>
              </w:numPr>
              <w:spacing w:after="0"/>
              <w:ind w:right="159"/>
              <w:rPr>
                <w:sz w:val="22"/>
                <w:szCs w:val="22"/>
                <w:lang w:val="de-DE"/>
              </w:rPr>
            </w:pPr>
            <w:r w:rsidRPr="00054396">
              <w:rPr>
                <w:sz w:val="22"/>
                <w:szCs w:val="22"/>
                <w:lang w:val="de-DE"/>
              </w:rPr>
              <w:t xml:space="preserve">Mitarbeiter, die in eine </w:t>
            </w:r>
            <w:r w:rsidRPr="00DF1D3A">
              <w:rPr>
                <w:b/>
                <w:sz w:val="22"/>
                <w:szCs w:val="22"/>
                <w:lang w:val="de-DE"/>
              </w:rPr>
              <w:t>Delegation der Europäischen Union</w:t>
            </w:r>
            <w:r w:rsidRPr="00054396">
              <w:rPr>
                <w:sz w:val="22"/>
                <w:szCs w:val="22"/>
                <w:lang w:val="de-DE"/>
              </w:rPr>
              <w:t xml:space="preserve"> entsandt werden, benötigen eine Sicherheitsüberprüfung (nach SECRET UE </w:t>
            </w:r>
            <w:r w:rsidR="00F63A9B">
              <w:rPr>
                <w:sz w:val="22"/>
                <w:szCs w:val="22"/>
                <w:lang w:val="de-DE"/>
              </w:rPr>
              <w:t>N</w:t>
            </w:r>
            <w:r w:rsidRPr="00054396">
              <w:rPr>
                <w:sz w:val="22"/>
                <w:szCs w:val="22"/>
                <w:lang w:val="de-DE"/>
              </w:rPr>
              <w:t xml:space="preserve">iveau gemäß der Entscheidung der Kommission 2001/844/EC, ECSC, Euratom – O.J. E.U n° L 317 </w:t>
            </w:r>
            <w:r w:rsidR="00F63A9B">
              <w:rPr>
                <w:sz w:val="22"/>
                <w:szCs w:val="22"/>
                <w:lang w:val="de-DE"/>
              </w:rPr>
              <w:t>vom</w:t>
            </w:r>
            <w:r w:rsidRPr="00054396">
              <w:rPr>
                <w:sz w:val="22"/>
                <w:szCs w:val="22"/>
                <w:lang w:val="de-DE"/>
              </w:rPr>
              <w:t xml:space="preserve"> 03.12.2001).</w:t>
            </w:r>
          </w:p>
          <w:p w:rsidR="00054396" w:rsidRPr="00527871" w:rsidRDefault="00054396" w:rsidP="002D11AE">
            <w:pPr>
              <w:pStyle w:val="ListBullet"/>
              <w:numPr>
                <w:ilvl w:val="0"/>
                <w:numId w:val="0"/>
              </w:numPr>
              <w:spacing w:after="0"/>
              <w:ind w:right="159"/>
              <w:rPr>
                <w:sz w:val="22"/>
                <w:szCs w:val="22"/>
                <w:lang w:val="de-DE"/>
              </w:rPr>
            </w:pPr>
            <w:r w:rsidRPr="00054396">
              <w:rPr>
                <w:sz w:val="22"/>
                <w:szCs w:val="22"/>
                <w:lang w:val="de-DE"/>
              </w:rPr>
              <w:t>Der ausgewählte Bewerber ist verpflichtet, das Überprüfungsverfahren vor der Abordnung einzuleiten.</w:t>
            </w:r>
          </w:p>
        </w:tc>
      </w:tr>
      <w:tr w:rsidR="006643E5" w:rsidRPr="002D3414" w:rsidTr="00527871">
        <w:trPr>
          <w:jc w:val="center"/>
        </w:trPr>
        <w:tc>
          <w:tcPr>
            <w:tcW w:w="392" w:type="dxa"/>
            <w:tcBorders>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tcBorders>
          </w:tcPr>
          <w:p w:rsidR="006643E5" w:rsidRPr="00527871" w:rsidRDefault="006643E5" w:rsidP="0069244E">
            <w:pPr>
              <w:ind w:left="473"/>
              <w:jc w:val="both"/>
              <w:rPr>
                <w:sz w:val="22"/>
                <w:szCs w:val="22"/>
                <w:lang w:val="de-DE"/>
              </w:rPr>
            </w:pPr>
          </w:p>
        </w:tc>
      </w:tr>
      <w:tr w:rsidR="006643E5" w:rsidRPr="009222CC" w:rsidTr="009D5781">
        <w:trPr>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6643E5" w:rsidRPr="00527871" w:rsidRDefault="006643E5" w:rsidP="0069244E">
            <w:pPr>
              <w:pStyle w:val="Footer"/>
              <w:rPr>
                <w:sz w:val="22"/>
                <w:szCs w:val="22"/>
                <w:lang w:val="de-DE"/>
              </w:rPr>
            </w:pPr>
            <w:r w:rsidRPr="00527871">
              <w:rPr>
                <w:b/>
                <w:sz w:val="22"/>
                <w:szCs w:val="22"/>
                <w:lang w:val="de-DE"/>
              </w:rPr>
              <w:t>Verarbeitung personenbezogener Daten:</w:t>
            </w:r>
          </w:p>
        </w:tc>
      </w:tr>
      <w:tr w:rsidR="006643E5" w:rsidRPr="002D3414" w:rsidTr="009D5781">
        <w:trPr>
          <w:trHeight w:val="473"/>
          <w:jc w:val="center"/>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8930" w:type="dxa"/>
            <w:gridSpan w:val="3"/>
            <w:tcBorders>
              <w:top w:val="single" w:sz="4" w:space="0" w:color="auto"/>
              <w:bottom w:val="single" w:sz="4" w:space="0" w:color="auto"/>
              <w:right w:val="single" w:sz="4" w:space="0" w:color="auto"/>
            </w:tcBorders>
          </w:tcPr>
          <w:p w:rsidR="009D5781" w:rsidRDefault="009D5781" w:rsidP="00DC2968">
            <w:pPr>
              <w:ind w:right="175"/>
              <w:jc w:val="both"/>
              <w:rPr>
                <w:sz w:val="22"/>
                <w:szCs w:val="22"/>
                <w:lang w:val="de-DE"/>
              </w:rPr>
            </w:pPr>
          </w:p>
          <w:p w:rsidR="00054396" w:rsidRPr="00054396" w:rsidRDefault="00054396" w:rsidP="00054396">
            <w:pPr>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054396" w:rsidRPr="00054396" w:rsidRDefault="00054396" w:rsidP="00054396">
            <w:pPr>
              <w:ind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054396" w:rsidRPr="00054396" w:rsidRDefault="00054396" w:rsidP="00054396">
            <w:pPr>
              <w:jc w:val="both"/>
              <w:rPr>
                <w:sz w:val="22"/>
                <w:szCs w:val="22"/>
                <w:lang w:val="de-DE" w:eastAsia="en-US"/>
              </w:rPr>
            </w:pPr>
            <w:r w:rsidRPr="00054396">
              <w:rPr>
                <w:sz w:val="22"/>
                <w:szCs w:val="22"/>
                <w:lang w:val="de-DE"/>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054396" w:rsidRPr="00054396" w:rsidRDefault="00054396" w:rsidP="00054396">
            <w:pPr>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054396" w:rsidRPr="00054396" w:rsidRDefault="00054396" w:rsidP="00054396">
            <w:pPr>
              <w:rPr>
                <w:b/>
                <w:sz w:val="22"/>
                <w:szCs w:val="22"/>
                <w:u w:val="single"/>
                <w:lang w:val="de-DE"/>
              </w:rPr>
            </w:pPr>
            <w:r w:rsidRPr="00054396">
              <w:rPr>
                <w:b/>
                <w:sz w:val="22"/>
                <w:szCs w:val="22"/>
                <w:u w:val="single"/>
                <w:lang w:val="de-DE"/>
              </w:rPr>
              <w:t>Kontaktinformationen</w:t>
            </w:r>
          </w:p>
          <w:p w:rsidR="00054396" w:rsidRPr="00054396" w:rsidRDefault="00054396" w:rsidP="00054396">
            <w:pPr>
              <w:pStyle w:val="ListParagraph"/>
              <w:ind w:left="335" w:hanging="284"/>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054396" w:rsidRPr="00054396" w:rsidRDefault="00054396" w:rsidP="00054396">
            <w:pPr>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054396" w:rsidRPr="00054396" w:rsidRDefault="00054396" w:rsidP="00054396">
            <w:pPr>
              <w:pStyle w:val="ListParagraph"/>
              <w:ind w:left="335" w:hanging="335"/>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054396" w:rsidRPr="00054396" w:rsidRDefault="00054396" w:rsidP="00054396">
            <w:pPr>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054396" w:rsidRPr="00054396" w:rsidRDefault="00054396" w:rsidP="00054396">
            <w:pPr>
              <w:pStyle w:val="ListParagraph"/>
              <w:ind w:left="335" w:hanging="284"/>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054396" w:rsidRDefault="00054396" w:rsidP="00054396">
            <w:pPr>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0408EE" w:rsidRPr="00054396" w:rsidRDefault="000408EE" w:rsidP="00054396">
            <w:pPr>
              <w:rPr>
                <w:sz w:val="22"/>
                <w:szCs w:val="22"/>
                <w:lang w:val="de-DE"/>
              </w:rPr>
            </w:pPr>
          </w:p>
          <w:p w:rsidR="006643E5" w:rsidRPr="00527871" w:rsidRDefault="00054396" w:rsidP="00054396">
            <w:pPr>
              <w:ind w:right="175"/>
              <w:jc w:val="both"/>
              <w:rPr>
                <w:sz w:val="22"/>
                <w:szCs w:val="22"/>
                <w:lang w:val="de-DE"/>
              </w:rPr>
            </w:pPr>
            <w:r w:rsidRPr="00054396">
              <w:rPr>
                <w:sz w:val="22"/>
                <w:szCs w:val="22"/>
                <w:lang w:val="de-DE"/>
              </w:rPr>
              <w:t>Hinweis für Bewerber aus Drittländern: Ihre personenbezogenen Daten können für erforderliche Überprüfungen herangezogen werden.</w:t>
            </w: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EF2A46">
      <w:headerReference w:type="default" r:id="rId15"/>
      <w:footerReference w:type="default" r:id="rId16"/>
      <w:type w:val="continuous"/>
      <w:pgSz w:w="11906" w:h="16838" w:code="9"/>
      <w:pgMar w:top="1418" w:right="1134" w:bottom="141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94E" w:rsidRDefault="00EE094E">
      <w:r>
        <w:separator/>
      </w:r>
    </w:p>
  </w:endnote>
  <w:endnote w:type="continuationSeparator" w:id="0">
    <w:p w:rsidR="00EE094E" w:rsidRDefault="00EE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8EE" w:rsidRDefault="00F67BFE" w:rsidP="00F67BFE">
    <w:pPr>
      <w:pStyle w:val="Footer"/>
      <w:jc w:val="right"/>
      <w:rPr>
        <w:sz w:val="20"/>
      </w:rPr>
    </w:pPr>
    <w:r w:rsidRPr="00F67BFE">
      <w:rPr>
        <w:sz w:val="20"/>
      </w:rPr>
      <w:t>Version 201</w:t>
    </w:r>
    <w:r w:rsidR="00527871">
      <w:rPr>
        <w:sz w:val="20"/>
      </w:rPr>
      <w:t>9</w:t>
    </w:r>
    <w:r w:rsidRPr="00F67BFE">
      <w:rPr>
        <w:sz w:val="20"/>
      </w:rPr>
      <w:t>-</w:t>
    </w:r>
    <w:r>
      <w:rPr>
        <w:sz w:val="20"/>
      </w:rPr>
      <w:t>0</w:t>
    </w:r>
    <w:r w:rsidR="000408EE">
      <w:rPr>
        <w:sz w:val="20"/>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94E" w:rsidRDefault="00EE094E">
      <w:r>
        <w:separator/>
      </w:r>
    </w:p>
  </w:footnote>
  <w:footnote w:type="continuationSeparator" w:id="0">
    <w:p w:rsidR="00EE094E" w:rsidRDefault="00EE094E">
      <w:r>
        <w:continuationSeparator/>
      </w:r>
    </w:p>
  </w:footnote>
  <w:footnote w:id="1">
    <w:p w:rsidR="00DF1D3A" w:rsidRPr="008C30A2" w:rsidRDefault="00DF1D3A"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3E5" w:rsidRPr="00527871" w:rsidRDefault="006643E5" w:rsidP="00844D7B">
    <w:pPr>
      <w:pStyle w:val="Header"/>
      <w:ind w:right="325"/>
      <w:jc w:val="right"/>
      <w:rPr>
        <w:rFonts w:ascii="Arial" w:hAnsi="Arial"/>
        <w:b/>
        <w:sz w:val="20"/>
      </w:rPr>
    </w:pPr>
    <w:r w:rsidRPr="00527871">
      <w:rPr>
        <w:b/>
        <w:sz w:val="20"/>
      </w:rPr>
      <w:t>Formulaire DG.1 (DE)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834E95"/>
    <w:multiLevelType w:val="singleLevel"/>
    <w:tmpl w:val="E4F2BD84"/>
    <w:lvl w:ilvl="0">
      <w:start w:val="1"/>
      <w:numFmt w:val="decimal"/>
      <w:lvlText w:val="%1."/>
      <w:legacy w:legacy="1" w:legacySpace="0" w:legacyIndent="360"/>
      <w:lvlJc w:val="left"/>
      <w:pPr>
        <w:ind w:left="360" w:hanging="360"/>
      </w:pPr>
    </w:lvl>
  </w:abstractNum>
  <w:abstractNum w:abstractNumId="5">
    <w:nsid w:val="16072DE2"/>
    <w:multiLevelType w:val="singleLevel"/>
    <w:tmpl w:val="C2A602F4"/>
    <w:lvl w:ilvl="0">
      <w:start w:val="2"/>
      <w:numFmt w:val="decimal"/>
      <w:lvlText w:val="%1."/>
      <w:legacy w:legacy="1" w:legacySpace="0" w:legacyIndent="360"/>
      <w:lvlJc w:val="left"/>
      <w:pPr>
        <w:ind w:left="360" w:hanging="360"/>
      </w:pPr>
    </w:lvl>
  </w:abstractNum>
  <w:abstractNum w:abstractNumId="6">
    <w:nsid w:val="1C3A223A"/>
    <w:multiLevelType w:val="singleLevel"/>
    <w:tmpl w:val="E4F2BD84"/>
    <w:lvl w:ilvl="0">
      <w:start w:val="1"/>
      <w:numFmt w:val="decimal"/>
      <w:lvlText w:val="%1."/>
      <w:legacy w:legacy="1" w:legacySpace="0" w:legacyIndent="360"/>
      <w:lvlJc w:val="left"/>
      <w:pPr>
        <w:ind w:left="360" w:hanging="360"/>
      </w:pPr>
    </w:lvl>
  </w:abstractNum>
  <w:abstractNum w:abstractNumId="7">
    <w:nsid w:val="5453375A"/>
    <w:multiLevelType w:val="singleLevel"/>
    <w:tmpl w:val="929CF12C"/>
    <w:lvl w:ilvl="0">
      <w:start w:val="3"/>
      <w:numFmt w:val="decimal"/>
      <w:lvlText w:val="%1."/>
      <w:legacy w:legacy="1" w:legacySpace="0" w:legacyIndent="360"/>
      <w:lvlJc w:val="left"/>
      <w:pPr>
        <w:ind w:left="360" w:hanging="360"/>
      </w:pPr>
    </w:lvl>
  </w:abstractNum>
  <w:abstractNum w:abstractNumId="8">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230DA"/>
    <w:rsid w:val="000408EE"/>
    <w:rsid w:val="00046778"/>
    <w:rsid w:val="00054396"/>
    <w:rsid w:val="000548FD"/>
    <w:rsid w:val="00092F01"/>
    <w:rsid w:val="000B160F"/>
    <w:rsid w:val="000B389B"/>
    <w:rsid w:val="000D13C7"/>
    <w:rsid w:val="000E6B9E"/>
    <w:rsid w:val="00112D65"/>
    <w:rsid w:val="001212A2"/>
    <w:rsid w:val="00146FE7"/>
    <w:rsid w:val="0016470B"/>
    <w:rsid w:val="0017416F"/>
    <w:rsid w:val="00184229"/>
    <w:rsid w:val="00184D0D"/>
    <w:rsid w:val="00184FC0"/>
    <w:rsid w:val="00185847"/>
    <w:rsid w:val="00185A6E"/>
    <w:rsid w:val="001C4192"/>
    <w:rsid w:val="001E620D"/>
    <w:rsid w:val="001F3C83"/>
    <w:rsid w:val="001F4EBA"/>
    <w:rsid w:val="00207EB1"/>
    <w:rsid w:val="00225615"/>
    <w:rsid w:val="00233CBE"/>
    <w:rsid w:val="0024100B"/>
    <w:rsid w:val="00242830"/>
    <w:rsid w:val="00243FA8"/>
    <w:rsid w:val="0024531E"/>
    <w:rsid w:val="002557DF"/>
    <w:rsid w:val="00262B84"/>
    <w:rsid w:val="002642A0"/>
    <w:rsid w:val="0026462F"/>
    <w:rsid w:val="0026508A"/>
    <w:rsid w:val="00271801"/>
    <w:rsid w:val="002747E6"/>
    <w:rsid w:val="00277C82"/>
    <w:rsid w:val="002A0412"/>
    <w:rsid w:val="002A063F"/>
    <w:rsid w:val="002A4308"/>
    <w:rsid w:val="002A6772"/>
    <w:rsid w:val="002B1D82"/>
    <w:rsid w:val="002B20A4"/>
    <w:rsid w:val="002B5738"/>
    <w:rsid w:val="002C7E0A"/>
    <w:rsid w:val="002D11AE"/>
    <w:rsid w:val="002D3414"/>
    <w:rsid w:val="002D73AA"/>
    <w:rsid w:val="002F757B"/>
    <w:rsid w:val="00300579"/>
    <w:rsid w:val="003528B3"/>
    <w:rsid w:val="00353449"/>
    <w:rsid w:val="003639FD"/>
    <w:rsid w:val="003776E4"/>
    <w:rsid w:val="00377B88"/>
    <w:rsid w:val="00377F18"/>
    <w:rsid w:val="003831AE"/>
    <w:rsid w:val="003838EB"/>
    <w:rsid w:val="0039306A"/>
    <w:rsid w:val="003C6950"/>
    <w:rsid w:val="003D484D"/>
    <w:rsid w:val="003E7309"/>
    <w:rsid w:val="003F1150"/>
    <w:rsid w:val="003F7676"/>
    <w:rsid w:val="00410120"/>
    <w:rsid w:val="00427BE2"/>
    <w:rsid w:val="00430C1C"/>
    <w:rsid w:val="004324AA"/>
    <w:rsid w:val="00451932"/>
    <w:rsid w:val="0045400E"/>
    <w:rsid w:val="00467742"/>
    <w:rsid w:val="00491FE7"/>
    <w:rsid w:val="004B33C2"/>
    <w:rsid w:val="004B7487"/>
    <w:rsid w:val="004C1CF4"/>
    <w:rsid w:val="004E09F0"/>
    <w:rsid w:val="004E6DBB"/>
    <w:rsid w:val="004F2F80"/>
    <w:rsid w:val="0050188B"/>
    <w:rsid w:val="00506CDC"/>
    <w:rsid w:val="00520353"/>
    <w:rsid w:val="00525AB3"/>
    <w:rsid w:val="00527871"/>
    <w:rsid w:val="0053797D"/>
    <w:rsid w:val="005459ED"/>
    <w:rsid w:val="0055386D"/>
    <w:rsid w:val="0056395F"/>
    <w:rsid w:val="005762AD"/>
    <w:rsid w:val="00577BDC"/>
    <w:rsid w:val="00587D6A"/>
    <w:rsid w:val="00594DAE"/>
    <w:rsid w:val="005974DA"/>
    <w:rsid w:val="00597574"/>
    <w:rsid w:val="0059779D"/>
    <w:rsid w:val="005B2A8B"/>
    <w:rsid w:val="005D3035"/>
    <w:rsid w:val="005D4B86"/>
    <w:rsid w:val="005E24C5"/>
    <w:rsid w:val="005E4918"/>
    <w:rsid w:val="005E6E65"/>
    <w:rsid w:val="00611D55"/>
    <w:rsid w:val="00616EED"/>
    <w:rsid w:val="00625DED"/>
    <w:rsid w:val="00630D64"/>
    <w:rsid w:val="006643E5"/>
    <w:rsid w:val="006674F0"/>
    <w:rsid w:val="00673097"/>
    <w:rsid w:val="0069244E"/>
    <w:rsid w:val="006A29C8"/>
    <w:rsid w:val="006A4737"/>
    <w:rsid w:val="006D7253"/>
    <w:rsid w:val="006F138F"/>
    <w:rsid w:val="00726CCA"/>
    <w:rsid w:val="00754479"/>
    <w:rsid w:val="00761D84"/>
    <w:rsid w:val="0077286C"/>
    <w:rsid w:val="00784454"/>
    <w:rsid w:val="007A4A64"/>
    <w:rsid w:val="007F2068"/>
    <w:rsid w:val="007F5463"/>
    <w:rsid w:val="00807D4A"/>
    <w:rsid w:val="00811432"/>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0B15"/>
    <w:rsid w:val="009049EA"/>
    <w:rsid w:val="00904A6F"/>
    <w:rsid w:val="009222CC"/>
    <w:rsid w:val="00951939"/>
    <w:rsid w:val="00952714"/>
    <w:rsid w:val="009555C7"/>
    <w:rsid w:val="009660B5"/>
    <w:rsid w:val="00980819"/>
    <w:rsid w:val="009B1D54"/>
    <w:rsid w:val="009D5781"/>
    <w:rsid w:val="009E0D7B"/>
    <w:rsid w:val="009E1B29"/>
    <w:rsid w:val="009F27F5"/>
    <w:rsid w:val="00A05297"/>
    <w:rsid w:val="00A12B5B"/>
    <w:rsid w:val="00A45D46"/>
    <w:rsid w:val="00A462B8"/>
    <w:rsid w:val="00A5232F"/>
    <w:rsid w:val="00AA6F9C"/>
    <w:rsid w:val="00AA7C72"/>
    <w:rsid w:val="00AB04D7"/>
    <w:rsid w:val="00B07C01"/>
    <w:rsid w:val="00B24C07"/>
    <w:rsid w:val="00B3363A"/>
    <w:rsid w:val="00B51D63"/>
    <w:rsid w:val="00B57F47"/>
    <w:rsid w:val="00B70174"/>
    <w:rsid w:val="00B82E62"/>
    <w:rsid w:val="00B90296"/>
    <w:rsid w:val="00B921A3"/>
    <w:rsid w:val="00BA1CA5"/>
    <w:rsid w:val="00BC732B"/>
    <w:rsid w:val="00BD6207"/>
    <w:rsid w:val="00C0285B"/>
    <w:rsid w:val="00C07359"/>
    <w:rsid w:val="00C31CDD"/>
    <w:rsid w:val="00C41FD8"/>
    <w:rsid w:val="00C44237"/>
    <w:rsid w:val="00C44E7E"/>
    <w:rsid w:val="00C47260"/>
    <w:rsid w:val="00C57E1C"/>
    <w:rsid w:val="00C6355A"/>
    <w:rsid w:val="00C66CCE"/>
    <w:rsid w:val="00C67062"/>
    <w:rsid w:val="00C72A05"/>
    <w:rsid w:val="00C96848"/>
    <w:rsid w:val="00CA2B78"/>
    <w:rsid w:val="00CA477A"/>
    <w:rsid w:val="00CA54D9"/>
    <w:rsid w:val="00CA6E5F"/>
    <w:rsid w:val="00CA7D91"/>
    <w:rsid w:val="00CB525C"/>
    <w:rsid w:val="00CC0DBE"/>
    <w:rsid w:val="00CC152B"/>
    <w:rsid w:val="00CC78EA"/>
    <w:rsid w:val="00CD0164"/>
    <w:rsid w:val="00CD3F1B"/>
    <w:rsid w:val="00CD6C77"/>
    <w:rsid w:val="00CF55F6"/>
    <w:rsid w:val="00CF75BB"/>
    <w:rsid w:val="00CF7A7C"/>
    <w:rsid w:val="00D03C40"/>
    <w:rsid w:val="00D17D0C"/>
    <w:rsid w:val="00D338E2"/>
    <w:rsid w:val="00D411C5"/>
    <w:rsid w:val="00D74235"/>
    <w:rsid w:val="00D743B0"/>
    <w:rsid w:val="00D80B04"/>
    <w:rsid w:val="00D847F9"/>
    <w:rsid w:val="00DA0196"/>
    <w:rsid w:val="00DB2B95"/>
    <w:rsid w:val="00DB7CF2"/>
    <w:rsid w:val="00DB7D07"/>
    <w:rsid w:val="00DC2968"/>
    <w:rsid w:val="00DF1D3A"/>
    <w:rsid w:val="00DF6CAE"/>
    <w:rsid w:val="00E14E5A"/>
    <w:rsid w:val="00E2059C"/>
    <w:rsid w:val="00E210AE"/>
    <w:rsid w:val="00E3586A"/>
    <w:rsid w:val="00E419BC"/>
    <w:rsid w:val="00E45131"/>
    <w:rsid w:val="00E50AC1"/>
    <w:rsid w:val="00E57961"/>
    <w:rsid w:val="00E6158B"/>
    <w:rsid w:val="00E63EEB"/>
    <w:rsid w:val="00E67CD7"/>
    <w:rsid w:val="00E71C56"/>
    <w:rsid w:val="00E85B5A"/>
    <w:rsid w:val="00EA20CD"/>
    <w:rsid w:val="00EA222B"/>
    <w:rsid w:val="00EB2A8F"/>
    <w:rsid w:val="00EB347A"/>
    <w:rsid w:val="00EC7EE1"/>
    <w:rsid w:val="00EE094E"/>
    <w:rsid w:val="00EE2303"/>
    <w:rsid w:val="00EF2A46"/>
    <w:rsid w:val="00EF57C4"/>
    <w:rsid w:val="00EF61D4"/>
    <w:rsid w:val="00EF6B69"/>
    <w:rsid w:val="00F25489"/>
    <w:rsid w:val="00F53205"/>
    <w:rsid w:val="00F603CF"/>
    <w:rsid w:val="00F621E1"/>
    <w:rsid w:val="00F63A9B"/>
    <w:rsid w:val="00F63CF0"/>
    <w:rsid w:val="00F67BFE"/>
    <w:rsid w:val="00FA6607"/>
    <w:rsid w:val="00FA6FD6"/>
    <w:rsid w:val="00FB237A"/>
    <w:rsid w:val="00FB7F4B"/>
    <w:rsid w:val="00FC77FD"/>
    <w:rsid w:val="00FD0532"/>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 w:type="paragraph" w:styleId="NormalWeb">
    <w:name w:val="Normal (Web)"/>
    <w:basedOn w:val="Normal"/>
    <w:uiPriority w:val="99"/>
    <w:unhideWhenUsed/>
    <w:rsid w:val="003F1150"/>
    <w:pPr>
      <w:spacing w:before="100" w:beforeAutospacing="1" w:after="100" w:afterAutospacing="1"/>
    </w:pPr>
    <w:rPr>
      <w:rFonts w:eastAsia="Calibri"/>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 w:type="paragraph" w:styleId="NormalWeb">
    <w:name w:val="Normal (Web)"/>
    <w:basedOn w:val="Normal"/>
    <w:uiPriority w:val="99"/>
    <w:unhideWhenUsed/>
    <w:rsid w:val="003F1150"/>
    <w:pPr>
      <w:spacing w:before="100" w:beforeAutospacing="1" w:after="100" w:afterAutospacing="1"/>
    </w:pPr>
    <w:rPr>
      <w:rFonts w:eastAsia="Calibri"/>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157846">
      <w:bodyDiv w:val="1"/>
      <w:marLeft w:val="0"/>
      <w:marRight w:val="0"/>
      <w:marTop w:val="0"/>
      <w:marBottom w:val="0"/>
      <w:divBdr>
        <w:top w:val="none" w:sz="0" w:space="0" w:color="auto"/>
        <w:left w:val="none" w:sz="0" w:space="0" w:color="auto"/>
        <w:bottom w:val="none" w:sz="0" w:space="0" w:color="auto"/>
        <w:right w:val="none" w:sz="0" w:space="0" w:color="auto"/>
      </w:divBdr>
    </w:div>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 w:id="182873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Wolf-Dietrich.Grussmann@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2081</Words>
  <Characters>11867</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13921</CharactersWithSpaces>
  <SharedDoc>false</SharedDoc>
  <HLinks>
    <vt:vector size="30" baseType="variant">
      <vt:variant>
        <vt:i4>1835128</vt:i4>
      </vt:variant>
      <vt:variant>
        <vt:i4>12</vt:i4>
      </vt:variant>
      <vt:variant>
        <vt:i4>0</vt:i4>
      </vt:variant>
      <vt:variant>
        <vt:i4>5</vt:i4>
      </vt:variant>
      <vt:variant>
        <vt:lpwstr>mailto:edps@edps.europa.eu</vt:lpwstr>
      </vt:variant>
      <vt:variant>
        <vt:lpwstr/>
      </vt:variant>
      <vt:variant>
        <vt:i4>7340038</vt:i4>
      </vt:variant>
      <vt:variant>
        <vt:i4>9</vt:i4>
      </vt:variant>
      <vt:variant>
        <vt:i4>0</vt:i4>
      </vt:variant>
      <vt:variant>
        <vt:i4>5</vt:i4>
      </vt:variant>
      <vt:variant>
        <vt:lpwstr>mailto:DATA-PROTECTION-OFFICER@ec.europa.eu</vt:lpwstr>
      </vt:variant>
      <vt:variant>
        <vt:lpwstr/>
      </vt:variant>
      <vt:variant>
        <vt:i4>5701744</vt:i4>
      </vt:variant>
      <vt:variant>
        <vt:i4>6</vt:i4>
      </vt:variant>
      <vt:variant>
        <vt:i4>0</vt:i4>
      </vt:variant>
      <vt:variant>
        <vt:i4>5</vt:i4>
      </vt:variant>
      <vt:variant>
        <vt:lpwstr>mailto:HR-MAIL-B4@ec.europa.eu</vt:lpwstr>
      </vt:variant>
      <vt:variant>
        <vt:lpwstr/>
      </vt:variant>
      <vt:variant>
        <vt:i4>6553719</vt:i4>
      </vt:variant>
      <vt:variant>
        <vt:i4>3</vt:i4>
      </vt:variant>
      <vt:variant>
        <vt:i4>0</vt:i4>
      </vt:variant>
      <vt:variant>
        <vt:i4>5</vt:i4>
      </vt:variant>
      <vt:variant>
        <vt:lpwstr>http://ec.europa.eu/civil_service/job/sne/index_de.htm</vt:lpwstr>
      </vt:variant>
      <vt:variant>
        <vt:lpwstr/>
      </vt:variant>
      <vt:variant>
        <vt:i4>3014692</vt:i4>
      </vt:variant>
      <vt:variant>
        <vt:i4>0</vt:i4>
      </vt:variant>
      <vt:variant>
        <vt:i4>0</vt:i4>
      </vt:variant>
      <vt:variant>
        <vt:i4>5</vt:i4>
      </vt:variant>
      <vt:variant>
        <vt:lpwstr>http://europass.cedefop.europa.eu/de/documents/curriculum-vitae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HENROTTE Corinne (HR)</cp:lastModifiedBy>
  <cp:revision>2</cp:revision>
  <cp:lastPrinted>2012-11-13T07:59:00Z</cp:lastPrinted>
  <dcterms:created xsi:type="dcterms:W3CDTF">2019-04-08T09:52:00Z</dcterms:created>
  <dcterms:modified xsi:type="dcterms:W3CDTF">2019-04-08T09:52:00Z</dcterms:modified>
</cp:coreProperties>
</file>