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37" w:rsidRDefault="00CA10CA" w:rsidP="0069244E">
      <w:pPr>
        <w:ind w:right="1317"/>
        <w:jc w:val="center"/>
        <w:rPr>
          <w:b/>
          <w:lang w:val="de-DE"/>
        </w:rPr>
      </w:pPr>
      <w:r>
        <w:rPr>
          <w:b/>
          <w:noProof/>
          <w:lang w:val="fr-FR" w:eastAsia="fr-FR"/>
        </w:rPr>
        <w:drawing>
          <wp:anchor distT="0" distB="0" distL="114300" distR="114300" simplePos="0" relativeHeight="251657728" behindDoc="1" locked="0" layoutInCell="1" allowOverlap="1">
            <wp:simplePos x="0" y="0"/>
            <wp:positionH relativeFrom="column">
              <wp:posOffset>0</wp:posOffset>
            </wp:positionH>
            <wp:positionV relativeFrom="paragraph">
              <wp:posOffset>-409575</wp:posOffset>
            </wp:positionV>
            <wp:extent cx="1381125" cy="685800"/>
            <wp:effectExtent l="0" t="0" r="9525" b="0"/>
            <wp:wrapTight wrapText="bothSides">
              <wp:wrapPolygon edited="0">
                <wp:start x="0" y="0"/>
                <wp:lineTo x="0" y="21000"/>
                <wp:lineTo x="21451" y="21000"/>
                <wp:lineTo x="214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CA54D9" w:rsidRDefault="006643E5" w:rsidP="00527871">
      <w:pPr>
        <w:spacing w:before="240"/>
        <w:ind w:left="720" w:right="1315"/>
        <w:jc w:val="center"/>
        <w:rPr>
          <w:b/>
          <w:lang w:val="de-DE"/>
        </w:rPr>
      </w:pPr>
      <w:r w:rsidRPr="009222CC">
        <w:rPr>
          <w:b/>
          <w:lang w:val="de-DE"/>
        </w:rPr>
        <w:t>STELLENAUSSCHREIBUNG</w:t>
      </w:r>
    </w:p>
    <w:p w:rsidR="00527871" w:rsidRPr="009222CC" w:rsidRDefault="00527871" w:rsidP="00527871">
      <w:pPr>
        <w:ind w:left="720" w:right="1315"/>
        <w:jc w:val="center"/>
        <w:rPr>
          <w:b/>
          <w:lang w:val="de-DE"/>
        </w:rPr>
      </w:pPr>
    </w:p>
    <w:p w:rsidR="00CC152B" w:rsidRDefault="00CC152B" w:rsidP="00527871">
      <w:pPr>
        <w:tabs>
          <w:tab w:val="left" w:pos="10065"/>
        </w:tabs>
        <w:ind w:left="720" w:right="1317"/>
        <w:jc w:val="center"/>
        <w:rPr>
          <w:b/>
          <w:lang w:val="de-DE"/>
        </w:rPr>
      </w:pPr>
      <w:r>
        <w:rPr>
          <w:b/>
          <w:lang w:val="de-DE"/>
        </w:rPr>
        <w:t>ZU</w:t>
      </w:r>
      <w:r w:rsidRPr="009222CC">
        <w:rPr>
          <w:b/>
          <w:lang w:val="de-DE"/>
        </w:rPr>
        <w:t xml:space="preserve">R EUROPÄISCHEN KOMMISSION </w:t>
      </w:r>
    </w:p>
    <w:p w:rsidR="006643E5" w:rsidRPr="009222CC" w:rsidRDefault="006643E5" w:rsidP="00527871">
      <w:pPr>
        <w:tabs>
          <w:tab w:val="left" w:pos="10065"/>
        </w:tabs>
        <w:ind w:left="720"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jc w:val="center"/>
        <w:tblLayout w:type="fixed"/>
        <w:tblLook w:val="01E0" w:firstRow="1" w:lastRow="1" w:firstColumn="1" w:lastColumn="1" w:noHBand="0" w:noVBand="0"/>
      </w:tblPr>
      <w:tblGrid>
        <w:gridCol w:w="392"/>
        <w:gridCol w:w="3271"/>
        <w:gridCol w:w="5645"/>
        <w:gridCol w:w="14"/>
      </w:tblGrid>
      <w:tr w:rsidR="008F4989" w:rsidRPr="009222CC" w:rsidTr="00527871">
        <w:trPr>
          <w:gridAfter w:val="1"/>
          <w:wAfter w:w="14" w:type="dxa"/>
          <w:jc w:val="center"/>
        </w:trPr>
        <w:tc>
          <w:tcPr>
            <w:tcW w:w="3663"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645" w:type="dxa"/>
            <w:tcBorders>
              <w:top w:val="single" w:sz="4" w:space="0" w:color="auto"/>
              <w:left w:val="single" w:sz="4" w:space="0" w:color="auto"/>
              <w:bottom w:val="single" w:sz="4" w:space="0" w:color="auto"/>
              <w:right w:val="single" w:sz="4" w:space="0" w:color="auto"/>
            </w:tcBorders>
          </w:tcPr>
          <w:p w:rsidR="008F4989" w:rsidRPr="009222CC" w:rsidRDefault="00E50FDC" w:rsidP="00FA6FD6">
            <w:pPr>
              <w:spacing w:before="120"/>
              <w:ind w:right="1315"/>
              <w:jc w:val="both"/>
              <w:rPr>
                <w:b/>
                <w:lang w:val="de-DE"/>
              </w:rPr>
            </w:pPr>
            <w:r>
              <w:rPr>
                <w:b/>
                <w:lang w:val="de-DE"/>
              </w:rPr>
              <w:t>CNECT-I-2</w:t>
            </w:r>
          </w:p>
        </w:tc>
      </w:tr>
      <w:tr w:rsidR="00DF1D3A" w:rsidRPr="00CA10CA" w:rsidTr="00DF1D3A">
        <w:trPr>
          <w:gridAfter w:val="1"/>
          <w:wAfter w:w="14" w:type="dxa"/>
          <w:trHeight w:val="2150"/>
          <w:jc w:val="center"/>
        </w:trPr>
        <w:tc>
          <w:tcPr>
            <w:tcW w:w="3663" w:type="dxa"/>
            <w:gridSpan w:val="2"/>
            <w:vMerge w:val="restart"/>
            <w:tcBorders>
              <w:top w:val="single" w:sz="4" w:space="0" w:color="auto"/>
              <w:left w:val="single" w:sz="4" w:space="0" w:color="auto"/>
              <w:bottom w:val="nil"/>
              <w:right w:val="single" w:sz="4" w:space="0" w:color="auto"/>
            </w:tcBorders>
          </w:tcPr>
          <w:p w:rsidR="00DF1D3A" w:rsidRPr="00527871" w:rsidRDefault="00DF1D3A" w:rsidP="0069244E">
            <w:pPr>
              <w:tabs>
                <w:tab w:val="left" w:pos="1697"/>
              </w:tabs>
              <w:ind w:right="-1739"/>
              <w:jc w:val="both"/>
              <w:rPr>
                <w:b/>
                <w:sz w:val="22"/>
                <w:szCs w:val="22"/>
                <w:lang w:val="de-DE"/>
              </w:rPr>
            </w:pPr>
            <w:r w:rsidRPr="00527871">
              <w:rPr>
                <w:b/>
                <w:sz w:val="22"/>
                <w:szCs w:val="22"/>
                <w:lang w:val="de-DE"/>
              </w:rPr>
              <w:t>Referatsleiter:</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E-Mail-Adresse:</w:t>
            </w:r>
          </w:p>
          <w:p w:rsidR="00DF1D3A" w:rsidRDefault="00DF1D3A" w:rsidP="0069244E">
            <w:pPr>
              <w:tabs>
                <w:tab w:val="left" w:pos="1697"/>
              </w:tabs>
              <w:ind w:right="-1739"/>
              <w:jc w:val="both"/>
              <w:rPr>
                <w:b/>
                <w:sz w:val="22"/>
                <w:szCs w:val="22"/>
                <w:lang w:val="de-DE"/>
              </w:rPr>
            </w:pPr>
            <w:r w:rsidRPr="00527871">
              <w:rPr>
                <w:b/>
                <w:sz w:val="22"/>
                <w:szCs w:val="22"/>
                <w:lang w:val="de-DE"/>
              </w:rPr>
              <w:t>Telefon:</w:t>
            </w:r>
          </w:p>
          <w:p w:rsidR="00DF1D3A" w:rsidRPr="00527871" w:rsidRDefault="00DF1D3A" w:rsidP="0069244E">
            <w:pPr>
              <w:tabs>
                <w:tab w:val="left" w:pos="1697"/>
              </w:tabs>
              <w:ind w:right="-1739"/>
              <w:jc w:val="both"/>
              <w:rPr>
                <w:sz w:val="22"/>
                <w:szCs w:val="22"/>
                <w:lang w:val="de-DE"/>
              </w:rPr>
            </w:pPr>
            <w:r w:rsidRPr="00527871">
              <w:rPr>
                <w:b/>
                <w:sz w:val="22"/>
                <w:szCs w:val="22"/>
                <w:lang w:val="de-DE"/>
              </w:rPr>
              <w:t>Anzahl der zu besetzenden Stellen:</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Gewünschter Dienstantritt:</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 Dauer der</w:t>
            </w:r>
          </w:p>
          <w:p w:rsidR="00DF1D3A" w:rsidRPr="00527871" w:rsidRDefault="00DF1D3A" w:rsidP="0069244E">
            <w:pPr>
              <w:tabs>
                <w:tab w:val="left" w:pos="1697"/>
              </w:tabs>
              <w:ind w:right="-1739"/>
              <w:jc w:val="both"/>
              <w:rPr>
                <w:sz w:val="22"/>
                <w:szCs w:val="22"/>
                <w:lang w:val="de-DE"/>
              </w:rPr>
            </w:pPr>
            <w:r w:rsidRPr="00527871">
              <w:rPr>
                <w:b/>
                <w:sz w:val="22"/>
                <w:szCs w:val="22"/>
                <w:lang w:val="de-DE"/>
              </w:rPr>
              <w:t>1. Abordnung:</w:t>
            </w:r>
          </w:p>
          <w:p w:rsidR="00DF1D3A" w:rsidRPr="00527871" w:rsidRDefault="00DF1D3A" w:rsidP="00DF1D3A">
            <w:pPr>
              <w:tabs>
                <w:tab w:val="left" w:pos="1697"/>
              </w:tabs>
              <w:ind w:right="-1739"/>
              <w:jc w:val="both"/>
              <w:rPr>
                <w:sz w:val="22"/>
                <w:szCs w:val="22"/>
                <w:lang w:val="de-DE"/>
              </w:rPr>
            </w:pPr>
            <w:r w:rsidRPr="00527871">
              <w:rPr>
                <w:b/>
                <w:sz w:val="22"/>
                <w:szCs w:val="22"/>
                <w:lang w:val="de-DE"/>
              </w:rPr>
              <w:t>Dienstort:</w:t>
            </w:r>
          </w:p>
        </w:tc>
        <w:tc>
          <w:tcPr>
            <w:tcW w:w="5645" w:type="dxa"/>
            <w:tcBorders>
              <w:top w:val="single" w:sz="4" w:space="0" w:color="auto"/>
              <w:left w:val="single" w:sz="4" w:space="0" w:color="auto"/>
              <w:right w:val="single" w:sz="4" w:space="0" w:color="auto"/>
            </w:tcBorders>
          </w:tcPr>
          <w:p w:rsidR="00DF1D3A" w:rsidRPr="00CA10CA" w:rsidRDefault="00E50FDC" w:rsidP="0069244E">
            <w:pPr>
              <w:ind w:right="1317"/>
              <w:jc w:val="both"/>
              <w:rPr>
                <w:b/>
                <w:sz w:val="22"/>
                <w:szCs w:val="22"/>
                <w:lang w:val="es-ES"/>
              </w:rPr>
            </w:pPr>
            <w:r w:rsidRPr="00CA10CA">
              <w:rPr>
                <w:b/>
                <w:sz w:val="22"/>
                <w:szCs w:val="22"/>
                <w:lang w:val="es-ES"/>
              </w:rPr>
              <w:t>Marco GIORELLO</w:t>
            </w:r>
          </w:p>
          <w:p w:rsidR="00DF1D3A" w:rsidRPr="00CA10CA" w:rsidRDefault="00CA10CA" w:rsidP="0069244E">
            <w:pPr>
              <w:ind w:right="1317"/>
              <w:jc w:val="both"/>
              <w:rPr>
                <w:b/>
                <w:sz w:val="22"/>
                <w:szCs w:val="22"/>
                <w:lang w:val="es-ES"/>
              </w:rPr>
            </w:pPr>
            <w:hyperlink r:id="rId9" w:history="1">
              <w:r w:rsidR="00E50FDC" w:rsidRPr="00CA10CA">
                <w:rPr>
                  <w:rStyle w:val="Hyperlink"/>
                  <w:b/>
                  <w:sz w:val="22"/>
                  <w:szCs w:val="22"/>
                  <w:lang w:val="es-ES"/>
                </w:rPr>
                <w:t>Marco.Giorello@ec.europa.eu</w:t>
              </w:r>
            </w:hyperlink>
          </w:p>
          <w:p w:rsidR="00DF1D3A" w:rsidRDefault="00E50FDC" w:rsidP="0069244E">
            <w:pPr>
              <w:ind w:right="1317"/>
              <w:jc w:val="both"/>
              <w:rPr>
                <w:b/>
                <w:sz w:val="22"/>
                <w:szCs w:val="22"/>
                <w:lang w:val="de-DE"/>
              </w:rPr>
            </w:pPr>
            <w:r>
              <w:rPr>
                <w:b/>
                <w:sz w:val="22"/>
                <w:szCs w:val="22"/>
                <w:lang w:val="de-DE"/>
              </w:rPr>
              <w:t>+32-2-29.69563</w:t>
            </w:r>
          </w:p>
          <w:p w:rsidR="00DF1D3A" w:rsidRPr="00527871" w:rsidRDefault="00E50FDC" w:rsidP="0069244E">
            <w:pPr>
              <w:ind w:left="34" w:right="1317"/>
              <w:jc w:val="both"/>
              <w:rPr>
                <w:b/>
                <w:sz w:val="22"/>
                <w:szCs w:val="22"/>
                <w:lang w:val="de-DE"/>
              </w:rPr>
            </w:pPr>
            <w:r>
              <w:rPr>
                <w:b/>
                <w:sz w:val="22"/>
                <w:szCs w:val="22"/>
                <w:lang w:val="de-DE"/>
              </w:rPr>
              <w:t>1</w:t>
            </w:r>
          </w:p>
          <w:p w:rsidR="00DF1D3A" w:rsidRPr="00527871" w:rsidRDefault="00E50FDC" w:rsidP="0069244E">
            <w:pPr>
              <w:ind w:left="34" w:right="1317"/>
              <w:jc w:val="both"/>
              <w:rPr>
                <w:b/>
                <w:sz w:val="22"/>
                <w:szCs w:val="22"/>
                <w:lang w:val="de-DE"/>
              </w:rPr>
            </w:pPr>
            <w:r>
              <w:rPr>
                <w:b/>
                <w:sz w:val="22"/>
                <w:szCs w:val="22"/>
                <w:lang w:val="de-DE"/>
              </w:rPr>
              <w:t>3.</w:t>
            </w:r>
            <w:r w:rsidR="00DF1D3A" w:rsidRPr="00527871">
              <w:rPr>
                <w:b/>
                <w:sz w:val="22"/>
                <w:szCs w:val="22"/>
                <w:lang w:val="de-DE"/>
              </w:rPr>
              <w:t xml:space="preserve"> Quartal 201</w:t>
            </w:r>
            <w:r w:rsidR="00DF1D3A">
              <w:rPr>
                <w:b/>
                <w:sz w:val="22"/>
                <w:szCs w:val="22"/>
                <w:lang w:val="de-DE"/>
              </w:rPr>
              <w:t>9</w:t>
            </w:r>
            <w:r w:rsidR="00DF1D3A" w:rsidRPr="00527871">
              <w:rPr>
                <w:rStyle w:val="FootnoteReference"/>
                <w:b/>
                <w:sz w:val="22"/>
                <w:szCs w:val="22"/>
                <w:lang w:val="de-DE"/>
              </w:rPr>
              <w:footnoteReference w:id="1"/>
            </w:r>
          </w:p>
          <w:p w:rsidR="00DF1D3A" w:rsidRDefault="00E50FDC" w:rsidP="00DF1D3A">
            <w:pPr>
              <w:ind w:right="1317"/>
              <w:jc w:val="both"/>
              <w:rPr>
                <w:b/>
                <w:sz w:val="22"/>
                <w:szCs w:val="22"/>
                <w:lang w:val="de-DE"/>
              </w:rPr>
            </w:pPr>
            <w:r>
              <w:rPr>
                <w:b/>
                <w:sz w:val="22"/>
                <w:szCs w:val="22"/>
                <w:lang w:val="de-DE"/>
              </w:rPr>
              <w:t xml:space="preserve">2 </w:t>
            </w:r>
            <w:r w:rsidR="00DF1D3A" w:rsidRPr="00527871">
              <w:rPr>
                <w:b/>
                <w:sz w:val="22"/>
                <w:szCs w:val="22"/>
                <w:lang w:val="de-DE"/>
              </w:rPr>
              <w:t>Jahr(e)</w:t>
            </w:r>
            <w:r w:rsidR="00DF1D3A" w:rsidRPr="00527871">
              <w:rPr>
                <w:rStyle w:val="FootnoteReference"/>
                <w:b/>
                <w:sz w:val="22"/>
                <w:szCs w:val="22"/>
                <w:lang w:val="de-DE"/>
              </w:rPr>
              <w:t>1</w:t>
            </w:r>
          </w:p>
          <w:p w:rsidR="00DF1D3A" w:rsidRPr="00527871" w:rsidRDefault="00DF1D3A" w:rsidP="00DF1D3A">
            <w:pPr>
              <w:ind w:right="1317"/>
              <w:jc w:val="both"/>
              <w:rPr>
                <w:b/>
                <w:sz w:val="22"/>
                <w:szCs w:val="22"/>
                <w:lang w:val="de-DE"/>
              </w:rPr>
            </w:pPr>
          </w:p>
          <w:p w:rsidR="00DF1D3A" w:rsidRPr="00527871" w:rsidRDefault="00E50FDC" w:rsidP="00527871">
            <w:pPr>
              <w:tabs>
                <w:tab w:val="left" w:pos="317"/>
                <w:tab w:val="left" w:pos="1310"/>
                <w:tab w:val="left" w:pos="1735"/>
                <w:tab w:val="left" w:pos="3011"/>
                <w:tab w:val="left" w:pos="3436"/>
              </w:tabs>
              <w:ind w:right="9"/>
              <w:jc w:val="both"/>
              <w:rPr>
                <w:b/>
                <w:sz w:val="22"/>
                <w:szCs w:val="22"/>
                <w:lang w:val="de-DE"/>
              </w:rPr>
            </w:pPr>
            <w:r>
              <w:rPr>
                <w:rFonts w:eastAsia="MS Minngs"/>
                <w:b/>
                <w:bCs/>
                <w:sz w:val="22"/>
                <w:szCs w:val="22"/>
                <w:lang w:val="fr-FR"/>
              </w:rPr>
              <w:sym w:font="Wingdings 2" w:char="F053"/>
            </w:r>
            <w:r w:rsidR="00DF1D3A" w:rsidRPr="00527871">
              <w:rPr>
                <w:rFonts w:eastAsia="MS Minngs"/>
                <w:bCs/>
                <w:sz w:val="22"/>
                <w:szCs w:val="22"/>
                <w:lang w:val="de-DE"/>
              </w:rPr>
              <w:tab/>
            </w:r>
            <w:r w:rsidR="00DF1D3A" w:rsidRPr="00527871">
              <w:rPr>
                <w:b/>
                <w:sz w:val="22"/>
                <w:szCs w:val="22"/>
                <w:lang w:val="de-DE"/>
              </w:rPr>
              <w:t>Brüssel</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ab/>
            </w:r>
            <w:r w:rsidR="00DF1D3A" w:rsidRPr="00527871">
              <w:rPr>
                <w:b/>
                <w:sz w:val="22"/>
                <w:szCs w:val="22"/>
                <w:lang w:val="de-DE"/>
              </w:rPr>
              <w:t>Luxemburg</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 xml:space="preserve"> </w:t>
            </w:r>
            <w:r w:rsidR="00DF1D3A">
              <w:rPr>
                <w:rFonts w:eastAsia="MS Minngs"/>
                <w:bCs/>
                <w:sz w:val="22"/>
                <w:szCs w:val="22"/>
                <w:lang w:val="de-DE"/>
              </w:rPr>
              <w:tab/>
            </w:r>
            <w:r w:rsidR="00DF1D3A" w:rsidRPr="00527871">
              <w:rPr>
                <w:b/>
                <w:sz w:val="22"/>
                <w:szCs w:val="22"/>
                <w:lang w:val="de-DE"/>
              </w:rPr>
              <w:t>Anderer:…</w:t>
            </w:r>
            <w:r w:rsidR="00DF1D3A">
              <w:rPr>
                <w:b/>
                <w:sz w:val="22"/>
                <w:szCs w:val="22"/>
                <w:lang w:val="de-DE"/>
              </w:rPr>
              <w:t>……..</w:t>
            </w:r>
          </w:p>
        </w:tc>
      </w:tr>
      <w:tr w:rsidR="00527871" w:rsidRPr="00527871" w:rsidTr="00527871">
        <w:trPr>
          <w:gridAfter w:val="1"/>
          <w:wAfter w:w="14" w:type="dxa"/>
          <w:jc w:val="center"/>
        </w:trPr>
        <w:tc>
          <w:tcPr>
            <w:tcW w:w="3663" w:type="dxa"/>
            <w:gridSpan w:val="2"/>
            <w:vMerge/>
            <w:tcBorders>
              <w:left w:val="single" w:sz="4" w:space="0" w:color="auto"/>
              <w:right w:val="single" w:sz="4" w:space="0" w:color="auto"/>
            </w:tcBorders>
          </w:tcPr>
          <w:p w:rsidR="00527871" w:rsidRPr="00527871" w:rsidRDefault="00527871" w:rsidP="0069244E">
            <w:pPr>
              <w:tabs>
                <w:tab w:val="left" w:pos="1697"/>
              </w:tabs>
              <w:ind w:right="-1739"/>
              <w:jc w:val="both"/>
              <w:rPr>
                <w:sz w:val="22"/>
                <w:szCs w:val="22"/>
                <w:lang w:val="de-DE"/>
              </w:rPr>
            </w:pPr>
          </w:p>
        </w:tc>
        <w:tc>
          <w:tcPr>
            <w:tcW w:w="5645" w:type="dxa"/>
            <w:tcBorders>
              <w:top w:val="single" w:sz="4" w:space="0" w:color="auto"/>
              <w:left w:val="single" w:sz="4" w:space="0" w:color="auto"/>
              <w:bottom w:val="single" w:sz="4" w:space="0" w:color="auto"/>
              <w:right w:val="single" w:sz="4" w:space="0" w:color="auto"/>
            </w:tcBorders>
          </w:tcPr>
          <w:p w:rsidR="00527871" w:rsidRPr="00527871" w:rsidRDefault="00E50FDC" w:rsidP="00527871">
            <w:pPr>
              <w:tabs>
                <w:tab w:val="left" w:pos="1697"/>
              </w:tabs>
              <w:spacing w:before="100" w:after="100"/>
              <w:ind w:right="-1741"/>
              <w:rPr>
                <w:b/>
                <w:sz w:val="22"/>
                <w:szCs w:val="22"/>
                <w:lang w:val="de-DE"/>
              </w:rPr>
            </w:pPr>
            <w:r>
              <w:rPr>
                <w:rFonts w:eastAsia="MS Minngs"/>
                <w:b/>
                <w:bCs/>
                <w:sz w:val="22"/>
                <w:szCs w:val="22"/>
                <w:lang w:val="fr-FR"/>
              </w:rPr>
              <w:sym w:font="Wingdings 2" w:char="F053"/>
            </w:r>
            <w:r w:rsidR="00527871" w:rsidRPr="00527871">
              <w:rPr>
                <w:rFonts w:eastAsia="MS Minngs"/>
                <w:bCs/>
                <w:sz w:val="22"/>
                <w:szCs w:val="22"/>
                <w:lang w:val="de-DE"/>
              </w:rPr>
              <w:t xml:space="preserve">  </w:t>
            </w:r>
            <w:r w:rsidR="00527871" w:rsidRPr="00527871">
              <w:rPr>
                <w:b/>
                <w:sz w:val="22"/>
                <w:szCs w:val="22"/>
                <w:lang w:val="de-DE"/>
              </w:rPr>
              <w:t xml:space="preserve">Mit Vergütungen   </w:t>
            </w:r>
            <w:r w:rsidR="00527871" w:rsidRPr="00527871">
              <w:rPr>
                <w:rFonts w:eastAsia="MS Minngs"/>
                <w:bCs/>
                <w:sz w:val="22"/>
                <w:szCs w:val="22"/>
                <w:lang w:val="fr-FR"/>
              </w:rPr>
              <w:sym w:font="Wingdings 2" w:char="F0A3"/>
            </w:r>
            <w:r w:rsidR="00527871" w:rsidRPr="00527871">
              <w:rPr>
                <w:b/>
                <w:sz w:val="22"/>
                <w:szCs w:val="22"/>
                <w:lang w:val="de-DE"/>
              </w:rPr>
              <w:t xml:space="preserve">  Unentgeltlich Abgeordnet</w:t>
            </w:r>
          </w:p>
        </w:tc>
      </w:tr>
      <w:tr w:rsidR="00527871" w:rsidRPr="00CA10CA" w:rsidTr="00527871">
        <w:trPr>
          <w:gridAfter w:val="1"/>
          <w:wAfter w:w="14" w:type="dxa"/>
          <w:trHeight w:val="701"/>
          <w:jc w:val="center"/>
        </w:trPr>
        <w:tc>
          <w:tcPr>
            <w:tcW w:w="3663" w:type="dxa"/>
            <w:gridSpan w:val="2"/>
            <w:vMerge/>
            <w:tcBorders>
              <w:left w:val="single" w:sz="4" w:space="0" w:color="auto"/>
              <w:bottom w:val="single" w:sz="4" w:space="0" w:color="auto"/>
              <w:right w:val="single" w:sz="4" w:space="0" w:color="auto"/>
            </w:tcBorders>
          </w:tcPr>
          <w:p w:rsidR="00527871" w:rsidRPr="00527871" w:rsidRDefault="00527871" w:rsidP="0069244E">
            <w:pPr>
              <w:tabs>
                <w:tab w:val="left" w:pos="1697"/>
              </w:tabs>
              <w:ind w:right="-1739"/>
              <w:jc w:val="both"/>
              <w:rPr>
                <w:b/>
                <w:sz w:val="22"/>
                <w:szCs w:val="22"/>
                <w:lang w:val="de-DE"/>
              </w:rPr>
            </w:pPr>
          </w:p>
        </w:tc>
        <w:tc>
          <w:tcPr>
            <w:tcW w:w="5645" w:type="dxa"/>
            <w:tcBorders>
              <w:left w:val="single" w:sz="4" w:space="0" w:color="auto"/>
              <w:bottom w:val="single" w:sz="4" w:space="0" w:color="auto"/>
              <w:right w:val="single" w:sz="4" w:space="0" w:color="auto"/>
            </w:tcBorders>
          </w:tcPr>
          <w:p w:rsidR="00527871" w:rsidRPr="00527871" w:rsidRDefault="00527871" w:rsidP="002747E6">
            <w:pPr>
              <w:rPr>
                <w:b/>
                <w:sz w:val="22"/>
                <w:szCs w:val="22"/>
                <w:lang w:val="de-DE"/>
              </w:rPr>
            </w:pPr>
            <w:r w:rsidRPr="00527871">
              <w:rPr>
                <w:b/>
                <w:sz w:val="22"/>
                <w:szCs w:val="22"/>
                <w:lang w:val="de-DE"/>
              </w:rPr>
              <w:t>Auf diese Stellenausschreibung können sich auch</w:t>
            </w:r>
          </w:p>
          <w:p w:rsidR="00527871" w:rsidRPr="00527871" w:rsidRDefault="00527871" w:rsidP="00527871">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die </w:t>
            </w:r>
            <w:r>
              <w:rPr>
                <w:b/>
                <w:sz w:val="22"/>
                <w:szCs w:val="22"/>
                <w:lang w:val="de-DE"/>
              </w:rPr>
              <w:tab/>
            </w:r>
            <w:r>
              <w:rPr>
                <w:b/>
                <w:sz w:val="22"/>
                <w:szCs w:val="22"/>
                <w:lang w:val="de-DE"/>
              </w:rPr>
              <w:tab/>
            </w:r>
            <w:r>
              <w:rPr>
                <w:b/>
                <w:sz w:val="22"/>
                <w:szCs w:val="22"/>
                <w:lang w:val="de-DE"/>
              </w:rPr>
              <w:tab/>
            </w:r>
            <w:r w:rsidRPr="00527871">
              <w:rPr>
                <w:b/>
                <w:sz w:val="22"/>
                <w:szCs w:val="22"/>
                <w:lang w:val="de-DE"/>
              </w:rPr>
              <w:t>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w:t>
            </w:r>
            <w:r>
              <w:rPr>
                <w:b/>
                <w:sz w:val="22"/>
                <w:szCs w:val="22"/>
                <w:lang w:val="de-DE"/>
              </w:rPr>
              <w:br/>
            </w:r>
            <w:r>
              <w:rPr>
                <w:b/>
                <w:sz w:val="22"/>
                <w:szCs w:val="22"/>
                <w:lang w:val="de-DE"/>
              </w:rPr>
              <w:tab/>
              <w:t xml:space="preserve">     </w:t>
            </w:r>
            <w:r w:rsidRPr="00527871">
              <w:rPr>
                <w:b/>
                <w:sz w:val="22"/>
                <w:szCs w:val="22"/>
                <w:lang w:val="de-DE"/>
              </w:rPr>
              <w:t>(Island, Liechtenstein, Norwegen)</w:t>
            </w:r>
          </w:p>
          <w:p w:rsidR="00527871" w:rsidRPr="00527871" w:rsidRDefault="00527871" w:rsidP="002747E6">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527871" w:rsidRPr="00527871" w:rsidRDefault="00527871" w:rsidP="00527871">
            <w:pPr>
              <w:tabs>
                <w:tab w:val="left" w:pos="459"/>
              </w:tabs>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xml:space="preserve">    Bedienstete folgender zwischenstaatlicher </w:t>
            </w:r>
            <w:r>
              <w:rPr>
                <w:rStyle w:val="Strong"/>
                <w:sz w:val="22"/>
                <w:szCs w:val="22"/>
                <w:lang w:val="de-DE"/>
              </w:rPr>
              <w:tab/>
            </w:r>
            <w:r w:rsidRPr="00527871">
              <w:rPr>
                <w:rStyle w:val="Strong"/>
                <w:sz w:val="22"/>
                <w:szCs w:val="22"/>
                <w:lang w:val="de-DE"/>
              </w:rPr>
              <w:t>Organisationen bewerben:</w:t>
            </w:r>
          </w:p>
          <w:p w:rsidR="00527871" w:rsidRPr="00527871" w:rsidRDefault="00527871" w:rsidP="0069244E">
            <w:pPr>
              <w:tabs>
                <w:tab w:val="left" w:pos="1697"/>
              </w:tabs>
              <w:ind w:right="-1739"/>
              <w:jc w:val="both"/>
              <w:rPr>
                <w:rFonts w:eastAsia="MS Minngs"/>
                <w:bCs/>
                <w:sz w:val="22"/>
                <w:szCs w:val="22"/>
                <w:lang w:val="de-DE"/>
              </w:rPr>
            </w:pPr>
          </w:p>
        </w:tc>
      </w:tr>
      <w:tr w:rsidR="006643E5" w:rsidRPr="00CA10CA" w:rsidTr="00527871">
        <w:trPr>
          <w:gridAfter w:val="1"/>
          <w:wAfter w:w="14" w:type="dxa"/>
          <w:jc w:val="center"/>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Art der Tätigkeit:</w:t>
            </w:r>
          </w:p>
        </w:tc>
      </w:tr>
      <w:tr w:rsidR="006643E5" w:rsidRPr="00CA10CA" w:rsidTr="00527871">
        <w:trPr>
          <w:gridAfter w:val="1"/>
          <w:wAfter w:w="14" w:type="dxa"/>
          <w:jc w:val="center"/>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6643E5" w:rsidRPr="00E50FDC" w:rsidRDefault="006643E5" w:rsidP="00435DA0">
            <w:pPr>
              <w:ind w:right="9"/>
              <w:jc w:val="both"/>
              <w:rPr>
                <w:sz w:val="22"/>
                <w:szCs w:val="22"/>
                <w:lang w:val="de-DE"/>
              </w:rPr>
            </w:pPr>
          </w:p>
          <w:p w:rsidR="00E50FDC" w:rsidRPr="00E50FDC" w:rsidRDefault="00E50FDC" w:rsidP="00E50FDC">
            <w:pPr>
              <w:suppressAutoHyphens/>
              <w:jc w:val="both"/>
              <w:rPr>
                <w:sz w:val="22"/>
                <w:szCs w:val="22"/>
                <w:lang w:val="de-DE"/>
              </w:rPr>
            </w:pPr>
            <w:r w:rsidRPr="00E50FDC">
              <w:rPr>
                <w:sz w:val="22"/>
                <w:szCs w:val="22"/>
                <w:lang w:val="de-DE"/>
              </w:rPr>
              <w:t>Der abgeordnete nationale Sachverständige (ANS) wird Teil des Referats der GD Kommunikationsnetze, Inhalte und Technologie sein, das für die Entwicklung der Politik der Kommission im Bereich des Urheberrechts und der verwandten Schutzrechte zuständig ist. Sie oder Er wird Teil eines kollegialen, dynamischen und vielfältigen Teams von hoch engagierten Berufsträgern zu einem entscheidenden Zeitpunkt werden, während Urheberrecht im digitalen Zeitalter in Europa und darüber hinaus lebhaft debattiert wird.</w:t>
            </w:r>
          </w:p>
          <w:p w:rsidR="00E50FDC" w:rsidRPr="00E50FDC" w:rsidRDefault="00E50FDC" w:rsidP="00E50FDC">
            <w:pPr>
              <w:suppressAutoHyphens/>
              <w:jc w:val="both"/>
              <w:rPr>
                <w:sz w:val="22"/>
                <w:szCs w:val="22"/>
                <w:lang w:val="de-DE"/>
              </w:rPr>
            </w:pPr>
          </w:p>
          <w:p w:rsidR="00E50FDC" w:rsidRPr="00E50FDC" w:rsidRDefault="00E50FDC" w:rsidP="00E50FDC">
            <w:pPr>
              <w:suppressAutoHyphens/>
              <w:jc w:val="both"/>
              <w:rPr>
                <w:sz w:val="22"/>
                <w:szCs w:val="22"/>
                <w:lang w:val="de-DE"/>
              </w:rPr>
            </w:pPr>
            <w:r w:rsidRPr="00E50FDC">
              <w:rPr>
                <w:sz w:val="22"/>
                <w:szCs w:val="22"/>
                <w:lang w:val="de-DE"/>
              </w:rPr>
              <w:t xml:space="preserve">Die Urheberrechtspolitik wurde als klare politische Priorität der Juncker-Kommission identifiziert und wird nicht nur von der Kommission, sondern auch vom Europäischen Parlament und vom Rat als Schlüsselelement bei der Entwicklung der Strategie für einen digitalen Binnenmarkt angesehen. Das Referat ist derzeit für den Gesetzgebungsprozess zur laufenden Modernisierung der EU-Urheberrechtsvorschriften zuständig. Zwei große Kommissionsvorschläge, eine Richtlinie zum Urheberrecht im digitalen Binnenmarkt und eine </w:t>
            </w:r>
            <w:r w:rsidR="00AF0B39">
              <w:rPr>
                <w:sz w:val="22"/>
                <w:szCs w:val="22"/>
                <w:lang w:val="de-DE"/>
              </w:rPr>
              <w:t>Richtlinie</w:t>
            </w:r>
            <w:r w:rsidRPr="00E50FDC">
              <w:rPr>
                <w:sz w:val="22"/>
                <w:szCs w:val="22"/>
                <w:lang w:val="de-DE"/>
              </w:rPr>
              <w:t xml:space="preserve"> mit Vorschriften für die Wahrnehmung von Urheberrechten und verwandten Schutzrechten in Bezug auf bestimmte Online-Übertragungen von Rundfunkveranstaltern und die Weiterverbreitung von Fernseh- und Hörfunkprogrammen, </w:t>
            </w:r>
            <w:r w:rsidR="00AF0B39">
              <w:rPr>
                <w:sz w:val="22"/>
                <w:szCs w:val="22"/>
                <w:lang w:val="de-DE"/>
              </w:rPr>
              <w:t xml:space="preserve">sind derzeit </w:t>
            </w:r>
            <w:r w:rsidR="00D2512D">
              <w:rPr>
                <w:sz w:val="22"/>
                <w:szCs w:val="22"/>
                <w:lang w:val="de-DE"/>
              </w:rPr>
              <w:t>im</w:t>
            </w:r>
            <w:r w:rsidR="00AF0B39">
              <w:rPr>
                <w:sz w:val="22"/>
                <w:szCs w:val="22"/>
                <w:lang w:val="de-DE"/>
              </w:rPr>
              <w:t xml:space="preserve"> Prozess der formalen Verabschiedung </w:t>
            </w:r>
            <w:r w:rsidRPr="00E50FDC">
              <w:rPr>
                <w:sz w:val="22"/>
                <w:szCs w:val="22"/>
                <w:lang w:val="de-DE"/>
              </w:rPr>
              <w:t xml:space="preserve"> im Europäischen </w:t>
            </w:r>
            <w:r w:rsidRPr="00E50FDC">
              <w:rPr>
                <w:sz w:val="22"/>
                <w:szCs w:val="22"/>
                <w:lang w:val="de-DE"/>
              </w:rPr>
              <w:lastRenderedPageBreak/>
              <w:t xml:space="preserve">Parlament und Rat. </w:t>
            </w:r>
          </w:p>
          <w:p w:rsidR="00E50FDC" w:rsidRPr="00E50FDC" w:rsidRDefault="00E50FDC" w:rsidP="00E50FDC">
            <w:pPr>
              <w:suppressAutoHyphens/>
              <w:jc w:val="both"/>
              <w:rPr>
                <w:sz w:val="22"/>
                <w:szCs w:val="22"/>
                <w:lang w:val="de-DE"/>
              </w:rPr>
            </w:pPr>
          </w:p>
          <w:p w:rsidR="00E50FDC" w:rsidRPr="00E50FDC" w:rsidRDefault="00E50FDC" w:rsidP="00E50FDC">
            <w:pPr>
              <w:suppressAutoHyphens/>
              <w:jc w:val="both"/>
              <w:rPr>
                <w:sz w:val="22"/>
                <w:szCs w:val="22"/>
                <w:lang w:val="de-DE"/>
              </w:rPr>
            </w:pPr>
            <w:r w:rsidRPr="00E50FDC">
              <w:rPr>
                <w:sz w:val="22"/>
                <w:szCs w:val="22"/>
                <w:lang w:val="de-DE"/>
              </w:rPr>
              <w:t>Das Referat ist außerdem für eine Vielzahl von Rechtsakten zuständig (elf Richtlinien und zwei Verordnungen – einschließlich der jüngst angenommenen Portabilitätsverordnung und der Richtlinie und Verordnung zur Umsetzung des Vertrags von Marrakesch in Europäisches Recht), die im Bereich des Urheberrechts im Laufe der Jahre verabschiedet wurden, und leistet regelmäßig Beiträge im Rahmen von Vorabentscheidungsverfahren des Gerichtshofs der Europäischen Union.</w:t>
            </w:r>
          </w:p>
          <w:p w:rsidR="00E50FDC" w:rsidRPr="00E50FDC" w:rsidRDefault="00E50FDC" w:rsidP="00E50FDC">
            <w:pPr>
              <w:suppressAutoHyphens/>
              <w:jc w:val="both"/>
              <w:rPr>
                <w:sz w:val="22"/>
                <w:szCs w:val="22"/>
                <w:lang w:val="de-DE"/>
              </w:rPr>
            </w:pPr>
          </w:p>
          <w:p w:rsidR="00E50FDC" w:rsidRPr="00E50FDC" w:rsidRDefault="00E50FDC" w:rsidP="00E50FDC">
            <w:pPr>
              <w:suppressAutoHyphens/>
              <w:jc w:val="both"/>
              <w:rPr>
                <w:sz w:val="22"/>
                <w:szCs w:val="22"/>
                <w:lang w:val="de-DE"/>
              </w:rPr>
            </w:pPr>
            <w:r w:rsidRPr="00E50FDC">
              <w:rPr>
                <w:sz w:val="22"/>
                <w:szCs w:val="22"/>
                <w:lang w:val="de-DE"/>
              </w:rPr>
              <w:t xml:space="preserve">Nach der Annahme </w:t>
            </w:r>
            <w:r w:rsidR="00AF0B39">
              <w:rPr>
                <w:sz w:val="22"/>
                <w:szCs w:val="22"/>
                <w:lang w:val="de-DE"/>
              </w:rPr>
              <w:t xml:space="preserve">der Richtlinie über das Urheberrecht im digitalen Binnenmarkt </w:t>
            </w:r>
            <w:r w:rsidRPr="00E50FDC">
              <w:rPr>
                <w:sz w:val="22"/>
                <w:szCs w:val="22"/>
                <w:lang w:val="de-DE"/>
              </w:rPr>
              <w:t xml:space="preserve">wird das Referat die Umsetzung dieser Richtlinie wie auch </w:t>
            </w:r>
            <w:r w:rsidR="00AF0B39">
              <w:rPr>
                <w:sz w:val="22"/>
                <w:szCs w:val="22"/>
                <w:lang w:val="de-DE"/>
              </w:rPr>
              <w:t xml:space="preserve">die der Richtlinie </w:t>
            </w:r>
            <w:r w:rsidR="00AF0B39" w:rsidRPr="00E50FDC">
              <w:rPr>
                <w:sz w:val="22"/>
                <w:szCs w:val="22"/>
                <w:lang w:val="de-DE"/>
              </w:rPr>
              <w:t>mit Vorschriften für die Wahrnehmung von Urheberrechten und verwandten Schutzrechten in Bezug auf bestimmte Online-Übertragungen von Rundfunkveranstaltern und die Weiterverbreitung von Fernseh- und Hörfunkprogrammen</w:t>
            </w:r>
            <w:r w:rsidR="00AF0B39">
              <w:rPr>
                <w:sz w:val="22"/>
                <w:szCs w:val="22"/>
                <w:lang w:val="de-DE"/>
              </w:rPr>
              <w:t xml:space="preserve">, </w:t>
            </w:r>
            <w:r w:rsidRPr="00E50FDC">
              <w:rPr>
                <w:sz w:val="22"/>
                <w:szCs w:val="22"/>
                <w:lang w:val="de-DE"/>
              </w:rPr>
              <w:t xml:space="preserve"> der Richtlinie zur Umsetzung des Marrakesch-Vertrags in EU-Rechtsvorschriften und die Anwendung der Portabilitätsverordnung aktiv weiterverfolgen. Dies könnte insbesondere Leitlinien für die Mitgliedstaaten und Interessengruppen zur Anwendung der neuen Regeln einschließen.</w:t>
            </w:r>
          </w:p>
          <w:p w:rsidR="00E50FDC" w:rsidRPr="00E50FDC" w:rsidRDefault="00E50FDC" w:rsidP="00E50FDC">
            <w:pPr>
              <w:suppressAutoHyphens/>
              <w:jc w:val="both"/>
              <w:rPr>
                <w:sz w:val="22"/>
                <w:szCs w:val="22"/>
                <w:lang w:val="de-DE"/>
              </w:rPr>
            </w:pPr>
          </w:p>
          <w:p w:rsidR="00E50FDC" w:rsidRPr="00E50FDC" w:rsidRDefault="00E50FDC" w:rsidP="00E50FDC">
            <w:pPr>
              <w:suppressAutoHyphens/>
              <w:jc w:val="both"/>
              <w:rPr>
                <w:sz w:val="22"/>
                <w:szCs w:val="22"/>
                <w:lang w:val="de-DE"/>
              </w:rPr>
            </w:pPr>
            <w:r w:rsidRPr="00E50FDC">
              <w:rPr>
                <w:sz w:val="22"/>
                <w:szCs w:val="22"/>
                <w:lang w:val="de-DE"/>
              </w:rPr>
              <w:t>Parallel dazu werden wir uns auch weiterhin an breiteren politischen Diskussionen über das Urheberrecht und das Internet beteiligen, vor allem im Hinblick auf das Mandat der nächsten Kommission (2019-2024). Abhängig von den zukünftigen politischen Entwicklungen könnte dies die Erarbeitung von Rechtsfolgenabschätzungen und Legislativvorschlägen im Bereich des EU-Urheberrechts während der nächsten Kommission einschließen.</w:t>
            </w:r>
          </w:p>
          <w:p w:rsidR="00E50FDC" w:rsidRPr="00E50FDC" w:rsidRDefault="00E50FDC" w:rsidP="00E50FDC">
            <w:pPr>
              <w:suppressAutoHyphens/>
              <w:jc w:val="both"/>
              <w:rPr>
                <w:sz w:val="22"/>
                <w:szCs w:val="22"/>
                <w:lang w:val="de-DE"/>
              </w:rPr>
            </w:pPr>
          </w:p>
          <w:p w:rsidR="00E50FDC" w:rsidRPr="00E50FDC" w:rsidRDefault="00E50FDC" w:rsidP="00E50FDC">
            <w:pPr>
              <w:suppressAutoHyphens/>
              <w:jc w:val="both"/>
              <w:rPr>
                <w:sz w:val="22"/>
                <w:szCs w:val="22"/>
                <w:lang w:val="de-DE"/>
              </w:rPr>
            </w:pPr>
            <w:r w:rsidRPr="00E50FDC">
              <w:rPr>
                <w:sz w:val="22"/>
                <w:szCs w:val="22"/>
                <w:lang w:val="de-DE"/>
              </w:rPr>
              <w:t xml:space="preserve">Das Referat ist außerdem für die Richtlinie 2014/26/EG über die kollektive Wahrnehmung von Urheberrechten und verwandten Schutzrechten und die multiterritoriale Lizenzierung von Rechten an Musikwerken zur Online-Nutzung im Binnenmarkt ("CRM-Richtlinie") zuständig.  Das Referat organisiert regelmäßig die Sitzungen der Sachverständigengruppe, um Fragen im Zusammenhang mit der Anwendung der Richtlinie zu erörtern und den Informationsaustausch zu erleichtern.  In der kommenden Zeit wird eine wichtige Aufgabe des Referats auch darin bestehen, einen Bericht über die Bewertung der Anwendung der Richtlinie zu erstellen und gegebenenfalls Folgemaßnahmen vorzuschlagen. </w:t>
            </w:r>
          </w:p>
          <w:p w:rsidR="00E50FDC" w:rsidRPr="00E50FDC" w:rsidRDefault="00E50FDC" w:rsidP="00E50FDC">
            <w:pPr>
              <w:suppressAutoHyphens/>
              <w:jc w:val="both"/>
              <w:rPr>
                <w:sz w:val="22"/>
                <w:szCs w:val="22"/>
                <w:lang w:val="de-DE"/>
              </w:rPr>
            </w:pPr>
          </w:p>
          <w:p w:rsidR="00E50FDC" w:rsidRPr="00E50FDC" w:rsidRDefault="00E50FDC" w:rsidP="00E50FDC">
            <w:pPr>
              <w:suppressAutoHyphens/>
              <w:jc w:val="both"/>
              <w:rPr>
                <w:sz w:val="22"/>
                <w:szCs w:val="22"/>
                <w:lang w:val="de-DE"/>
              </w:rPr>
            </w:pPr>
            <w:r w:rsidRPr="00E50FDC">
              <w:rPr>
                <w:sz w:val="22"/>
                <w:szCs w:val="22"/>
                <w:lang w:val="de-DE"/>
              </w:rPr>
              <w:t>Schließlich verfügt das Referat über ein wichtiges Portfolio internationaler Aktivitäten. Wir vertreten die EU und ihre Mitgliedstaaten bei Urheberrechtsdiskussionen und -verhandlungen bei der Weltorganisation für geistiges Eigentum (WIPO) und tragen zur Arbeit anderer Generaldirektionen hinsichtlich der urheberrechtlichen Aspekte bilateraler Handelsabkommen bei. In den nächsten zwei Jahren werden wir die mögliche Ratifizierung des Vertrags von Peking zum Schutz audiovisueller Darbietungen von 2012 durch die Europäische Union diskutieren. Wir werden uns auch weiterhin in die WIPO-Diskussionen über einen neuen Vertrag über den Schutz von Rundfunkorganisationen einbringen.</w:t>
            </w:r>
          </w:p>
          <w:p w:rsidR="00E50FDC" w:rsidRPr="00E50FDC" w:rsidRDefault="00E50FDC" w:rsidP="00E50FDC">
            <w:pPr>
              <w:suppressAutoHyphens/>
              <w:jc w:val="both"/>
              <w:rPr>
                <w:sz w:val="22"/>
                <w:szCs w:val="22"/>
                <w:lang w:val="de-DE"/>
              </w:rPr>
            </w:pPr>
          </w:p>
          <w:p w:rsidR="00E50FDC" w:rsidRPr="00E50FDC" w:rsidRDefault="00E50FDC" w:rsidP="00E50FDC">
            <w:pPr>
              <w:suppressAutoHyphens/>
              <w:jc w:val="both"/>
              <w:rPr>
                <w:sz w:val="22"/>
                <w:szCs w:val="22"/>
                <w:lang w:val="de-DE"/>
              </w:rPr>
            </w:pPr>
            <w:r w:rsidRPr="00E50FDC">
              <w:rPr>
                <w:sz w:val="22"/>
                <w:szCs w:val="22"/>
                <w:lang w:val="de-DE"/>
              </w:rPr>
              <w:t>Der ANS wird zur Festlegung der EU-Politiken im Bereich des Urheberrechts und der verwandten Schutzrechte beitragen, an der Ausarbeitung und Ausarbeitung von Legislativvorschlägen arbeiten und die Kollegen des Referats im Rahmen von Verhandlungen in den europäischen Institutionen und internationalen Organisationen unterstützen, zu denen häufige Kontakte mit anderen Generaldirektionen der Kommission, dem Europäischen Parlament, dem Rat, den Behörden der Mitgliedstaaten und den Interessengruppen gehören. Der ANS wird das Referat auch bei Fragen der Auslegung, Überwachung und Anwendung des bestehenden EU-Urheberrechtsrahmens unterstützen, auch in Bezug auf Vorabentscheidungsersuchen vor dem Gerichtshof der Europäischen Union.</w:t>
            </w:r>
          </w:p>
          <w:p w:rsidR="00E50FDC" w:rsidRPr="00E50FDC" w:rsidRDefault="00E50FDC" w:rsidP="00E50FDC">
            <w:pPr>
              <w:suppressAutoHyphens/>
              <w:jc w:val="both"/>
              <w:rPr>
                <w:sz w:val="22"/>
                <w:szCs w:val="22"/>
                <w:lang w:val="de-DE"/>
              </w:rPr>
            </w:pPr>
          </w:p>
          <w:p w:rsidR="00E50FDC" w:rsidRPr="00E50FDC" w:rsidRDefault="00E50FDC" w:rsidP="00E50FDC">
            <w:pPr>
              <w:suppressAutoHyphens/>
              <w:jc w:val="both"/>
              <w:rPr>
                <w:sz w:val="22"/>
                <w:szCs w:val="22"/>
                <w:lang w:val="de-DE"/>
              </w:rPr>
            </w:pPr>
            <w:r w:rsidRPr="00E50FDC">
              <w:rPr>
                <w:sz w:val="22"/>
                <w:szCs w:val="22"/>
                <w:lang w:val="de-DE"/>
              </w:rPr>
              <w:t xml:space="preserve">Der ANS arbeitet unter der Aufsicht eines Administrators. Unbeschadet des Grundsatzes der </w:t>
            </w:r>
            <w:r w:rsidRPr="00E50FDC">
              <w:rPr>
                <w:sz w:val="22"/>
                <w:szCs w:val="22"/>
                <w:lang w:val="de-DE"/>
              </w:rPr>
              <w:lastRenderedPageBreak/>
              <w:t>loyalen Zusammenarbeit zwischen den nationalen / regionalen und europäischen Verwaltungen wird der ANS nicht an Einzelfällen arbeiten, die sich auf Akten beziehen, mit denen er in den letzten zwei Jahren in seiner nationalen Verwaltung zu tun gehabt hätte oder unmittelbar benachbarte Fälle. In keinem Fall vertritt er / sie die Kommission, um finanzielle oder anderweitige Verpflichtungen zu übernehmen oder im Auftrag der Kommission zu verhandeln.</w:t>
            </w:r>
          </w:p>
          <w:p w:rsidR="00EF57C4" w:rsidRPr="00527871" w:rsidRDefault="00EF57C4" w:rsidP="00EF57C4">
            <w:pPr>
              <w:suppressAutoHyphens/>
              <w:jc w:val="both"/>
              <w:rPr>
                <w:b/>
                <w:sz w:val="22"/>
                <w:szCs w:val="22"/>
                <w:lang w:val="de-DE"/>
              </w:rPr>
            </w:pPr>
          </w:p>
        </w:tc>
      </w:tr>
      <w:tr w:rsidR="006643E5" w:rsidRPr="00CA10CA"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Erforderliche Qualifikationen:</w:t>
            </w:r>
          </w:p>
        </w:tc>
      </w:tr>
      <w:tr w:rsidR="006643E5" w:rsidRPr="00527871" w:rsidTr="00527871">
        <w:trPr>
          <w:gridAfter w:val="1"/>
          <w:wAfter w:w="14" w:type="dxa"/>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527871" w:rsidRDefault="006643E5" w:rsidP="0069244E">
            <w:pPr>
              <w:ind w:right="1317"/>
              <w:jc w:val="both"/>
              <w:rPr>
                <w:sz w:val="22"/>
                <w:szCs w:val="22"/>
                <w:lang w:val="de-DE"/>
              </w:rPr>
            </w:pPr>
          </w:p>
          <w:p w:rsidR="006643E5" w:rsidRDefault="006643E5" w:rsidP="0069244E">
            <w:pPr>
              <w:ind w:right="1317"/>
              <w:jc w:val="both"/>
              <w:rPr>
                <w:sz w:val="22"/>
                <w:szCs w:val="22"/>
                <w:u w:val="single"/>
                <w:lang w:val="de-DE"/>
              </w:rPr>
            </w:pPr>
            <w:r w:rsidRPr="00527871">
              <w:rPr>
                <w:sz w:val="22"/>
                <w:szCs w:val="22"/>
                <w:lang w:val="de-DE"/>
              </w:rPr>
              <w:t xml:space="preserve">a) </w:t>
            </w:r>
            <w:r w:rsidRPr="00EB2A8F">
              <w:rPr>
                <w:b/>
                <w:sz w:val="22"/>
                <w:szCs w:val="22"/>
                <w:u w:val="single"/>
                <w:lang w:val="de-DE"/>
              </w:rPr>
              <w:t>Zulassungskriterien</w:t>
            </w:r>
          </w:p>
          <w:p w:rsidR="009D5781" w:rsidRPr="00527871" w:rsidRDefault="009D5781" w:rsidP="0069244E">
            <w:pPr>
              <w:ind w:right="1317"/>
              <w:jc w:val="both"/>
              <w:rPr>
                <w:sz w:val="22"/>
                <w:szCs w:val="22"/>
                <w:lang w:val="de-DE"/>
              </w:rPr>
            </w:pPr>
          </w:p>
        </w:tc>
      </w:tr>
      <w:tr w:rsidR="006643E5" w:rsidRPr="00CA10CA"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left="48" w:right="161"/>
              <w:jc w:val="both"/>
              <w:rPr>
                <w:sz w:val="22"/>
                <w:szCs w:val="22"/>
                <w:lang w:val="de-DE"/>
              </w:rPr>
            </w:pPr>
            <w:r w:rsidRPr="00527871">
              <w:rPr>
                <w:sz w:val="22"/>
                <w:szCs w:val="22"/>
                <w:lang w:val="de-DE"/>
              </w:rPr>
              <w:t xml:space="preserve">Nationale Sachverständige können zur Kommission abgeordnet werden, wenn sie alle Zulassungskriterien erfüllen. Bewerberinnen und Bewerber, die </w:t>
            </w:r>
            <w:r w:rsidR="004324AA">
              <w:rPr>
                <w:sz w:val="22"/>
                <w:szCs w:val="22"/>
                <w:lang w:val="de-DE"/>
              </w:rPr>
              <w:t>nicht alle diese</w:t>
            </w:r>
            <w:r w:rsidR="00904A6F">
              <w:rPr>
                <w:sz w:val="22"/>
                <w:szCs w:val="22"/>
                <w:lang w:val="de-DE"/>
              </w:rPr>
              <w:t>r</w:t>
            </w:r>
            <w:r w:rsidR="004324AA">
              <w:rPr>
                <w:sz w:val="22"/>
                <w:szCs w:val="22"/>
                <w:lang w:val="de-DE"/>
              </w:rPr>
              <w:t xml:space="preserve"> </w:t>
            </w:r>
            <w:r w:rsidRPr="00527871">
              <w:rPr>
                <w:sz w:val="22"/>
                <w:szCs w:val="22"/>
                <w:lang w:val="de-DE"/>
              </w:rPr>
              <w:t>Kriterien erfüllen, werden automatisch vom Auswahlverfahren ausgeschlossen.</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Berufserfahrung</w:t>
            </w:r>
            <w:r w:rsidR="009D5781" w:rsidRPr="009D5781">
              <w:rPr>
                <w:sz w:val="22"/>
                <w:szCs w:val="22"/>
                <w:lang w:val="de-DE"/>
              </w:rPr>
              <w:t xml:space="preserve"> </w:t>
            </w:r>
            <w:r w:rsidRPr="00527871">
              <w:rPr>
                <w:sz w:val="22"/>
                <w:szCs w:val="22"/>
                <w:lang w:val="de-DE"/>
              </w:rPr>
              <w:t xml:space="preserve">: Bewerberinnen und Bewerber müssen über </w:t>
            </w:r>
            <w:r w:rsidR="00112D65">
              <w:rPr>
                <w:sz w:val="22"/>
                <w:szCs w:val="22"/>
                <w:lang w:val="de-DE"/>
              </w:rPr>
              <w:t xml:space="preserve">eine </w:t>
            </w:r>
            <w:r w:rsidRPr="00527871">
              <w:rPr>
                <w:sz w:val="22"/>
                <w:szCs w:val="22"/>
                <w:lang w:val="de-DE"/>
              </w:rPr>
              <w:t>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Dienstalter</w:t>
            </w:r>
            <w:r w:rsidR="009D5781" w:rsidRPr="009D5781">
              <w:rPr>
                <w:sz w:val="22"/>
                <w:szCs w:val="22"/>
                <w:lang w:val="de-DE"/>
              </w:rPr>
              <w:t xml:space="preserve"> </w:t>
            </w:r>
            <w:r w:rsidRPr="00527871">
              <w:rPr>
                <w:sz w:val="22"/>
                <w:szCs w:val="22"/>
                <w:lang w:val="de-DE"/>
              </w:rPr>
              <w:t>: Bewerberinnen und Bewerber müssen ein Dienstalter von mindestens eine</w:t>
            </w:r>
            <w:r w:rsidR="0069244E" w:rsidRPr="00527871">
              <w:rPr>
                <w:sz w:val="22"/>
                <w:szCs w:val="22"/>
                <w:lang w:val="de-DE"/>
              </w:rPr>
              <w:t>m Jahr bei ihrem Arbeitgeber nach</w:t>
            </w:r>
            <w:r w:rsidRPr="00527871">
              <w:rPr>
                <w:sz w:val="22"/>
                <w:szCs w:val="22"/>
                <w:lang w:val="de-DE"/>
              </w:rPr>
              <w:t xml:space="preserve">weisen, das heißt seit mindestens einem Jahr in einem dienst- oder vertragsrechtlichen Verhältnis mit einem Arbeitgeber im Sinne von Artikel 1 des ANS-Beschlusses stehen. </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Sprachkenntnisse</w:t>
            </w:r>
            <w:r w:rsidR="009D5781" w:rsidRPr="009D5781">
              <w:rPr>
                <w:sz w:val="22"/>
                <w:szCs w:val="22"/>
                <w:lang w:val="de-DE"/>
              </w:rPr>
              <w:t xml:space="preserve"> </w:t>
            </w:r>
            <w:r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CA10CA"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right="1317"/>
              <w:jc w:val="both"/>
              <w:rPr>
                <w:b/>
                <w:sz w:val="22"/>
                <w:szCs w:val="22"/>
                <w:lang w:val="de-DE"/>
              </w:rPr>
            </w:pPr>
          </w:p>
        </w:tc>
      </w:tr>
      <w:tr w:rsidR="006643E5" w:rsidRPr="00EB2A8F"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EB2A8F" w:rsidRDefault="00E14E5A" w:rsidP="00E14E5A">
            <w:pPr>
              <w:tabs>
                <w:tab w:val="left" w:pos="317"/>
              </w:tabs>
              <w:ind w:right="1317"/>
              <w:jc w:val="both"/>
              <w:rPr>
                <w:sz w:val="22"/>
                <w:szCs w:val="22"/>
                <w:lang w:val="de-DE"/>
              </w:rPr>
            </w:pPr>
            <w:r w:rsidRPr="00EB2A8F">
              <w:rPr>
                <w:sz w:val="22"/>
                <w:szCs w:val="22"/>
                <w:lang w:val="de-DE"/>
              </w:rPr>
              <w:t>b)</w:t>
            </w:r>
            <w:r w:rsidRPr="00EB2A8F">
              <w:rPr>
                <w:sz w:val="22"/>
                <w:szCs w:val="22"/>
                <w:lang w:val="de-DE"/>
              </w:rPr>
              <w:tab/>
            </w:r>
            <w:r w:rsidR="006643E5" w:rsidRPr="00EB2A8F">
              <w:rPr>
                <w:b/>
                <w:sz w:val="22"/>
                <w:szCs w:val="22"/>
                <w:u w:val="single"/>
                <w:lang w:val="de-DE"/>
              </w:rPr>
              <w:t>Auswahlkriterien</w:t>
            </w:r>
            <w:r w:rsidR="00EB2A8F" w:rsidRPr="00EB2A8F">
              <w:rPr>
                <w:b/>
                <w:sz w:val="22"/>
                <w:szCs w:val="22"/>
                <w:u w:val="single"/>
                <w:lang w:val="de-DE"/>
              </w:rPr>
              <w:t xml:space="preserve"> </w:t>
            </w:r>
          </w:p>
          <w:p w:rsidR="00B3363A" w:rsidRPr="00EB2A8F" w:rsidRDefault="00EB2A8F" w:rsidP="0069244E">
            <w:pPr>
              <w:ind w:right="1317"/>
              <w:jc w:val="both"/>
              <w:rPr>
                <w:sz w:val="22"/>
                <w:szCs w:val="22"/>
                <w:lang w:val="de-DE"/>
              </w:rPr>
            </w:pPr>
            <w:r w:rsidRPr="00EB2A8F">
              <w:rPr>
                <w:sz w:val="22"/>
                <w:szCs w:val="22"/>
                <w:lang w:val="de-DE"/>
              </w:rPr>
              <w:t xml:space="preserve"> </w:t>
            </w:r>
          </w:p>
        </w:tc>
      </w:tr>
      <w:tr w:rsidR="006643E5" w:rsidRPr="00CA10CA" w:rsidTr="00527871">
        <w:trPr>
          <w:gridAfter w:val="1"/>
          <w:wAfter w:w="14" w:type="dxa"/>
          <w:jc w:val="center"/>
        </w:trPr>
        <w:tc>
          <w:tcPr>
            <w:tcW w:w="392" w:type="dxa"/>
            <w:tcBorders>
              <w:left w:val="single" w:sz="4" w:space="0" w:color="auto"/>
            </w:tcBorders>
          </w:tcPr>
          <w:p w:rsidR="006643E5" w:rsidRPr="00EB2A8F"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E14E5A" w:rsidP="00E14E5A">
            <w:pPr>
              <w:tabs>
                <w:tab w:val="left" w:pos="317"/>
              </w:tabs>
              <w:ind w:right="212"/>
              <w:jc w:val="both"/>
              <w:rPr>
                <w:sz w:val="22"/>
                <w:szCs w:val="22"/>
                <w:lang w:val="de-DE"/>
              </w:rPr>
            </w:pPr>
            <w:r w:rsidRPr="00EB2A8F">
              <w:rPr>
                <w:sz w:val="22"/>
                <w:szCs w:val="22"/>
                <w:lang w:val="de-DE"/>
              </w:rPr>
              <w:tab/>
            </w:r>
            <w:r w:rsidR="006643E5" w:rsidRPr="00527871">
              <w:rPr>
                <w:sz w:val="22"/>
                <w:szCs w:val="22"/>
                <w:lang w:val="de-DE"/>
              </w:rPr>
              <w:t>Bildungsabschluss</w:t>
            </w:r>
            <w:r w:rsidR="00DF1D3A">
              <w:rPr>
                <w:sz w:val="22"/>
                <w:szCs w:val="22"/>
                <w:lang w:val="de-DE"/>
              </w:rPr>
              <w:t xml:space="preserve"> </w:t>
            </w:r>
          </w:p>
          <w:p w:rsidR="00E14E5A" w:rsidRPr="00527871" w:rsidRDefault="00E14E5A" w:rsidP="00E14E5A">
            <w:pPr>
              <w:tabs>
                <w:tab w:val="left" w:pos="317"/>
              </w:tabs>
              <w:ind w:right="212"/>
              <w:jc w:val="both"/>
              <w:rPr>
                <w:sz w:val="22"/>
                <w:szCs w:val="22"/>
                <w:lang w:val="de-DE"/>
              </w:rPr>
            </w:pPr>
            <w:r w:rsidRPr="00527871">
              <w:rPr>
                <w:sz w:val="22"/>
                <w:szCs w:val="22"/>
                <w:lang w:val="de-DE"/>
              </w:rPr>
              <w:tab/>
              <w:t>- ein Universitätsabschluss oder</w:t>
            </w:r>
          </w:p>
          <w:p w:rsidR="006643E5" w:rsidRPr="00527871" w:rsidRDefault="00E14E5A" w:rsidP="00E14E5A">
            <w:pPr>
              <w:tabs>
                <w:tab w:val="left" w:pos="317"/>
              </w:tabs>
              <w:ind w:right="212"/>
              <w:jc w:val="both"/>
              <w:rPr>
                <w:sz w:val="22"/>
                <w:szCs w:val="22"/>
                <w:lang w:val="de-DE"/>
              </w:rPr>
            </w:pPr>
            <w:r w:rsidRPr="00527871">
              <w:rPr>
                <w:sz w:val="22"/>
                <w:szCs w:val="22"/>
                <w:lang w:val="de-DE"/>
              </w:rPr>
              <w:tab/>
              <w:t>- eine gleichwertige Berufsausbildung oder Berufserfahrung</w:t>
            </w:r>
          </w:p>
          <w:p w:rsidR="00E14E5A" w:rsidRPr="00527871" w:rsidRDefault="00E14E5A" w:rsidP="00E14E5A">
            <w:pPr>
              <w:tabs>
                <w:tab w:val="left" w:pos="317"/>
              </w:tabs>
              <w:ind w:right="212"/>
              <w:jc w:val="both"/>
              <w:rPr>
                <w:sz w:val="22"/>
                <w:szCs w:val="22"/>
                <w:lang w:val="de-DE"/>
              </w:rPr>
            </w:pPr>
          </w:p>
          <w:p w:rsidR="00E14E5A" w:rsidRPr="00527871" w:rsidRDefault="00E14E5A" w:rsidP="00CA10CA">
            <w:pPr>
              <w:tabs>
                <w:tab w:val="left" w:pos="317"/>
              </w:tabs>
              <w:ind w:right="212"/>
              <w:jc w:val="both"/>
              <w:rPr>
                <w:sz w:val="22"/>
                <w:szCs w:val="22"/>
                <w:lang w:val="de-DE"/>
              </w:rPr>
            </w:pPr>
            <w:r w:rsidRPr="00527871">
              <w:rPr>
                <w:sz w:val="22"/>
                <w:szCs w:val="22"/>
                <w:lang w:val="de-DE"/>
              </w:rPr>
              <w:tab/>
              <w:t>im Bereich</w:t>
            </w:r>
            <w:r w:rsidR="009D5781">
              <w:rPr>
                <w:sz w:val="22"/>
                <w:szCs w:val="22"/>
                <w:lang w:val="de-DE"/>
              </w:rPr>
              <w:t xml:space="preserve"> :</w:t>
            </w:r>
            <w:r w:rsidR="00CA10CA">
              <w:rPr>
                <w:sz w:val="22"/>
                <w:szCs w:val="22"/>
                <w:lang w:val="de-DE"/>
              </w:rPr>
              <w:t xml:space="preserve"> </w:t>
            </w:r>
            <w:r w:rsidR="00E50FDC" w:rsidRPr="00E50FDC">
              <w:rPr>
                <w:sz w:val="22"/>
                <w:szCs w:val="22"/>
                <w:lang w:val="de-DE"/>
              </w:rPr>
              <w:t xml:space="preserve">Jura oder </w:t>
            </w:r>
            <w:r w:rsidR="00CA10CA">
              <w:rPr>
                <w:sz w:val="22"/>
                <w:szCs w:val="22"/>
                <w:lang w:val="de-DE"/>
              </w:rPr>
              <w:t>ander</w:t>
            </w:r>
            <w:r w:rsidR="00E50FDC" w:rsidRPr="00E50FDC">
              <w:rPr>
                <w:sz w:val="22"/>
                <w:szCs w:val="22"/>
                <w:lang w:val="de-DE"/>
              </w:rPr>
              <w:t>s mit wesentlichen juristischen Inhalten.</w:t>
            </w:r>
          </w:p>
          <w:p w:rsidR="00B3363A" w:rsidRPr="00527871" w:rsidRDefault="00B3363A" w:rsidP="00B3363A">
            <w:pPr>
              <w:ind w:right="212"/>
              <w:jc w:val="both"/>
              <w:rPr>
                <w:sz w:val="22"/>
                <w:szCs w:val="22"/>
                <w:lang w:val="de-DE"/>
              </w:rPr>
            </w:pPr>
          </w:p>
        </w:tc>
      </w:tr>
      <w:tr w:rsidR="006643E5" w:rsidRPr="00CA10CA"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2"/>
                <w:szCs w:val="22"/>
                <w:lang w:val="de-DE"/>
              </w:rPr>
            </w:pPr>
            <w:r w:rsidRPr="00527871">
              <w:rPr>
                <w:sz w:val="22"/>
                <w:szCs w:val="22"/>
                <w:lang w:val="de-DE"/>
              </w:rPr>
              <w:tab/>
            </w:r>
            <w:r w:rsidR="006643E5" w:rsidRPr="00527871">
              <w:rPr>
                <w:sz w:val="22"/>
                <w:szCs w:val="22"/>
                <w:lang w:val="de-DE"/>
              </w:rPr>
              <w:t>Berufserfahrung</w:t>
            </w:r>
            <w:r w:rsidR="0039306A" w:rsidRPr="00527871">
              <w:rPr>
                <w:sz w:val="22"/>
                <w:szCs w:val="22"/>
                <w:lang w:val="de-DE"/>
              </w:rPr>
              <w:t>:</w:t>
            </w:r>
          </w:p>
          <w:p w:rsidR="009D5781" w:rsidRDefault="009D5781" w:rsidP="00435DA0">
            <w:pPr>
              <w:tabs>
                <w:tab w:val="left" w:pos="317"/>
              </w:tabs>
              <w:ind w:right="9"/>
              <w:jc w:val="both"/>
              <w:rPr>
                <w:sz w:val="22"/>
                <w:szCs w:val="22"/>
                <w:lang w:val="de-DE"/>
              </w:rPr>
            </w:pPr>
          </w:p>
          <w:p w:rsidR="009D5781" w:rsidRPr="00E50FDC" w:rsidRDefault="00E50FDC" w:rsidP="00E50FDC">
            <w:pPr>
              <w:tabs>
                <w:tab w:val="left" w:pos="317"/>
              </w:tabs>
              <w:ind w:left="318" w:right="11"/>
              <w:jc w:val="both"/>
              <w:rPr>
                <w:sz w:val="22"/>
                <w:szCs w:val="22"/>
                <w:lang w:val="de-DE"/>
              </w:rPr>
            </w:pPr>
            <w:r w:rsidRPr="00E50FDC">
              <w:rPr>
                <w:sz w:val="22"/>
                <w:szCs w:val="22"/>
                <w:lang w:val="de-DE"/>
              </w:rPr>
              <w:t>Jurist/Rechtsanwalt mit Erfahrung in der Binnenmarktpolitik. Kenntnisse und Erfahrung im Urheberrecht und/oder im Hinblick auf Digitales und Medien wären von Vorteil.</w:t>
            </w:r>
          </w:p>
          <w:p w:rsidR="006643E5" w:rsidRPr="00527871" w:rsidRDefault="006643E5" w:rsidP="00B3363A">
            <w:pPr>
              <w:ind w:right="212"/>
              <w:jc w:val="both"/>
              <w:rPr>
                <w:sz w:val="22"/>
                <w:szCs w:val="22"/>
                <w:lang w:val="de-DE"/>
              </w:rPr>
            </w:pPr>
          </w:p>
        </w:tc>
      </w:tr>
      <w:tr w:rsidR="006643E5" w:rsidRPr="00CA10CA" w:rsidTr="00527871">
        <w:trPr>
          <w:gridAfter w:val="1"/>
          <w:wAfter w:w="14" w:type="dxa"/>
          <w:trHeight w:val="95"/>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9D5781" w:rsidRPr="00E50FDC" w:rsidRDefault="00E14E5A" w:rsidP="00CA10CA">
            <w:pPr>
              <w:tabs>
                <w:tab w:val="left" w:pos="317"/>
              </w:tabs>
              <w:ind w:left="328" w:right="212" w:hanging="328"/>
              <w:jc w:val="both"/>
              <w:rPr>
                <w:sz w:val="22"/>
                <w:szCs w:val="22"/>
                <w:lang w:val="de-DE"/>
              </w:rPr>
            </w:pPr>
            <w:r w:rsidRPr="00527871">
              <w:rPr>
                <w:sz w:val="22"/>
                <w:szCs w:val="22"/>
                <w:lang w:val="de-DE"/>
              </w:rPr>
              <w:tab/>
            </w:r>
            <w:r w:rsidR="0039306A" w:rsidRPr="00527871">
              <w:rPr>
                <w:sz w:val="22"/>
                <w:szCs w:val="22"/>
                <w:lang w:val="de-DE"/>
              </w:rPr>
              <w:t xml:space="preserve">Zur Ausübung der Tätigkeit erforderliche </w:t>
            </w:r>
            <w:r w:rsidR="006643E5" w:rsidRPr="00527871">
              <w:rPr>
                <w:sz w:val="22"/>
                <w:szCs w:val="22"/>
                <w:lang w:val="de-DE"/>
              </w:rPr>
              <w:t>Sprachkenntnisse:</w:t>
            </w:r>
            <w:r w:rsidR="00E50FDC" w:rsidRPr="00E50FDC">
              <w:rPr>
                <w:sz w:val="22"/>
                <w:szCs w:val="22"/>
                <w:lang w:val="de-DE"/>
              </w:rPr>
              <w:t xml:space="preserve"> Englisch; Kenntnisse in </w:t>
            </w:r>
            <w:bookmarkStart w:id="0" w:name="_GoBack"/>
            <w:bookmarkEnd w:id="0"/>
            <w:r w:rsidR="00E50FDC" w:rsidRPr="00E50FDC">
              <w:rPr>
                <w:sz w:val="22"/>
                <w:szCs w:val="22"/>
                <w:lang w:val="de-DE"/>
              </w:rPr>
              <w:t>Französisch und in einer anderen EU Sprache von Vorteil.</w:t>
            </w:r>
          </w:p>
          <w:p w:rsidR="00B3363A" w:rsidRPr="00527871" w:rsidRDefault="00B3363A" w:rsidP="00B3363A">
            <w:pPr>
              <w:ind w:right="212"/>
              <w:jc w:val="both"/>
              <w:rPr>
                <w:sz w:val="22"/>
                <w:szCs w:val="22"/>
                <w:lang w:val="de-DE"/>
              </w:rPr>
            </w:pPr>
          </w:p>
        </w:tc>
      </w:tr>
      <w:tr w:rsidR="006643E5" w:rsidRPr="00CA10CA"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Bewerbung und Auswahlverfahren</w:t>
            </w:r>
          </w:p>
        </w:tc>
      </w:tr>
      <w:tr w:rsidR="006643E5" w:rsidRPr="00CA10CA" w:rsidTr="00527871">
        <w:trPr>
          <w:gridAfter w:val="1"/>
          <w:wAfter w:w="14" w:type="dxa"/>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9D5781" w:rsidRDefault="009D5781" w:rsidP="00EA222B">
            <w:pPr>
              <w:ind w:right="175"/>
              <w:jc w:val="both"/>
              <w:rPr>
                <w:sz w:val="22"/>
                <w:szCs w:val="22"/>
                <w:lang w:val="de-DE"/>
              </w:rPr>
            </w:pPr>
            <w:bookmarkStart w:id="1" w:name="_Hlt340069415"/>
            <w:bookmarkStart w:id="2" w:name="_Hlt340069416"/>
          </w:p>
          <w:p w:rsidR="006643E5" w:rsidRDefault="006643E5" w:rsidP="00EA222B">
            <w:pPr>
              <w:ind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00B921A3" w:rsidRPr="00527871">
              <w:rPr>
                <w:sz w:val="22"/>
                <w:szCs w:val="22"/>
                <w:lang w:val="de-DE"/>
              </w:rPr>
              <w:t>auf deutsch, englisch od</w:t>
            </w:r>
            <w:r w:rsidR="009D5781">
              <w:rPr>
                <w:sz w:val="22"/>
                <w:szCs w:val="22"/>
                <w:lang w:val="de-DE"/>
              </w:rPr>
              <w:t>er</w:t>
            </w:r>
            <w:r w:rsidR="00B921A3" w:rsidRPr="00527871">
              <w:rPr>
                <w:sz w:val="22"/>
                <w:szCs w:val="22"/>
                <w:lang w:val="de-DE"/>
              </w:rPr>
              <w:t xml:space="preserve"> </w:t>
            </w:r>
            <w:r w:rsidR="00EA222B" w:rsidRPr="00527871">
              <w:rPr>
                <w:sz w:val="22"/>
                <w:szCs w:val="22"/>
                <w:lang w:val="de-DE"/>
              </w:rPr>
              <w:lastRenderedPageBreak/>
              <w:t>französisch</w:t>
            </w:r>
            <w:r w:rsidR="00B921A3" w:rsidRPr="00527871">
              <w:rPr>
                <w:b/>
                <w:sz w:val="22"/>
                <w:szCs w:val="22"/>
                <w:lang w:val="de-DE"/>
              </w:rPr>
              <w:t xml:space="preserve"> </w:t>
            </w:r>
            <w:r w:rsidRPr="00527871">
              <w:rPr>
                <w:b/>
                <w:sz w:val="22"/>
                <w:szCs w:val="22"/>
                <w:u w:val="single"/>
                <w:lang w:val="de-DE"/>
              </w:rPr>
              <w:t>ausschließlich an die Ständige Vertretung</w:t>
            </w:r>
            <w:r w:rsidR="00B921A3" w:rsidRPr="00527871">
              <w:rPr>
                <w:b/>
                <w:sz w:val="22"/>
                <w:szCs w:val="22"/>
                <w:u w:val="single"/>
                <w:lang w:val="de-DE"/>
              </w:rPr>
              <w:t xml:space="preserve"> / diplomatische Mission</w:t>
            </w:r>
            <w:r w:rsidRPr="00527871">
              <w:rPr>
                <w:b/>
                <w:sz w:val="22"/>
                <w:szCs w:val="22"/>
                <w:u w:val="single"/>
                <w:lang w:val="de-DE"/>
              </w:rPr>
              <w:t xml:space="preserve"> ihres Landes bei der </w:t>
            </w:r>
            <w:r w:rsidR="00EA222B" w:rsidRPr="00527871">
              <w:rPr>
                <w:b/>
                <w:sz w:val="22"/>
                <w:szCs w:val="22"/>
                <w:u w:val="single"/>
                <w:lang w:val="de-DE"/>
              </w:rPr>
              <w:t>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00FD0532" w:rsidRPr="00112D65">
              <w:rPr>
                <w:sz w:val="22"/>
                <w:szCs w:val="22"/>
                <w:lang w:val="de-DE"/>
              </w:rPr>
              <w:t>Der Lebenslauf muss das Geburtsdatum und die Staatsangehörigkeit des Kandidaten enthalten.</w:t>
            </w:r>
            <w:r w:rsidR="00FD0532">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w:t>
            </w:r>
            <w:r w:rsidR="0069244E" w:rsidRPr="009D5781">
              <w:rPr>
                <w:sz w:val="22"/>
                <w:szCs w:val="22"/>
                <w:lang w:val="de-DE"/>
              </w:rPr>
              <w:t>ewerbung keine anderen</w:t>
            </w:r>
            <w:r w:rsidRPr="009D5781">
              <w:rPr>
                <w:sz w:val="22"/>
                <w:szCs w:val="22"/>
                <w:lang w:val="de-DE"/>
              </w:rPr>
              <w:t xml:space="preserve">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bookmarkEnd w:id="1"/>
            <w:bookmarkEnd w:id="2"/>
          </w:p>
          <w:p w:rsidR="009D5781" w:rsidRPr="00527871" w:rsidRDefault="009D5781" w:rsidP="00EA222B">
            <w:pPr>
              <w:ind w:right="175"/>
              <w:jc w:val="both"/>
              <w:rPr>
                <w:sz w:val="22"/>
                <w:szCs w:val="22"/>
                <w:lang w:val="de-DE"/>
              </w:rPr>
            </w:pPr>
            <w:r w:rsidRPr="00527871">
              <w:rPr>
                <w:sz w:val="22"/>
                <w:szCs w:val="22"/>
                <w:lang w:val="de-DE"/>
              </w:rPr>
              <w:t>Die Bewerberinnen und Bewerber werden von dem einstellenden Referat über den Stand ihrer Bewerbung informiert.</w:t>
            </w:r>
          </w:p>
        </w:tc>
      </w:tr>
      <w:tr w:rsidR="006643E5" w:rsidRPr="00CA10CA"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75"/>
              <w:jc w:val="both"/>
              <w:rPr>
                <w:b/>
                <w:sz w:val="22"/>
                <w:szCs w:val="22"/>
                <w:lang w:val="de-DE"/>
              </w:rPr>
            </w:pPr>
          </w:p>
        </w:tc>
      </w:tr>
      <w:tr w:rsidR="006643E5" w:rsidRPr="00CA10CA"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75"/>
              <w:jc w:val="both"/>
              <w:rPr>
                <w:sz w:val="22"/>
                <w:szCs w:val="22"/>
                <w:lang w:val="de-DE"/>
              </w:rPr>
            </w:pPr>
            <w:r w:rsidRPr="00527871">
              <w:rPr>
                <w:b/>
                <w:sz w:val="22"/>
                <w:szCs w:val="22"/>
                <w:lang w:val="de-DE"/>
              </w:rPr>
              <w:t>Bedingungen für die Abordnung nationaler Sachverständiger</w:t>
            </w:r>
          </w:p>
        </w:tc>
      </w:tr>
      <w:tr w:rsidR="006643E5" w:rsidRPr="00CA10CA" w:rsidTr="009D5781">
        <w:trPr>
          <w:gridAfter w:val="1"/>
          <w:wAfter w:w="14" w:type="dxa"/>
          <w:trHeight w:val="3697"/>
          <w:jc w:val="center"/>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9D5781" w:rsidRDefault="009D5781" w:rsidP="0069244E">
            <w:pPr>
              <w:ind w:right="175"/>
              <w:jc w:val="both"/>
              <w:rPr>
                <w:sz w:val="22"/>
                <w:szCs w:val="22"/>
                <w:lang w:val="de-DE"/>
              </w:rPr>
            </w:pPr>
            <w:bookmarkStart w:id="3" w:name="_Hlt340069984"/>
            <w:bookmarkStart w:id="4" w:name="_Hlt340069985"/>
            <w:bookmarkStart w:id="5" w:name="_Hlt340128808"/>
            <w:bookmarkStart w:id="6" w:name="_Hlt340128809"/>
          </w:p>
          <w:p w:rsidR="006643E5" w:rsidRPr="00527871" w:rsidRDefault="006643E5" w:rsidP="0069244E">
            <w:pPr>
              <w:ind w:right="175"/>
              <w:jc w:val="both"/>
              <w:rPr>
                <w:sz w:val="22"/>
                <w:szCs w:val="22"/>
                <w:lang w:val="de-DE"/>
              </w:rPr>
            </w:pPr>
            <w:r w:rsidRPr="00527871">
              <w:rPr>
                <w:sz w:val="22"/>
                <w:szCs w:val="22"/>
                <w:lang w:val="de-DE"/>
              </w:rPr>
              <w:t xml:space="preserve">Abordnungen fallen unter den </w:t>
            </w:r>
            <w:r w:rsidRPr="00527871">
              <w:rPr>
                <w:b/>
                <w:sz w:val="22"/>
                <w:szCs w:val="22"/>
                <w:lang w:val="de-DE"/>
              </w:rPr>
              <w:t xml:space="preserve">Beschluss </w:t>
            </w:r>
            <w:r w:rsidR="006674F0" w:rsidRPr="00527871">
              <w:rPr>
                <w:b/>
                <w:sz w:val="22"/>
                <w:szCs w:val="22"/>
                <w:lang w:val="de-DE"/>
              </w:rPr>
              <w:t>C</w:t>
            </w:r>
            <w:r w:rsidRPr="00527871">
              <w:rPr>
                <w:b/>
                <w:sz w:val="22"/>
                <w:szCs w:val="22"/>
                <w:lang w:val="de-DE"/>
              </w:rPr>
              <w:t>(2008) 6866 der Kommission vom 12.11.2008</w:t>
            </w:r>
            <w:r w:rsidRPr="00527871">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009D5781" w:rsidRPr="00DC259B">
                <w:rPr>
                  <w:rStyle w:val="Hyperlink"/>
                  <w:sz w:val="22"/>
                  <w:szCs w:val="22"/>
                  <w:lang w:val="de-DE"/>
                </w:rPr>
                <w:t>http://ec.europa.eu/civil_</w:t>
              </w:r>
              <w:r w:rsidR="009D5781" w:rsidRPr="009D5781">
                <w:rPr>
                  <w:rStyle w:val="Hyperlink"/>
                  <w:sz w:val="22"/>
                  <w:szCs w:val="22"/>
                  <w:lang w:val="de-DE"/>
                </w:rPr>
                <w:t>service</w:t>
              </w:r>
              <w:r w:rsidR="009D5781" w:rsidRPr="00DC259B">
                <w:rPr>
                  <w:rStyle w:val="Hyperlink"/>
                  <w:sz w:val="22"/>
                  <w:szCs w:val="22"/>
                  <w:lang w:val="de-DE"/>
                </w:rPr>
                <w:t>/job/sne/index_de.htm</w:t>
              </w:r>
            </w:hyperlink>
            <w:r w:rsidRPr="00527871">
              <w:rPr>
                <w:sz w:val="22"/>
                <w:szCs w:val="22"/>
                <w:lang w:val="de-DE"/>
              </w:rPr>
              <w:t>.</w:t>
            </w:r>
          </w:p>
          <w:bookmarkEnd w:id="3"/>
          <w:bookmarkEnd w:id="4"/>
          <w:bookmarkEnd w:id="5"/>
          <w:bookmarkEnd w:id="6"/>
          <w:p w:rsidR="006643E5" w:rsidRPr="00527871" w:rsidRDefault="006643E5" w:rsidP="0069244E">
            <w:pPr>
              <w:ind w:right="175"/>
              <w:jc w:val="both"/>
              <w:rPr>
                <w:sz w:val="22"/>
                <w:szCs w:val="22"/>
                <w:lang w:val="de-DE"/>
              </w:rPr>
            </w:pPr>
            <w:r w:rsidRPr="00527871">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527871" w:rsidRDefault="006643E5" w:rsidP="0069244E">
            <w:pPr>
              <w:ind w:right="175"/>
              <w:jc w:val="both"/>
              <w:rPr>
                <w:sz w:val="22"/>
                <w:szCs w:val="22"/>
                <w:lang w:val="de-DE"/>
              </w:rPr>
            </w:pPr>
            <w:r w:rsidRPr="00527871">
              <w:rPr>
                <w:sz w:val="22"/>
                <w:szCs w:val="22"/>
                <w:lang w:val="de-DE"/>
              </w:rPr>
              <w:t>Mit Ausnahme der unentgeltlich abgeordneten Sachverständigen können den ANS, die die Bedingungen nach Artikel 17 des ANS-Beschlusses erfüllen, Tagegelder gezahlt werden.</w:t>
            </w:r>
          </w:p>
          <w:p w:rsidR="006643E5" w:rsidRPr="00527871" w:rsidRDefault="006643E5" w:rsidP="0069244E">
            <w:pPr>
              <w:ind w:right="175"/>
              <w:jc w:val="both"/>
              <w:rPr>
                <w:sz w:val="22"/>
                <w:szCs w:val="22"/>
                <w:lang w:val="de-DE"/>
              </w:rPr>
            </w:pPr>
            <w:r w:rsidRPr="00527871">
              <w:rPr>
                <w:sz w:val="22"/>
                <w:szCs w:val="22"/>
                <w:lang w:val="de-DE"/>
              </w:rPr>
              <w:t>Während der Abordnung unterliegen die ANS den in den Artikeln 6 und 7 des ANS-Beschlusses vorgesehenen Verpflichtungen zur Vertraulichkeit, zur Loyalität und zum Nichtbestehen von Interessenkonflikten.</w:t>
            </w:r>
          </w:p>
          <w:p w:rsidR="006643E5" w:rsidRDefault="003838EB" w:rsidP="009D5781">
            <w:pPr>
              <w:pStyle w:val="ListBullet"/>
              <w:numPr>
                <w:ilvl w:val="0"/>
                <w:numId w:val="0"/>
              </w:numPr>
              <w:ind w:right="161"/>
              <w:rPr>
                <w:sz w:val="22"/>
                <w:szCs w:val="22"/>
                <w:lang w:val="de-DE"/>
              </w:rPr>
            </w:pPr>
            <w:r w:rsidRPr="00527871">
              <w:rPr>
                <w:sz w:val="22"/>
                <w:szCs w:val="22"/>
                <w:lang w:val="de-DE"/>
              </w:rPr>
              <w:t>Bei unvollständigen oder falschen Angaben kann die Bewerbung abgelehnt werden.</w:t>
            </w:r>
          </w:p>
          <w:p w:rsidR="00054396" w:rsidRPr="00054396" w:rsidRDefault="00054396" w:rsidP="00054396">
            <w:pPr>
              <w:pStyle w:val="ListBullet"/>
              <w:numPr>
                <w:ilvl w:val="0"/>
                <w:numId w:val="0"/>
              </w:numPr>
              <w:spacing w:after="0"/>
              <w:ind w:right="159"/>
              <w:rPr>
                <w:sz w:val="22"/>
                <w:szCs w:val="22"/>
                <w:lang w:val="de-DE"/>
              </w:rPr>
            </w:pPr>
            <w:r w:rsidRPr="00054396">
              <w:rPr>
                <w:sz w:val="22"/>
                <w:szCs w:val="22"/>
                <w:lang w:val="de-DE"/>
              </w:rPr>
              <w:t xml:space="preserve">Mitarbeiter, die in eine </w:t>
            </w:r>
            <w:r w:rsidRPr="00DF1D3A">
              <w:rPr>
                <w:b/>
                <w:sz w:val="22"/>
                <w:szCs w:val="22"/>
                <w:lang w:val="de-DE"/>
              </w:rPr>
              <w:t>Delegation der Europäischen Union</w:t>
            </w:r>
            <w:r w:rsidRPr="00054396">
              <w:rPr>
                <w:sz w:val="22"/>
                <w:szCs w:val="22"/>
                <w:lang w:val="de-DE"/>
              </w:rPr>
              <w:t xml:space="preserve"> entsandt werden, benötigen eine Sicherheitsüberprüfung (nach SECRET UE </w:t>
            </w:r>
            <w:r w:rsidR="00F63A9B">
              <w:rPr>
                <w:sz w:val="22"/>
                <w:szCs w:val="22"/>
                <w:lang w:val="de-DE"/>
              </w:rPr>
              <w:t>N</w:t>
            </w:r>
            <w:r w:rsidRPr="00054396">
              <w:rPr>
                <w:sz w:val="22"/>
                <w:szCs w:val="22"/>
                <w:lang w:val="de-DE"/>
              </w:rPr>
              <w:t xml:space="preserve">iveau gemäß der Entscheidung der Kommission 2001/844/EC, ECSC, Euratom – O.J. E.U n° L 317 </w:t>
            </w:r>
            <w:r w:rsidR="00F63A9B">
              <w:rPr>
                <w:sz w:val="22"/>
                <w:szCs w:val="22"/>
                <w:lang w:val="de-DE"/>
              </w:rPr>
              <w:t>vom</w:t>
            </w:r>
            <w:r w:rsidRPr="00054396">
              <w:rPr>
                <w:sz w:val="22"/>
                <w:szCs w:val="22"/>
                <w:lang w:val="de-DE"/>
              </w:rPr>
              <w:t xml:space="preserve"> 03.12.2001).</w:t>
            </w:r>
          </w:p>
          <w:p w:rsidR="00054396" w:rsidRPr="00527871" w:rsidRDefault="00054396" w:rsidP="002D11AE">
            <w:pPr>
              <w:pStyle w:val="ListBullet"/>
              <w:numPr>
                <w:ilvl w:val="0"/>
                <w:numId w:val="0"/>
              </w:numPr>
              <w:spacing w:after="0"/>
              <w:ind w:right="159"/>
              <w:rPr>
                <w:sz w:val="22"/>
                <w:szCs w:val="22"/>
                <w:lang w:val="de-DE"/>
              </w:rPr>
            </w:pPr>
            <w:r w:rsidRPr="00054396">
              <w:rPr>
                <w:sz w:val="22"/>
                <w:szCs w:val="22"/>
                <w:lang w:val="de-DE"/>
              </w:rPr>
              <w:t>Der ausgewählte Bewerber ist verpflichtet, das Überprüfungsverfahren vor der Abordnung einzuleiten.</w:t>
            </w:r>
          </w:p>
        </w:tc>
      </w:tr>
      <w:tr w:rsidR="006643E5" w:rsidRPr="00CA10CA" w:rsidTr="00527871">
        <w:trPr>
          <w:jc w:val="center"/>
        </w:trPr>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527871" w:rsidRDefault="006643E5" w:rsidP="0069244E">
            <w:pPr>
              <w:ind w:left="473"/>
              <w:jc w:val="both"/>
              <w:rPr>
                <w:sz w:val="22"/>
                <w:szCs w:val="22"/>
                <w:lang w:val="de-DE"/>
              </w:rPr>
            </w:pPr>
          </w:p>
        </w:tc>
      </w:tr>
      <w:tr w:rsidR="006643E5" w:rsidRPr="009222CC" w:rsidTr="009D5781">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527871" w:rsidRDefault="006643E5" w:rsidP="0069244E">
            <w:pPr>
              <w:pStyle w:val="Footer"/>
              <w:rPr>
                <w:sz w:val="22"/>
                <w:szCs w:val="22"/>
                <w:lang w:val="de-DE"/>
              </w:rPr>
            </w:pPr>
            <w:r w:rsidRPr="00527871">
              <w:rPr>
                <w:b/>
                <w:sz w:val="22"/>
                <w:szCs w:val="22"/>
                <w:lang w:val="de-DE"/>
              </w:rPr>
              <w:t>Verarbeitung personenbezogener Daten:</w:t>
            </w:r>
          </w:p>
        </w:tc>
      </w:tr>
      <w:tr w:rsidR="006643E5" w:rsidRPr="00CA10CA" w:rsidTr="009D5781">
        <w:trPr>
          <w:trHeight w:val="473"/>
          <w:jc w:val="center"/>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bottom w:val="single" w:sz="4" w:space="0" w:color="auto"/>
              <w:right w:val="single" w:sz="4" w:space="0" w:color="auto"/>
            </w:tcBorders>
          </w:tcPr>
          <w:p w:rsidR="009D5781" w:rsidRDefault="009D5781" w:rsidP="00DC2968">
            <w:pPr>
              <w:ind w:right="175"/>
              <w:jc w:val="both"/>
              <w:rPr>
                <w:sz w:val="22"/>
                <w:szCs w:val="22"/>
                <w:lang w:val="de-DE"/>
              </w:rPr>
            </w:pPr>
          </w:p>
          <w:p w:rsidR="00054396" w:rsidRPr="00054396" w:rsidRDefault="00054396" w:rsidP="00054396">
            <w:pPr>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054396" w:rsidRPr="00054396" w:rsidRDefault="00054396" w:rsidP="00054396">
            <w:pPr>
              <w:ind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054396" w:rsidRPr="00054396" w:rsidRDefault="00054396" w:rsidP="00054396">
            <w:pPr>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054396" w:rsidRPr="00054396" w:rsidRDefault="00054396" w:rsidP="00054396">
            <w:pPr>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054396" w:rsidRPr="00054396" w:rsidRDefault="00054396" w:rsidP="00054396">
            <w:pPr>
              <w:rPr>
                <w:b/>
                <w:sz w:val="22"/>
                <w:szCs w:val="22"/>
                <w:u w:val="single"/>
                <w:lang w:val="de-DE"/>
              </w:rPr>
            </w:pPr>
            <w:r w:rsidRPr="00054396">
              <w:rPr>
                <w:b/>
                <w:sz w:val="22"/>
                <w:szCs w:val="22"/>
                <w:u w:val="single"/>
                <w:lang w:val="de-DE"/>
              </w:rPr>
              <w:lastRenderedPageBreak/>
              <w:t>Kontaktinformationen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054396" w:rsidRPr="00054396" w:rsidRDefault="00054396" w:rsidP="00054396">
            <w:pPr>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054396" w:rsidRPr="00054396" w:rsidRDefault="00054396" w:rsidP="00054396">
            <w:pPr>
              <w:pStyle w:val="ListParagraph"/>
              <w:ind w:left="335" w:hanging="335"/>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054396" w:rsidRPr="00054396" w:rsidRDefault="00054396" w:rsidP="00054396">
            <w:pPr>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054396" w:rsidRDefault="00054396" w:rsidP="00054396">
            <w:pPr>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0408EE" w:rsidRPr="00054396" w:rsidRDefault="000408EE" w:rsidP="00054396">
            <w:pPr>
              <w:rPr>
                <w:sz w:val="22"/>
                <w:szCs w:val="22"/>
                <w:lang w:val="de-DE"/>
              </w:rPr>
            </w:pPr>
          </w:p>
          <w:p w:rsidR="006643E5" w:rsidRPr="00527871" w:rsidRDefault="00054396" w:rsidP="00054396">
            <w:pPr>
              <w:ind w:right="175"/>
              <w:jc w:val="both"/>
              <w:rPr>
                <w:sz w:val="22"/>
                <w:szCs w:val="22"/>
                <w:lang w:val="de-DE"/>
              </w:rPr>
            </w:pPr>
            <w:r w:rsidRPr="00054396">
              <w:rPr>
                <w:sz w:val="22"/>
                <w:szCs w:val="22"/>
                <w:lang w:val="de-DE"/>
              </w:rPr>
              <w:t>Hinweis für Bewerber aus Drittländern: Ihre personenbezogenen Daten können für erforderliche Überprüfungen herangezogen werden.</w:t>
            </w: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EF2A46">
      <w:headerReference w:type="default" r:id="rId15"/>
      <w:footerReference w:type="default" r:id="rId16"/>
      <w:type w:val="continuous"/>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3BE" w:rsidRDefault="000223BE">
      <w:r>
        <w:separator/>
      </w:r>
    </w:p>
  </w:endnote>
  <w:endnote w:type="continuationSeparator" w:id="0">
    <w:p w:rsidR="000223BE" w:rsidRDefault="00022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EE" w:rsidRDefault="00F67BFE" w:rsidP="00F67BFE">
    <w:pPr>
      <w:pStyle w:val="Footer"/>
      <w:jc w:val="right"/>
      <w:rPr>
        <w:sz w:val="20"/>
      </w:rPr>
    </w:pPr>
    <w:r w:rsidRPr="00F67BFE">
      <w:rPr>
        <w:sz w:val="20"/>
      </w:rPr>
      <w:t>Version 201</w:t>
    </w:r>
    <w:r w:rsidR="00527871">
      <w:rPr>
        <w:sz w:val="20"/>
      </w:rPr>
      <w:t>9</w:t>
    </w:r>
    <w:r w:rsidRPr="00F67BFE">
      <w:rPr>
        <w:sz w:val="20"/>
      </w:rPr>
      <w:t>-</w:t>
    </w:r>
    <w:r>
      <w:rPr>
        <w:sz w:val="20"/>
      </w:rPr>
      <w:t>0</w:t>
    </w:r>
    <w:r w:rsidR="000408EE">
      <w:rPr>
        <w:sz w:val="2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3BE" w:rsidRDefault="000223BE">
      <w:r>
        <w:separator/>
      </w:r>
    </w:p>
  </w:footnote>
  <w:footnote w:type="continuationSeparator" w:id="0">
    <w:p w:rsidR="000223BE" w:rsidRDefault="000223BE">
      <w:r>
        <w:continuationSeparator/>
      </w:r>
    </w:p>
  </w:footnote>
  <w:footnote w:id="1">
    <w:p w:rsidR="00DF1D3A" w:rsidRPr="008C30A2" w:rsidRDefault="00DF1D3A"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527871" w:rsidRDefault="006643E5" w:rsidP="00844D7B">
    <w:pPr>
      <w:pStyle w:val="Header"/>
      <w:ind w:right="325"/>
      <w:jc w:val="right"/>
      <w:rPr>
        <w:rFonts w:ascii="Arial" w:hAnsi="Arial"/>
        <w:b/>
        <w:sz w:val="20"/>
      </w:rPr>
    </w:pPr>
    <w:r w:rsidRPr="00527871">
      <w:rPr>
        <w:b/>
        <w:sz w:val="20"/>
      </w:rPr>
      <w:t>Formulaire DG.1 (DE)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16072DE2"/>
    <w:multiLevelType w:val="singleLevel"/>
    <w:tmpl w:val="C2A602F4"/>
    <w:lvl w:ilvl="0">
      <w:start w:val="2"/>
      <w:numFmt w:val="decimal"/>
      <w:lvlText w:val="%1."/>
      <w:legacy w:legacy="1" w:legacySpace="0" w:legacyIndent="360"/>
      <w:lvlJc w:val="left"/>
      <w:pPr>
        <w:ind w:left="360" w:hanging="360"/>
      </w:pPr>
    </w:lvl>
  </w:abstractNum>
  <w:abstractNum w:abstractNumId="6">
    <w:nsid w:val="1C3A223A"/>
    <w:multiLevelType w:val="singleLevel"/>
    <w:tmpl w:val="E4F2BD84"/>
    <w:lvl w:ilvl="0">
      <w:start w:val="1"/>
      <w:numFmt w:val="decimal"/>
      <w:lvlText w:val="%1."/>
      <w:legacy w:legacy="1" w:legacySpace="0" w:legacyIndent="360"/>
      <w:lvlJc w:val="left"/>
      <w:pPr>
        <w:ind w:left="360" w:hanging="360"/>
      </w:p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23BE"/>
    <w:rsid w:val="000230DA"/>
    <w:rsid w:val="000408EE"/>
    <w:rsid w:val="00046778"/>
    <w:rsid w:val="00054396"/>
    <w:rsid w:val="000548FD"/>
    <w:rsid w:val="000B160F"/>
    <w:rsid w:val="000B389B"/>
    <w:rsid w:val="000D13C7"/>
    <w:rsid w:val="000E6B9E"/>
    <w:rsid w:val="00112D65"/>
    <w:rsid w:val="001212A2"/>
    <w:rsid w:val="00146FE7"/>
    <w:rsid w:val="0016470B"/>
    <w:rsid w:val="0017416F"/>
    <w:rsid w:val="00184229"/>
    <w:rsid w:val="00184D0D"/>
    <w:rsid w:val="00184FC0"/>
    <w:rsid w:val="00185847"/>
    <w:rsid w:val="00185A6E"/>
    <w:rsid w:val="001C4192"/>
    <w:rsid w:val="001E620D"/>
    <w:rsid w:val="001F3C83"/>
    <w:rsid w:val="001F4EBA"/>
    <w:rsid w:val="00207EB1"/>
    <w:rsid w:val="00225615"/>
    <w:rsid w:val="00233CBE"/>
    <w:rsid w:val="0024100B"/>
    <w:rsid w:val="00242830"/>
    <w:rsid w:val="00243FA8"/>
    <w:rsid w:val="0024531E"/>
    <w:rsid w:val="002557DF"/>
    <w:rsid w:val="00262B84"/>
    <w:rsid w:val="002642A0"/>
    <w:rsid w:val="0026462F"/>
    <w:rsid w:val="0026508A"/>
    <w:rsid w:val="00271801"/>
    <w:rsid w:val="002747E6"/>
    <w:rsid w:val="00277C82"/>
    <w:rsid w:val="002A0412"/>
    <w:rsid w:val="002A063F"/>
    <w:rsid w:val="002A4308"/>
    <w:rsid w:val="002A6772"/>
    <w:rsid w:val="002B1D82"/>
    <w:rsid w:val="002B20A4"/>
    <w:rsid w:val="002B5738"/>
    <w:rsid w:val="002C7E0A"/>
    <w:rsid w:val="002D11AE"/>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7309"/>
    <w:rsid w:val="003F7676"/>
    <w:rsid w:val="00410120"/>
    <w:rsid w:val="00427BE2"/>
    <w:rsid w:val="004324AA"/>
    <w:rsid w:val="00435DA0"/>
    <w:rsid w:val="00451932"/>
    <w:rsid w:val="0045400E"/>
    <w:rsid w:val="00465DCC"/>
    <w:rsid w:val="00467742"/>
    <w:rsid w:val="004871B6"/>
    <w:rsid w:val="00491FE7"/>
    <w:rsid w:val="004B33C2"/>
    <w:rsid w:val="004B7487"/>
    <w:rsid w:val="004C1CF4"/>
    <w:rsid w:val="004E09F0"/>
    <w:rsid w:val="004E6DBB"/>
    <w:rsid w:val="004F2F80"/>
    <w:rsid w:val="0050188B"/>
    <w:rsid w:val="00506CDC"/>
    <w:rsid w:val="00520353"/>
    <w:rsid w:val="00525AB3"/>
    <w:rsid w:val="00527871"/>
    <w:rsid w:val="0053797D"/>
    <w:rsid w:val="005459ED"/>
    <w:rsid w:val="0055386D"/>
    <w:rsid w:val="0056395F"/>
    <w:rsid w:val="005762AD"/>
    <w:rsid w:val="00577BDC"/>
    <w:rsid w:val="00587D6A"/>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0B15"/>
    <w:rsid w:val="009049EA"/>
    <w:rsid w:val="00904A6F"/>
    <w:rsid w:val="009222CC"/>
    <w:rsid w:val="00951939"/>
    <w:rsid w:val="00952714"/>
    <w:rsid w:val="009555C7"/>
    <w:rsid w:val="009660B5"/>
    <w:rsid w:val="00980819"/>
    <w:rsid w:val="009B1D54"/>
    <w:rsid w:val="009D5781"/>
    <w:rsid w:val="009E0D7B"/>
    <w:rsid w:val="009E1B29"/>
    <w:rsid w:val="009F27F5"/>
    <w:rsid w:val="00A05297"/>
    <w:rsid w:val="00A12B5B"/>
    <w:rsid w:val="00A45D46"/>
    <w:rsid w:val="00A462B8"/>
    <w:rsid w:val="00A5232F"/>
    <w:rsid w:val="00AA6F9C"/>
    <w:rsid w:val="00AA7C72"/>
    <w:rsid w:val="00AB04D7"/>
    <w:rsid w:val="00AF0B39"/>
    <w:rsid w:val="00B07C01"/>
    <w:rsid w:val="00B24C07"/>
    <w:rsid w:val="00B3363A"/>
    <w:rsid w:val="00B51D63"/>
    <w:rsid w:val="00B57F47"/>
    <w:rsid w:val="00B70174"/>
    <w:rsid w:val="00B82E62"/>
    <w:rsid w:val="00B90296"/>
    <w:rsid w:val="00B921A3"/>
    <w:rsid w:val="00BA1CA5"/>
    <w:rsid w:val="00BC732B"/>
    <w:rsid w:val="00BD6207"/>
    <w:rsid w:val="00C0285B"/>
    <w:rsid w:val="00C07359"/>
    <w:rsid w:val="00C31CDD"/>
    <w:rsid w:val="00C41FD8"/>
    <w:rsid w:val="00C44237"/>
    <w:rsid w:val="00C44E7E"/>
    <w:rsid w:val="00C47260"/>
    <w:rsid w:val="00C6355A"/>
    <w:rsid w:val="00C66CCE"/>
    <w:rsid w:val="00C67062"/>
    <w:rsid w:val="00C72A05"/>
    <w:rsid w:val="00C96848"/>
    <w:rsid w:val="00CA10CA"/>
    <w:rsid w:val="00CA2B78"/>
    <w:rsid w:val="00CA477A"/>
    <w:rsid w:val="00CA54D9"/>
    <w:rsid w:val="00CA6E5F"/>
    <w:rsid w:val="00CA7D91"/>
    <w:rsid w:val="00CB525C"/>
    <w:rsid w:val="00CC0DBE"/>
    <w:rsid w:val="00CC152B"/>
    <w:rsid w:val="00CC78EA"/>
    <w:rsid w:val="00CD0164"/>
    <w:rsid w:val="00CD3F1B"/>
    <w:rsid w:val="00CD6C77"/>
    <w:rsid w:val="00CF55F6"/>
    <w:rsid w:val="00CF75BB"/>
    <w:rsid w:val="00CF7A7C"/>
    <w:rsid w:val="00D17D0C"/>
    <w:rsid w:val="00D2512D"/>
    <w:rsid w:val="00D338E2"/>
    <w:rsid w:val="00D411C5"/>
    <w:rsid w:val="00D74235"/>
    <w:rsid w:val="00D743B0"/>
    <w:rsid w:val="00D80B04"/>
    <w:rsid w:val="00D847F9"/>
    <w:rsid w:val="00DA0196"/>
    <w:rsid w:val="00DB2B95"/>
    <w:rsid w:val="00DB7CF2"/>
    <w:rsid w:val="00DB7D07"/>
    <w:rsid w:val="00DC2968"/>
    <w:rsid w:val="00DF1D3A"/>
    <w:rsid w:val="00E14E5A"/>
    <w:rsid w:val="00E2059C"/>
    <w:rsid w:val="00E210AE"/>
    <w:rsid w:val="00E3586A"/>
    <w:rsid w:val="00E419BC"/>
    <w:rsid w:val="00E45131"/>
    <w:rsid w:val="00E50AC1"/>
    <w:rsid w:val="00E50FDC"/>
    <w:rsid w:val="00E57961"/>
    <w:rsid w:val="00E6158B"/>
    <w:rsid w:val="00E63EEB"/>
    <w:rsid w:val="00E67CD7"/>
    <w:rsid w:val="00E71C56"/>
    <w:rsid w:val="00E85B5A"/>
    <w:rsid w:val="00EA222B"/>
    <w:rsid w:val="00EB2A8F"/>
    <w:rsid w:val="00EB347A"/>
    <w:rsid w:val="00ED6CE3"/>
    <w:rsid w:val="00EE2303"/>
    <w:rsid w:val="00EF2A46"/>
    <w:rsid w:val="00EF57C4"/>
    <w:rsid w:val="00EF61D4"/>
    <w:rsid w:val="00EF6B69"/>
    <w:rsid w:val="00F25489"/>
    <w:rsid w:val="00F53205"/>
    <w:rsid w:val="00F603CF"/>
    <w:rsid w:val="00F621E1"/>
    <w:rsid w:val="00F63A9B"/>
    <w:rsid w:val="00F63CF0"/>
    <w:rsid w:val="00F67BFE"/>
    <w:rsid w:val="00FA6607"/>
    <w:rsid w:val="00FA6FD6"/>
    <w:rsid w:val="00FB237A"/>
    <w:rsid w:val="00FB7F4B"/>
    <w:rsid w:val="00FC77FD"/>
    <w:rsid w:val="00FD0532"/>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18287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Marco.Giorello@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2100</Words>
  <Characters>11554</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13627</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6553719</vt:i4>
      </vt:variant>
      <vt:variant>
        <vt:i4>3</vt:i4>
      </vt:variant>
      <vt:variant>
        <vt:i4>0</vt:i4>
      </vt:variant>
      <vt:variant>
        <vt:i4>5</vt:i4>
      </vt:variant>
      <vt:variant>
        <vt:lpwstr>http://ec.europa.eu/civil_service/job/sne/index_de.htm</vt:lpwstr>
      </vt:variant>
      <vt:variant>
        <vt:lpwstr/>
      </vt:variant>
      <vt:variant>
        <vt:i4>3014692</vt:i4>
      </vt:variant>
      <vt:variant>
        <vt:i4>0</vt:i4>
      </vt:variant>
      <vt:variant>
        <vt:i4>0</vt:i4>
      </vt:variant>
      <vt:variant>
        <vt:i4>5</vt:i4>
      </vt:variant>
      <vt:variant>
        <vt:lpwstr>http://europass.cedefop.europa.eu/de/documents/curriculum-vitae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HENROTTE Corinne (HR)</cp:lastModifiedBy>
  <cp:revision>2</cp:revision>
  <cp:lastPrinted>2012-11-13T07:59:00Z</cp:lastPrinted>
  <dcterms:created xsi:type="dcterms:W3CDTF">2019-04-10T09:41:00Z</dcterms:created>
  <dcterms:modified xsi:type="dcterms:W3CDTF">2019-04-10T09:41:00Z</dcterms:modified>
</cp:coreProperties>
</file>