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5E510E"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0A7FC7"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CNECT-I-2</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Place of secondment:</w:t>
            </w:r>
          </w:p>
        </w:tc>
        <w:tc>
          <w:tcPr>
            <w:tcW w:w="6251" w:type="dxa"/>
            <w:tcBorders>
              <w:top w:val="single" w:sz="4" w:space="0" w:color="auto"/>
              <w:left w:val="single" w:sz="4" w:space="0" w:color="auto"/>
              <w:right w:val="single" w:sz="4" w:space="0" w:color="auto"/>
            </w:tcBorders>
            <w:shd w:val="clear" w:color="auto" w:fill="auto"/>
          </w:tcPr>
          <w:p w:rsidR="007275A9" w:rsidRPr="005E510E" w:rsidRDefault="000A7FC7" w:rsidP="008914EC">
            <w:pPr>
              <w:spacing w:after="0" w:line="240" w:lineRule="auto"/>
              <w:ind w:right="1317"/>
              <w:jc w:val="both"/>
              <w:rPr>
                <w:rFonts w:ascii="Times New Roman" w:eastAsia="Times New Roman" w:hAnsi="Times New Roman"/>
                <w:b/>
                <w:lang w:val="es-ES" w:eastAsia="en-GB"/>
              </w:rPr>
            </w:pPr>
            <w:r w:rsidRPr="005E510E">
              <w:rPr>
                <w:rFonts w:ascii="Times New Roman" w:eastAsia="Times New Roman" w:hAnsi="Times New Roman"/>
                <w:b/>
                <w:lang w:val="es-ES" w:eastAsia="en-GB"/>
              </w:rPr>
              <w:t>Marco GIORELLO</w:t>
            </w:r>
          </w:p>
          <w:p w:rsidR="007275A9" w:rsidRPr="005E510E" w:rsidRDefault="005E510E" w:rsidP="008914EC">
            <w:pPr>
              <w:spacing w:after="0" w:line="240" w:lineRule="auto"/>
              <w:ind w:right="1317"/>
              <w:jc w:val="both"/>
              <w:rPr>
                <w:rFonts w:ascii="Times New Roman" w:eastAsia="Times New Roman" w:hAnsi="Times New Roman"/>
                <w:b/>
                <w:lang w:val="es-ES" w:eastAsia="en-GB"/>
              </w:rPr>
            </w:pPr>
            <w:hyperlink r:id="rId10" w:history="1">
              <w:r w:rsidR="000A7FC7" w:rsidRPr="005E510E">
                <w:rPr>
                  <w:rStyle w:val="Hyperlink"/>
                  <w:rFonts w:ascii="Times New Roman" w:eastAsia="Times New Roman" w:hAnsi="Times New Roman"/>
                  <w:b/>
                  <w:lang w:val="es-ES" w:eastAsia="en-GB"/>
                </w:rPr>
                <w:t>Marco.Giorello@ec.europa.eu</w:t>
              </w:r>
            </w:hyperlink>
          </w:p>
          <w:p w:rsidR="007275A9" w:rsidRDefault="000A7FC7"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+32-2-29.69563</w:t>
            </w:r>
          </w:p>
          <w:p w:rsidR="007275A9" w:rsidRPr="00FC590A" w:rsidRDefault="000A7FC7"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1</w:t>
            </w:r>
          </w:p>
          <w:p w:rsidR="007275A9" w:rsidRPr="00FC590A" w:rsidRDefault="000A7FC7"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3</w:t>
            </w:r>
            <w:r w:rsidRPr="000A7FC7">
              <w:rPr>
                <w:rFonts w:ascii="Times New Roman" w:eastAsia="Times New Roman" w:hAnsi="Times New Roman"/>
                <w:b/>
                <w:vertAlign w:val="superscript"/>
                <w:lang w:eastAsia="en-GB"/>
              </w:rPr>
              <w:t>rd</w:t>
            </w:r>
            <w:r>
              <w:rPr>
                <w:rFonts w:ascii="Times New Roman" w:eastAsia="Times New Roman" w:hAnsi="Times New Roman"/>
                <w:b/>
                <w:lang w:eastAsia="en-GB"/>
              </w:rPr>
              <w:t xml:space="preserve"> </w:t>
            </w:r>
            <w:r w:rsidR="007275A9" w:rsidRPr="00FC590A">
              <w:rPr>
                <w:rFonts w:ascii="Times New Roman" w:eastAsia="Times New Roman" w:hAnsi="Times New Roman"/>
                <w:b/>
                <w:lang w:eastAsia="en-GB"/>
              </w:rPr>
              <w:t>quarter 201</w:t>
            </w:r>
            <w:r w:rsidR="007275A9">
              <w:rPr>
                <w:rFonts w:ascii="Times New Roman" w:eastAsia="Times New Roman" w:hAnsi="Times New Roman"/>
                <w:b/>
                <w:lang w:eastAsia="en-GB"/>
              </w:rPr>
              <w:t>9</w:t>
            </w:r>
            <w:r w:rsidR="007275A9" w:rsidRPr="00FC590A">
              <w:rPr>
                <w:rFonts w:ascii="Times New Roman" w:eastAsia="Times New Roman" w:hAnsi="Times New Roman"/>
                <w:b/>
                <w:lang w:eastAsia="en-GB"/>
              </w:rPr>
              <w:t xml:space="preserve"> </w:t>
            </w:r>
            <w:r w:rsidR="007275A9" w:rsidRPr="00FC590A">
              <w:rPr>
                <w:rFonts w:ascii="Times New Roman" w:eastAsia="Times New Roman" w:hAnsi="Times New Roman"/>
                <w:b/>
                <w:vertAlign w:val="superscript"/>
                <w:lang w:val="fr-BE" w:eastAsia="en-GB"/>
              </w:rPr>
              <w:footnoteReference w:id="1"/>
            </w:r>
          </w:p>
          <w:p w:rsidR="007275A9" w:rsidRPr="00FC590A" w:rsidRDefault="000A7FC7" w:rsidP="00C8629F">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2</w:t>
            </w:r>
            <w:r w:rsidR="007275A9" w:rsidRPr="00FC590A">
              <w:rPr>
                <w:rFonts w:ascii="Times New Roman" w:eastAsia="Times New Roman" w:hAnsi="Times New Roman"/>
                <w:b/>
                <w:lang w:eastAsia="en-GB"/>
              </w:rPr>
              <w:t xml:space="preserve"> year(s)</w:t>
            </w:r>
            <w:r w:rsidR="007275A9" w:rsidRPr="00FC590A">
              <w:rPr>
                <w:rFonts w:ascii="Times New Roman" w:eastAsia="Times New Roman" w:hAnsi="Times New Roman"/>
                <w:b/>
                <w:vertAlign w:val="superscript"/>
                <w:lang w:eastAsia="en-GB"/>
              </w:rPr>
              <w:t>1</w:t>
            </w:r>
          </w:p>
          <w:p w:rsidR="007275A9" w:rsidRPr="00FC590A" w:rsidRDefault="000A7FC7" w:rsidP="007275A9">
            <w:pPr>
              <w:spacing w:after="0" w:line="240" w:lineRule="auto"/>
              <w:ind w:right="157"/>
              <w:jc w:val="both"/>
              <w:rPr>
                <w:rFonts w:ascii="Times New Roman" w:eastAsia="Times New Roman" w:hAnsi="Times New Roman"/>
                <w:b/>
                <w:lang w:eastAsia="en-GB"/>
              </w:rPr>
            </w:pPr>
            <w:r>
              <w:rPr>
                <w:rFonts w:ascii="Times New Roman" w:eastAsia="Times New Roman" w:hAnsi="Times New Roman"/>
                <w:b/>
                <w:lang w:val="fr-BE" w:eastAsia="en-GB"/>
              </w:rPr>
              <w:sym w:font="Wingdings 2" w:char="F053"/>
            </w:r>
            <w:r w:rsidR="007275A9" w:rsidRPr="00FC590A">
              <w:rPr>
                <w:rFonts w:ascii="Times New Roman" w:eastAsia="Times New Roman" w:hAnsi="Times New Roman"/>
                <w:b/>
                <w:lang w:val="en-US" w:eastAsia="en-GB"/>
              </w:rPr>
              <w:t xml:space="preserve"> 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FC590A" w:rsidRDefault="000A7FC7" w:rsidP="00FC590A">
            <w:pPr>
              <w:tabs>
                <w:tab w:val="left" w:pos="1697"/>
              </w:tabs>
              <w:spacing w:after="0" w:line="240" w:lineRule="auto"/>
              <w:ind w:right="-1739"/>
              <w:rPr>
                <w:rFonts w:ascii="Times New Roman" w:eastAsia="Times New Roman" w:hAnsi="Times New Roman"/>
                <w:b/>
                <w:lang w:eastAsia="en-GB"/>
              </w:rPr>
            </w:pPr>
            <w:r>
              <w:rPr>
                <w:rFonts w:ascii="Times New Roman" w:eastAsia="Times New Roman" w:hAnsi="Times New Roman"/>
                <w:b/>
                <w:lang w:val="fr-BE" w:eastAsia="en-GB"/>
              </w:rPr>
              <w:sym w:font="Wingdings 2" w:char="F053"/>
            </w:r>
            <w:r w:rsidR="00797278" w:rsidRPr="00FC590A">
              <w:rPr>
                <w:rFonts w:ascii="Times New Roman" w:eastAsia="Times New Roman" w:hAnsi="Times New Roman"/>
                <w:b/>
                <w:lang w:eastAsia="en-GB"/>
              </w:rPr>
              <w:t xml:space="preserve">    With allowances</w:t>
            </w:r>
            <w:r w:rsidR="00797278" w:rsidRPr="00FC590A">
              <w:rPr>
                <w:rFonts w:ascii="Times New Roman" w:eastAsia="Times New Roman" w:hAnsi="Times New Roman"/>
                <w:b/>
                <w:lang w:eastAsia="en-GB"/>
              </w:rPr>
              <w:tab/>
            </w:r>
            <w:r w:rsidR="007275A9">
              <w:rPr>
                <w:rFonts w:ascii="Times New Roman" w:eastAsia="Times New Roman" w:hAnsi="Times New Roman"/>
                <w:b/>
                <w:lang w:eastAsia="en-GB"/>
              </w:rPr>
              <w:tab/>
            </w:r>
            <w:r w:rsidR="00797278" w:rsidRPr="00FC590A">
              <w:rPr>
                <w:rFonts w:ascii="Times New Roman" w:eastAsia="Times New Roman" w:hAnsi="Times New Roman"/>
                <w:b/>
                <w:lang w:val="fr-BE" w:eastAsia="en-GB"/>
              </w:rPr>
              <w:sym w:font="Wingdings 2" w:char="F0A3"/>
            </w:r>
            <w:r w:rsidR="00797278" w:rsidRPr="00FC590A">
              <w:rPr>
                <w:rFonts w:ascii="Times New Roman" w:eastAsia="Times New Roman" w:hAnsi="Times New Roman"/>
                <w:b/>
                <w:lang w:eastAsia="en-GB"/>
              </w:rPr>
              <w:t xml:space="preserve">   </w:t>
            </w:r>
            <w:r w:rsidR="00797278">
              <w:rPr>
                <w:rFonts w:ascii="Times New Roman" w:eastAsia="Times New Roman" w:hAnsi="Times New Roman"/>
                <w:b/>
                <w:lang w:eastAsia="en-GB"/>
              </w:rPr>
              <w:t>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rsidR="00797278" w:rsidRPr="00FC590A" w:rsidRDefault="00797278" w:rsidP="00FC590A">
            <w:pPr>
              <w:tabs>
                <w:tab w:val="left" w:pos="775"/>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EFTA countries :</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Iceland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Liechtenstein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Norway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Switzerland</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E</w:t>
            </w:r>
            <w:r>
              <w:rPr>
                <w:rFonts w:ascii="Times New Roman" w:eastAsia="Times New Roman" w:hAnsi="Times New Roman"/>
                <w:b/>
                <w:lang w:eastAsia="en-GB"/>
              </w:rPr>
              <w:t>FTA-EEA In-Kind agreement</w:t>
            </w:r>
            <w:r>
              <w:rPr>
                <w:rFonts w:ascii="Times New Roman" w:eastAsia="Times New Roman" w:hAnsi="Times New Roman"/>
                <w:b/>
                <w:lang w:eastAsia="en-GB"/>
              </w:rPr>
              <w:br/>
            </w:r>
            <w:r>
              <w:rPr>
                <w:rFonts w:ascii="Times New Roman" w:eastAsia="Times New Roman" w:hAnsi="Times New Roman"/>
                <w:b/>
                <w:lang w:eastAsia="en-GB"/>
              </w:rPr>
              <w:tab/>
              <w:t xml:space="preserve">    </w:t>
            </w:r>
            <w:r w:rsidRPr="00FC590A">
              <w:rPr>
                <w:rFonts w:ascii="Times New Roman" w:eastAsia="Times New Roman" w:hAnsi="Times New Roman"/>
                <w:b/>
                <w:lang w:eastAsia="en-GB"/>
              </w:rPr>
              <w:t>(Iceland, Liechtenstein, Norway)</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third countries:</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intergovernmental organisations:</w:t>
            </w:r>
          </w:p>
          <w:p w:rsidR="00797278" w:rsidRPr="00FC590A" w:rsidRDefault="00797278" w:rsidP="00E062C6">
            <w:pPr>
              <w:tabs>
                <w:tab w:val="left" w:pos="1697"/>
              </w:tabs>
              <w:spacing w:after="0" w:line="240" w:lineRule="auto"/>
              <w:ind w:right="-1739"/>
              <w:rPr>
                <w:rFonts w:ascii="Times New Roman" w:eastAsia="Times New Roman" w:hAnsi="Times New Roman"/>
                <w:b/>
                <w:lang w:eastAsia="en-GB"/>
              </w:rPr>
            </w:pP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092638" w:rsidRPr="00667E87" w:rsidRDefault="00092638" w:rsidP="00092638">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The seconded national expert (SNE) will be part of the Unit in DG Communications Networks, Content &amp; Technology that is responsible for the development of the Commission’s policy in the area of copyright and related rights. She or he will join a collegial, dynamic and diverse team of highly-dedicated professionals at a crucial time when copyright in the digital era is being vividly debated in Europe and beyond.</w:t>
            </w:r>
          </w:p>
          <w:p w:rsidR="00092638" w:rsidRPr="00667E87" w:rsidRDefault="00092638" w:rsidP="00092638">
            <w:pPr>
              <w:spacing w:after="0" w:line="240" w:lineRule="auto"/>
              <w:ind w:right="-14"/>
              <w:jc w:val="both"/>
              <w:rPr>
                <w:rFonts w:ascii="Times New Roman" w:eastAsia="Times New Roman" w:hAnsi="Times New Roman"/>
                <w:lang w:eastAsia="en-GB"/>
              </w:rPr>
            </w:pPr>
          </w:p>
          <w:p w:rsidR="00092638" w:rsidRPr="00667E87" w:rsidRDefault="00092638" w:rsidP="00092638">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 xml:space="preserve">Copyright policy has been identified as a clear policy priority of the Juncker Commission and is seen, not only by the Commission but also by the European Parliament and the Council, as a key element in the development of the Digital Single Market Strategy. The Unit is currently in charge of the legislative process on the ongoing modernisation of the EU copyright rules. Two major Commission's proposals, a Directive on copyright in the Digital Single Market and a </w:t>
            </w:r>
            <w:r w:rsidR="00545AD7">
              <w:rPr>
                <w:rFonts w:ascii="Times New Roman" w:eastAsia="Times New Roman" w:hAnsi="Times New Roman"/>
                <w:lang w:eastAsia="en-GB"/>
              </w:rPr>
              <w:t>Directive</w:t>
            </w:r>
            <w:r w:rsidRPr="00667E87">
              <w:rPr>
                <w:rFonts w:ascii="Times New Roman" w:eastAsia="Times New Roman" w:hAnsi="Times New Roman"/>
                <w:lang w:eastAsia="en-GB"/>
              </w:rPr>
              <w:t xml:space="preserve"> laying down rules on the exercise of copyright and related rights applicable to certain online transmissions of broadcasting organisations and retransmissions of TV and radio programmes</w:t>
            </w:r>
            <w:r w:rsidR="00545AD7">
              <w:rPr>
                <w:rFonts w:ascii="Times New Roman" w:eastAsia="Times New Roman" w:hAnsi="Times New Roman"/>
                <w:lang w:eastAsia="en-GB"/>
              </w:rPr>
              <w:t xml:space="preserve"> are just about to be formally adopted by </w:t>
            </w:r>
            <w:r w:rsidRPr="00667E87">
              <w:rPr>
                <w:rFonts w:ascii="Times New Roman" w:eastAsia="Times New Roman" w:hAnsi="Times New Roman"/>
                <w:lang w:eastAsia="en-GB"/>
              </w:rPr>
              <w:t>the European Parliament and the Council.</w:t>
            </w:r>
          </w:p>
          <w:p w:rsidR="00985D87" w:rsidRDefault="00985D87" w:rsidP="00092638">
            <w:pPr>
              <w:spacing w:after="0" w:line="240" w:lineRule="auto"/>
              <w:ind w:right="-14"/>
              <w:jc w:val="both"/>
              <w:rPr>
                <w:rFonts w:ascii="Times New Roman" w:eastAsia="Times New Roman" w:hAnsi="Times New Roman"/>
                <w:lang w:eastAsia="en-GB"/>
              </w:rPr>
            </w:pPr>
          </w:p>
          <w:p w:rsidR="00092638" w:rsidRPr="00667E87" w:rsidRDefault="00092638" w:rsidP="00092638">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 xml:space="preserve">The Unit is also responsible for a considerable body of legislation adopted over the years in the area of copyright (eleven directives and two regulations – including the recently adopted regulation on content portability and the directive and the regulation implementing the Marrakesh Treaty in EU law) and is regularly required to provide input in the context of preliminary rulings of the Court of Justice of the European Union. </w:t>
            </w:r>
          </w:p>
          <w:p w:rsidR="00667E87" w:rsidRPr="00667E87" w:rsidRDefault="00667E87" w:rsidP="00092638">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 xml:space="preserve">. Following </w:t>
            </w:r>
            <w:r w:rsidR="00545AD7">
              <w:rPr>
                <w:rFonts w:ascii="Times New Roman" w:eastAsia="Times New Roman" w:hAnsi="Times New Roman"/>
                <w:lang w:eastAsia="en-GB"/>
              </w:rPr>
              <w:t xml:space="preserve">the </w:t>
            </w:r>
            <w:r w:rsidRPr="00667E87">
              <w:rPr>
                <w:rFonts w:ascii="Times New Roman" w:eastAsia="Times New Roman" w:hAnsi="Times New Roman"/>
                <w:lang w:eastAsia="en-GB"/>
              </w:rPr>
              <w:t xml:space="preserve"> adoption</w:t>
            </w:r>
            <w:r w:rsidR="00545AD7" w:rsidRPr="00667E87">
              <w:rPr>
                <w:rFonts w:ascii="Times New Roman" w:eastAsia="Times New Roman" w:hAnsi="Times New Roman"/>
                <w:lang w:eastAsia="en-GB"/>
              </w:rPr>
              <w:t xml:space="preserve"> </w:t>
            </w:r>
            <w:r w:rsidR="00545AD7">
              <w:rPr>
                <w:rFonts w:ascii="Times New Roman" w:eastAsia="Times New Roman" w:hAnsi="Times New Roman"/>
                <w:lang w:eastAsia="en-GB"/>
              </w:rPr>
              <w:t xml:space="preserve">of </w:t>
            </w:r>
            <w:r w:rsidR="00545AD7" w:rsidRPr="00667E87">
              <w:rPr>
                <w:rFonts w:ascii="Times New Roman" w:eastAsia="Times New Roman" w:hAnsi="Times New Roman"/>
                <w:lang w:eastAsia="en-GB"/>
              </w:rPr>
              <w:t>the Directive on copyright in the Digital Single Market</w:t>
            </w:r>
            <w:r w:rsidRPr="00667E87">
              <w:rPr>
                <w:rFonts w:ascii="Times New Roman" w:eastAsia="Times New Roman" w:hAnsi="Times New Roman"/>
                <w:lang w:eastAsia="en-GB"/>
              </w:rPr>
              <w:t xml:space="preserve"> the Unit will actively follow up on its implementation, as well as the implementation of the </w:t>
            </w:r>
            <w:r w:rsidR="00545AD7">
              <w:rPr>
                <w:rFonts w:ascii="Times New Roman" w:eastAsia="Times New Roman" w:hAnsi="Times New Roman"/>
                <w:lang w:eastAsia="en-GB"/>
              </w:rPr>
              <w:t>Directive</w:t>
            </w:r>
            <w:r w:rsidR="00545AD7" w:rsidRPr="00667E87">
              <w:rPr>
                <w:rFonts w:ascii="Times New Roman" w:eastAsia="Times New Roman" w:hAnsi="Times New Roman"/>
                <w:lang w:eastAsia="en-GB"/>
              </w:rPr>
              <w:t xml:space="preserve"> laying down rules on the exercise of copyright and related rights applicable to certain online </w:t>
            </w:r>
            <w:r w:rsidR="00545AD7" w:rsidRPr="00667E87">
              <w:rPr>
                <w:rFonts w:ascii="Times New Roman" w:eastAsia="Times New Roman" w:hAnsi="Times New Roman"/>
                <w:lang w:eastAsia="en-GB"/>
              </w:rPr>
              <w:lastRenderedPageBreak/>
              <w:t>transmissions of broadcasting organisations and retransmissions of TV and radio programmes</w:t>
            </w:r>
            <w:r w:rsidR="00545AD7">
              <w:rPr>
                <w:rFonts w:ascii="Times New Roman" w:eastAsia="Times New Roman" w:hAnsi="Times New Roman"/>
                <w:lang w:eastAsia="en-GB"/>
              </w:rPr>
              <w:t xml:space="preserve">, the </w:t>
            </w:r>
            <w:r w:rsidRPr="00667E87">
              <w:rPr>
                <w:rFonts w:ascii="Times New Roman" w:eastAsia="Times New Roman" w:hAnsi="Times New Roman"/>
                <w:lang w:eastAsia="en-GB"/>
              </w:rPr>
              <w:t>Directive implementing in EU legislation the Marrakesh Treaty and the application of the portability Regulation. This may involve in particular guidance to Member States and stakeholders on the application of the new rules.</w:t>
            </w:r>
          </w:p>
          <w:p w:rsidR="00667E87" w:rsidRPr="00667E87" w:rsidRDefault="00667E87" w:rsidP="00667E87">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In parallel, we will continue to be involved in broader policy discussions about copyright and the internet, in particular with a view to the next Commission’s mandate (2019-2024). Depending on future policy development this may involve the preparation of impact assessments and legislative proposals on EU copyright during the next Commission.</w:t>
            </w:r>
          </w:p>
          <w:p w:rsidR="00667E87" w:rsidRPr="00667E87" w:rsidRDefault="00667E87" w:rsidP="00667E87">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 xml:space="preserve">The Unit is also in charge of Directive 2014/26/EU on collective management of copyright and related rights and multi-territorial licensing of rights in musical works for online use in the internal market ("CRM Directive").  The Unit is regularly organising the expert group meetings to discuss issues arising from the application of the Directive and to facilitate the exchange of information.  In the upcoming period an important task of the Unit will be as well to draft a report assessing the application of the Directive and propose follow-up action if appropriate. </w:t>
            </w:r>
          </w:p>
          <w:p w:rsidR="00667E87" w:rsidRPr="00667E87" w:rsidRDefault="00667E87" w:rsidP="00667E87">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Finally, the Unit has an important portfolio of international activity. We represent the EU and its Member States in copyright discussions and negotiations in the World Intellectual Property Organisation (WIPO) and contribute to the work of other Directorate Generals as regards copyright aspects of bilateral trade agreements. In the next two years we will discuss the possible European Union’s ratification of the 2012 Beijing Treaty on the Protection of Audio-visual Performances. We will also continue to engage in WIPO discussions on the protection of broadcasting organisations. </w:t>
            </w:r>
          </w:p>
          <w:p w:rsidR="00667E87" w:rsidRPr="00667E87" w:rsidRDefault="00667E87" w:rsidP="00667E87">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 xml:space="preserve">The SNE will contribute towards the definition of EU policies on copyright and related rights, work on the preparation and the drafting of legislative proposals and will assist colleagues in the Unit in the context of negotiations in the European institutions and international organisations, which involves frequent contacts with other Directorates General in the Commission, the European Parliament, the Council, Member States' authorities and stakeholders.. The SNE will also assist the unit in the work on matters related to the interpretation, monitoring and application of the existing EU copyright framework, including as regards references for a preliminary ruling before the Court of Justice of the EU. </w:t>
            </w:r>
          </w:p>
          <w:p w:rsidR="00667E87" w:rsidRPr="00667E87" w:rsidRDefault="00667E87" w:rsidP="00667E87">
            <w:pPr>
              <w:spacing w:after="0" w:line="240" w:lineRule="auto"/>
              <w:ind w:right="-14"/>
              <w:jc w:val="both"/>
              <w:rPr>
                <w:rFonts w:ascii="Times New Roman" w:eastAsia="Times New Roman" w:hAnsi="Times New Roman"/>
                <w:lang w:eastAsia="en-GB"/>
              </w:rPr>
            </w:pPr>
          </w:p>
          <w:p w:rsidR="00667E87" w:rsidRPr="00667E87" w:rsidRDefault="00667E87" w:rsidP="00667E87">
            <w:pPr>
              <w:spacing w:after="0" w:line="240" w:lineRule="auto"/>
              <w:ind w:right="-14"/>
              <w:jc w:val="both"/>
              <w:rPr>
                <w:rFonts w:ascii="Times New Roman" w:eastAsia="Times New Roman" w:hAnsi="Times New Roman"/>
                <w:lang w:eastAsia="en-GB"/>
              </w:rPr>
            </w:pPr>
            <w:r w:rsidRPr="00667E87">
              <w:rPr>
                <w:rFonts w:ascii="Times New Roman" w:eastAsia="Times New Roman" w:hAnsi="Times New Roman"/>
                <w:lang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FA342C" w:rsidRPr="00667E87" w:rsidRDefault="00FA342C" w:rsidP="00667E87">
            <w:pPr>
              <w:spacing w:after="0" w:line="240" w:lineRule="auto"/>
              <w:ind w:right="-14"/>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lang w:eastAsia="en-GB"/>
              </w:rPr>
            </w:pPr>
          </w:p>
          <w:p w:rsidR="00BD751C" w:rsidRPr="00FC590A" w:rsidRDefault="00BD751C" w:rsidP="00EB5828">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00EB5828" w:rsidRPr="00377E62">
              <w:rPr>
                <w:rFonts w:ascii="Times New Roman" w:eastAsia="Times New Roman" w:hAnsi="Times New Roman"/>
                <w:b/>
                <w:u w:val="single"/>
                <w:lang w:eastAsia="en-GB"/>
              </w:rPr>
              <w:t>Eligibility criteria</w:t>
            </w:r>
          </w:p>
        </w:tc>
      </w:tr>
      <w:tr w:rsidR="00BD751C" w:rsidRPr="00E062C6"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EB5828" w:rsidP="00BD751C">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sidR="003A0B80">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sidR="003A0B80">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E021F8" w:rsidRPr="00FC590A">
              <w:rPr>
                <w:rFonts w:ascii="Times New Roman" w:eastAsia="Times New Roman" w:hAnsi="Times New Roman"/>
                <w:u w:val="single"/>
                <w:lang w:eastAsia="en-GB"/>
              </w:rPr>
              <w:t>P</w:t>
            </w:r>
            <w:r w:rsidR="00EB5828" w:rsidRPr="00FC590A">
              <w:rPr>
                <w:rFonts w:ascii="Times New Roman" w:eastAsia="Times New Roman" w:hAnsi="Times New Roman"/>
                <w:u w:val="single"/>
                <w:lang w:eastAsia="en-GB"/>
              </w:rPr>
              <w:t>rofessional experience</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at least three years</w:t>
            </w:r>
            <w:r w:rsidR="007400CB">
              <w:rPr>
                <w:rFonts w:ascii="Times New Roman" w:eastAsia="Times New Roman" w:hAnsi="Times New Roman"/>
                <w:lang w:eastAsia="en-GB"/>
              </w:rPr>
              <w:t xml:space="preserve"> of </w:t>
            </w:r>
            <w:r w:rsidR="00B13EBC">
              <w:rPr>
                <w:rFonts w:ascii="Times New Roman" w:eastAsia="Times New Roman" w:hAnsi="Times New Roman"/>
                <w:lang w:eastAsia="en-GB"/>
              </w:rPr>
              <w:t xml:space="preserve">professional </w:t>
            </w:r>
            <w:r w:rsidR="00CC0C6C" w:rsidRPr="00FC590A">
              <w:rPr>
                <w:rFonts w:ascii="Times New Roman" w:eastAsia="Times New Roman" w:hAnsi="Times New Roman"/>
                <w:lang w:eastAsia="en-GB"/>
              </w:rPr>
              <w:t xml:space="preserve">experience </w:t>
            </w:r>
            <w:r w:rsidR="00E021F8" w:rsidRPr="00FC590A">
              <w:rPr>
                <w:rFonts w:ascii="Times New Roman" w:eastAsia="Times New Roman" w:hAnsi="Times New Roman"/>
                <w:lang w:eastAsia="en-GB"/>
              </w:rPr>
              <w:t>in</w:t>
            </w:r>
            <w:r w:rsidR="00CC0C6C" w:rsidRPr="00FC590A">
              <w:rPr>
                <w:rFonts w:ascii="Times New Roman" w:eastAsia="Times New Roman" w:hAnsi="Times New Roman"/>
                <w:lang w:eastAsia="en-GB"/>
              </w:rPr>
              <w:t xml:space="preserve"> administrative, legal, scientific, technical, advisory or supervisory functions which </w:t>
            </w:r>
            <w:r w:rsidR="003A0B80">
              <w:rPr>
                <w:rFonts w:ascii="Times New Roman" w:eastAsia="Times New Roman" w:hAnsi="Times New Roman"/>
                <w:lang w:eastAsia="en-GB"/>
              </w:rPr>
              <w:t>are</w:t>
            </w:r>
            <w:r w:rsidR="00CC0C6C" w:rsidRPr="00FC590A">
              <w:rPr>
                <w:rFonts w:ascii="Times New Roman" w:eastAsia="Times New Roman" w:hAnsi="Times New Roman"/>
                <w:lang w:eastAsia="en-GB"/>
              </w:rPr>
              <w:t xml:space="preserve"> equivalent to those of function group AD</w:t>
            </w:r>
            <w:r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CC0C6C" w:rsidRPr="00FC590A">
              <w:rPr>
                <w:rFonts w:ascii="Times New Roman" w:eastAsia="Times New Roman" w:hAnsi="Times New Roman"/>
                <w:u w:val="single"/>
                <w:lang w:eastAsia="en-GB"/>
              </w:rPr>
              <w:t>Seniority</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3A0B80">
              <w:rPr>
                <w:rFonts w:ascii="Times New Roman" w:eastAsia="Times New Roman" w:hAnsi="Times New Roman"/>
                <w:lang w:eastAsia="en-GB"/>
              </w:rPr>
              <w:t xml:space="preserve">candidates must have </w:t>
            </w:r>
            <w:r w:rsidR="00CC0C6C" w:rsidRPr="00FC590A">
              <w:rPr>
                <w:rFonts w:ascii="Times New Roman" w:eastAsia="Times New Roman" w:hAnsi="Times New Roman"/>
                <w:lang w:eastAsia="en-GB"/>
              </w:rPr>
              <w:t xml:space="preserve">at least one year </w:t>
            </w:r>
            <w:r w:rsidR="003A0B80">
              <w:rPr>
                <w:rFonts w:ascii="Times New Roman" w:eastAsia="Times New Roman" w:hAnsi="Times New Roman"/>
                <w:lang w:eastAsia="en-GB"/>
              </w:rPr>
              <w:t xml:space="preserve">seniority with their </w:t>
            </w:r>
            <w:r w:rsidR="00CC0C6C" w:rsidRPr="00FC590A">
              <w:rPr>
                <w:rFonts w:ascii="Times New Roman" w:eastAsia="Times New Roman" w:hAnsi="Times New Roman"/>
                <w:lang w:eastAsia="en-GB"/>
              </w:rPr>
              <w:t>employer</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 xml:space="preserve">that </w:t>
            </w:r>
            <w:r w:rsidR="004D36AF">
              <w:rPr>
                <w:rFonts w:ascii="Times New Roman" w:eastAsia="Times New Roman" w:hAnsi="Times New Roman"/>
                <w:lang w:eastAsia="en-GB"/>
              </w:rPr>
              <w:t>means</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lastRenderedPageBreak/>
              <w:t>having w</w:t>
            </w:r>
            <w:r w:rsidR="007400CB">
              <w:rPr>
                <w:rFonts w:ascii="Times New Roman" w:eastAsia="Times New Roman" w:hAnsi="Times New Roman"/>
                <w:lang w:eastAsia="en-GB"/>
              </w:rPr>
              <w:t xml:space="preserve">orked for an eligible employer </w:t>
            </w:r>
            <w:r w:rsidR="00CC0C6C" w:rsidRPr="00FC590A">
              <w:rPr>
                <w:rFonts w:ascii="Times New Roman" w:eastAsia="Times New Roman" w:hAnsi="Times New Roman"/>
                <w:lang w:eastAsia="en-GB"/>
              </w:rPr>
              <w:t>as describe</w:t>
            </w:r>
            <w:r w:rsidR="007400CB">
              <w:rPr>
                <w:rFonts w:ascii="Times New Roman" w:eastAsia="Times New Roman" w:hAnsi="Times New Roman"/>
                <w:lang w:eastAsia="en-GB"/>
              </w:rPr>
              <w:t>d in Art. 1 of the SNE decision</w:t>
            </w:r>
            <w:r w:rsidR="00CC0C6C" w:rsidRPr="00FC590A">
              <w:rPr>
                <w:rFonts w:ascii="Times New Roman" w:eastAsia="Times New Roman" w:hAnsi="Times New Roman"/>
                <w:lang w:eastAsia="en-GB"/>
              </w:rPr>
              <w:t xml:space="preserve"> on a permanent or contract basis for at least </w:t>
            </w:r>
            <w:r w:rsidR="004D36AF">
              <w:rPr>
                <w:rFonts w:ascii="Times New Roman" w:eastAsia="Times New Roman" w:hAnsi="Times New Roman"/>
                <w:lang w:eastAsia="en-GB"/>
              </w:rPr>
              <w:t>one year</w:t>
            </w:r>
            <w:r w:rsidR="00CC0C6C" w:rsidRPr="00FC590A">
              <w:rPr>
                <w:rFonts w:ascii="Times New Roman" w:eastAsia="Times New Roman" w:hAnsi="Times New Roman"/>
                <w:lang w:eastAsia="en-GB"/>
              </w:rPr>
              <w:t xml:space="preserve"> before the secondment</w:t>
            </w:r>
            <w:r w:rsidR="00E021F8"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7400CB">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287D78" w:rsidRPr="00FC590A">
              <w:rPr>
                <w:rFonts w:ascii="Times New Roman" w:eastAsia="Times New Roman" w:hAnsi="Times New Roman"/>
                <w:u w:val="single"/>
                <w:lang w:eastAsia="en-GB"/>
              </w:rPr>
              <w:t>L</w:t>
            </w:r>
            <w:r w:rsidR="00CC0C6C" w:rsidRPr="00FC590A">
              <w:rPr>
                <w:rFonts w:ascii="Times New Roman" w:eastAsia="Times New Roman" w:hAnsi="Times New Roman"/>
                <w:u w:val="single"/>
                <w:lang w:eastAsia="en-GB"/>
              </w:rPr>
              <w:t>inguistic skills</w:t>
            </w:r>
            <w:r w:rsidRPr="00FC590A">
              <w:rPr>
                <w:rFonts w:ascii="Times New Roman" w:eastAsia="Times New Roman" w:hAnsi="Times New Roman"/>
                <w:lang w:eastAsia="en-GB"/>
              </w:rPr>
              <w:t xml:space="preserve">: </w:t>
            </w:r>
            <w:r w:rsidR="00287D78" w:rsidRPr="00FC590A">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Pr>
                <w:rFonts w:ascii="Times New Roman" w:eastAsia="Times New Roman" w:hAnsi="Times New Roman"/>
                <w:lang w:eastAsia="en-GB"/>
              </w:rPr>
              <w:t>third</w:t>
            </w:r>
            <w:r w:rsidR="00287D78" w:rsidRPr="00FC590A">
              <w:rPr>
                <w:rFonts w:ascii="Times New Roman" w:eastAsia="Times New Roman" w:hAnsi="Times New Roman"/>
                <w:lang w:eastAsia="en-GB"/>
              </w:rPr>
              <w:t xml:space="preserve"> country must produce evidence of a thorough knowledge of one </w:t>
            </w:r>
            <w:r w:rsidR="00856333" w:rsidRPr="00FC590A">
              <w:rPr>
                <w:rFonts w:ascii="Times New Roman" w:eastAsia="Times New Roman" w:hAnsi="Times New Roman"/>
                <w:lang w:eastAsia="en-GB"/>
              </w:rPr>
              <w:t>EU</w:t>
            </w:r>
            <w:r w:rsidR="00287D78" w:rsidRPr="00FC590A">
              <w:rPr>
                <w:rFonts w:ascii="Times New Roman" w:eastAsia="Times New Roman" w:hAnsi="Times New Roman"/>
                <w:lang w:eastAsia="en-GB"/>
              </w:rPr>
              <w:t xml:space="preserve"> language necessary for the performance of his duties</w:t>
            </w:r>
            <w:r w:rsidR="00570D71" w:rsidRPr="00FC590A">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77E6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00CC0C6C" w:rsidRPr="00377E62">
              <w:rPr>
                <w:rFonts w:ascii="Times New Roman" w:eastAsia="Times New Roman" w:hAnsi="Times New Roman"/>
                <w:b/>
                <w:u w:val="single"/>
                <w:lang w:val="en-US" w:eastAsia="en-GB"/>
              </w:rPr>
              <w:t>Selection criteria</w:t>
            </w:r>
            <w:r w:rsidR="00377E62" w:rsidRPr="00377E62">
              <w:rPr>
                <w:rFonts w:ascii="Times New Roman" w:eastAsia="Times New Roman" w:hAnsi="Times New Roman"/>
                <w:b/>
                <w:u w:val="single"/>
                <w:lang w:val="en-US" w:eastAsia="en-GB"/>
              </w:rPr>
              <w:t xml:space="preserve"> </w:t>
            </w:r>
          </w:p>
          <w:p w:rsidR="00FA342C" w:rsidRPr="00377E6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BD751C" w:rsidRPr="007275A9" w:rsidRDefault="00054451" w:rsidP="00054451">
            <w:pPr>
              <w:tabs>
                <w:tab w:val="left" w:pos="317"/>
              </w:tabs>
              <w:spacing w:after="0" w:line="240" w:lineRule="auto"/>
              <w:ind w:right="106"/>
              <w:jc w:val="both"/>
              <w:rPr>
                <w:rFonts w:ascii="Times New Roman" w:eastAsia="Times New Roman" w:hAnsi="Times New Roman"/>
                <w:lang w:val="en-US" w:eastAsia="en-GB"/>
              </w:rPr>
            </w:pPr>
            <w:r w:rsidRPr="00377E62">
              <w:rPr>
                <w:rFonts w:ascii="Times New Roman" w:eastAsia="Times New Roman" w:hAnsi="Times New Roman"/>
                <w:lang w:val="en-US" w:eastAsia="en-GB"/>
              </w:rPr>
              <w:tab/>
            </w:r>
            <w:r w:rsidRPr="007275A9">
              <w:rPr>
                <w:rFonts w:ascii="Times New Roman" w:eastAsia="Times New Roman" w:hAnsi="Times New Roman"/>
                <w:lang w:val="en-US" w:eastAsia="en-GB"/>
              </w:rPr>
              <w:t>D</w:t>
            </w:r>
            <w:r w:rsidR="00CC0C6C" w:rsidRPr="007275A9">
              <w:rPr>
                <w:rFonts w:ascii="Times New Roman" w:eastAsia="Times New Roman" w:hAnsi="Times New Roman"/>
                <w:lang w:val="en-US" w:eastAsia="en-GB"/>
              </w:rPr>
              <w:t>iploma</w:t>
            </w:r>
            <w:r w:rsidR="00FC590A" w:rsidRPr="007275A9">
              <w:rPr>
                <w:rFonts w:ascii="Times New Roman" w:eastAsia="Times New Roman" w:hAnsi="Times New Roman"/>
                <w:lang w:val="en-US" w:eastAsia="en-GB"/>
              </w:rPr>
              <w:t xml:space="preserve"> </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tab/>
            </w:r>
            <w:r w:rsidRPr="00FC590A">
              <w:rPr>
                <w:rFonts w:ascii="Times New Roman" w:eastAsia="Times New Roman" w:hAnsi="Times New Roman"/>
                <w:lang w:val="en-US" w:eastAsia="en-GB"/>
              </w:rPr>
              <w:t>- university degree or</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rsidR="00FC590A" w:rsidRPr="00FC590A" w:rsidRDefault="00FC590A" w:rsidP="00054451">
            <w:pPr>
              <w:tabs>
                <w:tab w:val="left" w:pos="317"/>
                <w:tab w:val="left" w:pos="459"/>
              </w:tabs>
              <w:spacing w:after="0" w:line="240" w:lineRule="auto"/>
              <w:ind w:right="106"/>
              <w:jc w:val="both"/>
              <w:rPr>
                <w:rFonts w:ascii="Times New Roman" w:eastAsia="Times New Roman" w:hAnsi="Times New Roman"/>
                <w:lang w:val="en-US" w:eastAsia="en-GB"/>
              </w:rPr>
            </w:pPr>
            <w:r>
              <w:rPr>
                <w:rFonts w:ascii="Times New Roman" w:eastAsia="Times New Roman" w:hAnsi="Times New Roman"/>
                <w:lang w:val="en-US" w:eastAsia="en-GB"/>
              </w:rPr>
              <w:tab/>
              <w:t>in the field(s) :</w:t>
            </w:r>
            <w:r w:rsidR="00667E87" w:rsidRPr="00667E87">
              <w:rPr>
                <w:rFonts w:ascii="Times New Roman" w:eastAsia="Times New Roman" w:hAnsi="Times New Roman"/>
                <w:lang w:eastAsia="en-GB"/>
              </w:rPr>
              <w:t>:Law or other with substantial legal content.</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054451" w:rsidP="00667E87">
            <w:pPr>
              <w:tabs>
                <w:tab w:val="left" w:pos="317"/>
              </w:tabs>
              <w:spacing w:after="0" w:line="240" w:lineRule="auto"/>
              <w:ind w:right="108"/>
              <w:jc w:val="both"/>
              <w:rPr>
                <w:rFonts w:ascii="Times New Roman" w:eastAsia="Times New Roman" w:hAnsi="Times New Roman"/>
                <w:lang w:val="en-US" w:eastAsia="en-GB"/>
              </w:rPr>
            </w:pPr>
            <w:r w:rsidRPr="00FC590A">
              <w:rPr>
                <w:rFonts w:ascii="Times New Roman" w:eastAsia="Times New Roman" w:hAnsi="Times New Roman"/>
                <w:lang w:val="en-US" w:eastAsia="en-GB"/>
              </w:rPr>
              <w:tab/>
              <w:t>P</w:t>
            </w:r>
            <w:r w:rsidR="00CC0C6C" w:rsidRPr="00FC590A">
              <w:rPr>
                <w:rFonts w:ascii="Times New Roman" w:eastAsia="Times New Roman" w:hAnsi="Times New Roman"/>
                <w:lang w:val="en-US" w:eastAsia="en-GB"/>
              </w:rPr>
              <w:t>rofessional experience</w:t>
            </w:r>
            <w:r w:rsidR="006F4CD6" w:rsidRPr="00FC590A">
              <w:rPr>
                <w:rFonts w:ascii="Times New Roman" w:eastAsia="Times New Roman" w:hAnsi="Times New Roman"/>
                <w:lang w:val="en-US" w:eastAsia="en-GB"/>
              </w:rPr>
              <w:t>:</w:t>
            </w:r>
          </w:p>
          <w:p w:rsidR="00C8629F" w:rsidRDefault="00C8629F" w:rsidP="00C8629F">
            <w:pPr>
              <w:spacing w:after="0" w:line="240" w:lineRule="auto"/>
              <w:ind w:right="106"/>
              <w:jc w:val="both"/>
              <w:rPr>
                <w:rFonts w:ascii="Times New Roman" w:eastAsia="Times New Roman" w:hAnsi="Times New Roman"/>
                <w:lang w:val="en-US" w:eastAsia="en-GB"/>
              </w:rPr>
            </w:pPr>
          </w:p>
          <w:p w:rsidR="00FC590A" w:rsidRDefault="00667E87" w:rsidP="005E510E">
            <w:pPr>
              <w:spacing w:after="0" w:line="240" w:lineRule="auto"/>
              <w:ind w:left="318" w:right="108"/>
              <w:jc w:val="both"/>
              <w:rPr>
                <w:rFonts w:ascii="Times New Roman" w:eastAsia="Times New Roman" w:hAnsi="Times New Roman"/>
                <w:lang w:val="en-US" w:eastAsia="en-GB"/>
              </w:rPr>
            </w:pPr>
            <w:r w:rsidRPr="00667E87">
              <w:rPr>
                <w:rFonts w:ascii="Times New Roman" w:eastAsia="Times New Roman" w:hAnsi="Times New Roman"/>
                <w:lang w:eastAsia="en-GB"/>
              </w:rPr>
              <w:t>Lawyer with experience on single market policies. Knowledge and experience in copyright and/or in digital or media field would be an asset.</w:t>
            </w:r>
          </w:p>
          <w:p w:rsidR="00BD751C" w:rsidRPr="00FC590A" w:rsidRDefault="00BD751C" w:rsidP="00437139">
            <w:pPr>
              <w:spacing w:after="0" w:line="240" w:lineRule="auto"/>
              <w:ind w:right="106"/>
              <w:jc w:val="both"/>
              <w:rPr>
                <w:rFonts w:ascii="Times New Roman" w:eastAsia="Times New Roman" w:hAnsi="Times New Roman"/>
                <w:lang w:eastAsia="en-GB"/>
              </w:rPr>
            </w:pPr>
          </w:p>
        </w:tc>
      </w:tr>
      <w:tr w:rsidR="00BD751C" w:rsidRPr="006F4CD6"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629F" w:rsidRDefault="00054451" w:rsidP="005E510E">
            <w:pPr>
              <w:tabs>
                <w:tab w:val="left" w:pos="317"/>
              </w:tabs>
              <w:spacing w:after="0" w:line="240" w:lineRule="auto"/>
              <w:ind w:left="335" w:right="106" w:hanging="283"/>
              <w:jc w:val="both"/>
              <w:rPr>
                <w:rFonts w:ascii="Times New Roman" w:eastAsia="Times New Roman" w:hAnsi="Times New Roman"/>
                <w:lang w:eastAsia="en-GB"/>
              </w:rPr>
            </w:pPr>
            <w:r w:rsidRPr="00FC590A">
              <w:rPr>
                <w:rFonts w:ascii="Times New Roman" w:eastAsia="Times New Roman" w:hAnsi="Times New Roman"/>
                <w:lang w:eastAsia="en-GB"/>
              </w:rPr>
              <w:tab/>
              <w:t>L</w:t>
            </w:r>
            <w:r w:rsidR="00CC0C6C" w:rsidRPr="00FC590A">
              <w:rPr>
                <w:rFonts w:ascii="Times New Roman" w:eastAsia="Times New Roman" w:hAnsi="Times New Roman"/>
                <w:lang w:eastAsia="en-GB"/>
              </w:rPr>
              <w:t>anguage</w:t>
            </w:r>
            <w:r w:rsidR="006F4CD6" w:rsidRPr="00FC590A">
              <w:rPr>
                <w:rFonts w:ascii="Times New Roman" w:eastAsia="Times New Roman" w:hAnsi="Times New Roman"/>
                <w:lang w:eastAsia="en-GB"/>
              </w:rPr>
              <w:t>(s) necessary for the performance of duties:</w:t>
            </w:r>
            <w:r w:rsidR="005E510E">
              <w:rPr>
                <w:rFonts w:ascii="Times New Roman" w:eastAsia="Times New Roman" w:hAnsi="Times New Roman"/>
                <w:lang w:eastAsia="en-GB"/>
              </w:rPr>
              <w:t xml:space="preserve"> </w:t>
            </w:r>
            <w:r w:rsidR="00667E87" w:rsidRPr="00667E87">
              <w:rPr>
                <w:rFonts w:ascii="Times New Roman" w:eastAsia="Times New Roman" w:hAnsi="Times New Roman"/>
                <w:lang w:eastAsia="en-GB"/>
              </w:rPr>
              <w:t>English. Knowledge of French and of another EU language will be an asset.</w:t>
            </w:r>
            <w:bookmarkStart w:id="0" w:name="_GoBack"/>
            <w:bookmarkEnd w:id="0"/>
          </w:p>
          <w:p w:rsidR="005E510E" w:rsidRPr="00FC590A" w:rsidRDefault="005E510E" w:rsidP="005E510E">
            <w:pPr>
              <w:tabs>
                <w:tab w:val="left" w:pos="317"/>
              </w:tabs>
              <w:spacing w:after="0" w:line="240" w:lineRule="auto"/>
              <w:ind w:right="106"/>
              <w:jc w:val="both"/>
              <w:rPr>
                <w:rFonts w:ascii="Times New Roman" w:eastAsia="Times New Roman" w:hAnsi="Times New Roman"/>
                <w:lang w:eastAsia="en-GB"/>
              </w:rPr>
            </w:pP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287D78" w:rsidP="00287D7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FC590A" w:rsidRDefault="00453D9E" w:rsidP="00BD751C">
            <w:pPr>
              <w:spacing w:after="0" w:line="240" w:lineRule="auto"/>
              <w:ind w:right="175"/>
              <w:jc w:val="both"/>
              <w:rPr>
                <w:rFonts w:ascii="Times New Roman" w:eastAsia="Times New Roman" w:hAnsi="Times New Roman"/>
                <w:b/>
                <w:lang w:eastAsia="en-GB"/>
              </w:rPr>
            </w:pPr>
          </w:p>
          <w:p w:rsidR="00BD751C" w:rsidRPr="00FC590A" w:rsidRDefault="00A96978" w:rsidP="00BD751C">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w:t>
            </w:r>
            <w:r w:rsidR="00E021F8" w:rsidRPr="00FC590A">
              <w:rPr>
                <w:rFonts w:ascii="Times New Roman" w:eastAsia="Times New Roman" w:hAnsi="Times New Roman"/>
                <w:lang w:eastAsia="en-GB"/>
              </w:rPr>
              <w:t>ould</w:t>
            </w:r>
            <w:r w:rsidRPr="00FC590A">
              <w:rPr>
                <w:rFonts w:ascii="Times New Roman" w:eastAsia="Times New Roman" w:hAnsi="Times New Roman"/>
                <w:lang w:eastAsia="en-GB"/>
              </w:rPr>
              <w:t xml:space="preserve"> send their application according to the</w:t>
            </w:r>
            <w:r w:rsidRPr="00FC590A">
              <w:rPr>
                <w:rFonts w:ascii="Times New Roman" w:eastAsia="Times New Roman" w:hAnsi="Times New Roman"/>
                <w:b/>
                <w:lang w:eastAsia="en-GB"/>
              </w:rPr>
              <w:t xml:space="preserve"> Europas</w:t>
            </w:r>
            <w:r w:rsidR="00E021F8" w:rsidRPr="00FC590A">
              <w:rPr>
                <w:rFonts w:ascii="Times New Roman" w:eastAsia="Times New Roman" w:hAnsi="Times New Roman"/>
                <w:b/>
                <w:lang w:eastAsia="en-GB"/>
              </w:rPr>
              <w:t>s</w:t>
            </w:r>
            <w:r w:rsidR="00453D9E" w:rsidRPr="00FC590A">
              <w:rPr>
                <w:rFonts w:ascii="Times New Roman" w:eastAsia="Times New Roman" w:hAnsi="Times New Roman"/>
                <w:b/>
                <w:lang w:eastAsia="en-GB"/>
              </w:rPr>
              <w:t xml:space="preserve"> CV</w:t>
            </w:r>
            <w:r w:rsidRPr="00FC590A">
              <w:rPr>
                <w:rFonts w:ascii="Times New Roman" w:eastAsia="Times New Roman" w:hAnsi="Times New Roman"/>
                <w:b/>
                <w:lang w:eastAsia="en-GB"/>
              </w:rPr>
              <w:t xml:space="preserve"> format</w:t>
            </w:r>
            <w:r w:rsidR="00453D9E" w:rsidRPr="00FC590A">
              <w:rPr>
                <w:rFonts w:ascii="Times New Roman" w:eastAsia="Times New Roman" w:hAnsi="Times New Roman"/>
                <w:b/>
                <w:lang w:eastAsia="en-GB"/>
              </w:rPr>
              <w:t xml:space="preserve"> </w:t>
            </w:r>
            <w:r w:rsidR="00BD751C" w:rsidRPr="00FC590A">
              <w:rPr>
                <w:rFonts w:ascii="Times New Roman" w:eastAsia="Times New Roman" w:hAnsi="Times New Roman"/>
                <w:lang w:eastAsia="en-GB"/>
              </w:rPr>
              <w:t>(</w:t>
            </w:r>
            <w:hyperlink r:id="rId11" w:history="1">
              <w:r w:rsidR="00FC590A" w:rsidRPr="00DC259B">
                <w:rPr>
                  <w:rStyle w:val="Hyperlink"/>
                  <w:rFonts w:ascii="Times New Roman" w:eastAsia="Times New Roman" w:hAnsi="Times New Roman"/>
                  <w:lang w:eastAsia="en-GB"/>
                </w:rPr>
                <w:t>http://europass.cedefop.europa.eu/en/documents/curriculum-vitae</w:t>
              </w:r>
            </w:hyperlink>
            <w:r w:rsidR="00BD751C" w:rsidRPr="00FC590A">
              <w:rPr>
                <w:rFonts w:ascii="Times New Roman" w:eastAsia="Times New Roman" w:hAnsi="Times New Roman"/>
                <w:lang w:eastAsia="en-GB"/>
              </w:rPr>
              <w:t xml:space="preserve">) </w:t>
            </w:r>
            <w:r w:rsidR="00860D8E" w:rsidRPr="00FC590A">
              <w:rPr>
                <w:rFonts w:ascii="Times New Roman" w:eastAsia="Times New Roman" w:hAnsi="Times New Roman"/>
                <w:lang w:eastAsia="en-GB"/>
              </w:rPr>
              <w:t>in English, French or German</w:t>
            </w:r>
            <w:r w:rsidR="00860D8E"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w:t>
            </w:r>
            <w:r w:rsidR="007D5339" w:rsidRPr="00FC590A">
              <w:rPr>
                <w:rFonts w:ascii="Times New Roman" w:eastAsia="Times New Roman" w:hAnsi="Times New Roman"/>
                <w:b/>
                <w:u w:val="single"/>
                <w:lang w:eastAsia="en-GB"/>
              </w:rPr>
              <w:t xml:space="preserve"> / Diplomatic Mission</w:t>
            </w:r>
            <w:r w:rsidRPr="00FC590A">
              <w:rPr>
                <w:rFonts w:ascii="Times New Roman" w:eastAsia="Times New Roman" w:hAnsi="Times New Roman"/>
                <w:b/>
                <w:u w:val="single"/>
                <w:lang w:eastAsia="en-GB"/>
              </w:rPr>
              <w:t xml:space="preserve"> to the EU of their country</w:t>
            </w:r>
            <w:r w:rsidRPr="00FC590A">
              <w:rPr>
                <w:rFonts w:ascii="Times New Roman" w:eastAsia="Times New Roman" w:hAnsi="Times New Roman"/>
                <w:lang w:eastAsia="en-GB"/>
              </w:rPr>
              <w:t xml:space="preserve">, which will forward </w:t>
            </w:r>
            <w:r w:rsidR="00FC590A">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w:t>
            </w:r>
            <w:r w:rsidR="00E021F8" w:rsidRPr="00FC590A">
              <w:rPr>
                <w:rFonts w:ascii="Times New Roman" w:eastAsia="Times New Roman" w:hAnsi="Times New Roman"/>
                <w:lang w:eastAsia="en-GB"/>
              </w:rPr>
              <w:t>thin</w:t>
            </w:r>
            <w:r w:rsidRPr="00FC590A">
              <w:rPr>
                <w:rFonts w:ascii="Times New Roman" w:eastAsia="Times New Roman" w:hAnsi="Times New Roman"/>
                <w:lang w:eastAsia="en-GB"/>
              </w:rPr>
              <w:t xml:space="preserve"> the deadline fixed by the latter.</w:t>
            </w:r>
            <w:r w:rsidRPr="00FC590A">
              <w:rPr>
                <w:rFonts w:ascii="Times New Roman" w:eastAsia="Times New Roman" w:hAnsi="Times New Roman"/>
                <w:b/>
                <w:lang w:eastAsia="en-GB"/>
              </w:rPr>
              <w:t xml:space="preserve"> </w:t>
            </w:r>
            <w:r w:rsidR="00F67A3F" w:rsidRPr="007400CB">
              <w:rPr>
                <w:rFonts w:ascii="Times New Roman" w:eastAsia="Times New Roman" w:hAnsi="Times New Roman"/>
                <w:lang w:val="en-US" w:eastAsia="en-GB"/>
              </w:rPr>
              <w:t>The CV must mention the date of birth and the nationality of the candidate.</w:t>
            </w:r>
            <w:r w:rsidR="00F67A3F"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BD751C" w:rsidRDefault="00A96978"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sidR="003A0B80">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sidR="007400CB">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w:t>
            </w:r>
            <w:r w:rsidR="00E021F8" w:rsidRPr="00FC590A">
              <w:rPr>
                <w:rFonts w:ascii="Times New Roman" w:eastAsia="Times New Roman" w:hAnsi="Times New Roman"/>
                <w:lang w:eastAsia="en-GB"/>
              </w:rPr>
              <w:t>, etc</w:t>
            </w:r>
            <w:r w:rsidR="00FC590A">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FC590A" w:rsidRPr="00FC590A" w:rsidRDefault="00FC590A"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75"/>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0E138F">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w:t>
            </w:r>
            <w:r w:rsidR="000E138F" w:rsidRPr="00FC590A">
              <w:rPr>
                <w:rFonts w:ascii="Times New Roman" w:eastAsia="Times New Roman" w:hAnsi="Times New Roman"/>
                <w:b/>
                <w:lang w:val="fr-BE" w:eastAsia="en-GB"/>
              </w:rPr>
              <w:t>of the secondment</w:t>
            </w:r>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FC590A" w:rsidRDefault="00453D9E" w:rsidP="008B3217">
            <w:pPr>
              <w:spacing w:after="0" w:line="240" w:lineRule="auto"/>
              <w:ind w:right="175"/>
              <w:jc w:val="both"/>
              <w:rPr>
                <w:rFonts w:ascii="Times New Roman" w:eastAsia="Times New Roman" w:hAnsi="Times New Roman"/>
                <w:lang w:eastAsia="en-GB"/>
              </w:rPr>
            </w:pPr>
          </w:p>
          <w:p w:rsidR="008B3217" w:rsidRPr="00FC590A" w:rsidRDefault="008B3217" w:rsidP="008B3217">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w:t>
            </w:r>
            <w:r w:rsidR="00332F69" w:rsidRPr="00FC590A">
              <w:rPr>
                <w:rFonts w:ascii="Times New Roman" w:eastAsia="Times New Roman" w:hAnsi="Times New Roman"/>
                <w:b/>
                <w:lang w:eastAsia="en-GB"/>
              </w:rPr>
              <w:t>D</w:t>
            </w:r>
            <w:r w:rsidRPr="00FC590A">
              <w:rPr>
                <w:rFonts w:ascii="Times New Roman" w:eastAsia="Times New Roman" w:hAnsi="Times New Roman"/>
                <w:b/>
                <w:lang w:eastAsia="en-GB"/>
              </w:rPr>
              <w:t>ecision C(2008)6866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FC590A">
              <w:rPr>
                <w:rFonts w:ascii="Times New Roman" w:eastAsia="Times New Roman" w:hAnsi="Times New Roman"/>
                <w:lang w:eastAsia="en-GB"/>
              </w:rPr>
              <w:t xml:space="preserve">.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BD751C" w:rsidRPr="007400CB" w:rsidRDefault="001371CF"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6D6539" w:rsidRPr="007400CB" w:rsidRDefault="006D6539"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BD751C" w:rsidRPr="00FC590A" w:rsidRDefault="008B3217" w:rsidP="00BD751C">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During the secondment, </w:t>
            </w:r>
            <w:r w:rsidR="006D6539" w:rsidRPr="00FC590A">
              <w:rPr>
                <w:rFonts w:ascii="Times New Roman" w:eastAsia="Times New Roman" w:hAnsi="Times New Roman"/>
                <w:lang w:eastAsia="en-GB"/>
              </w:rPr>
              <w:t>SNE are subject to confidentiality</w:t>
            </w:r>
            <w:r w:rsidRPr="00FC590A">
              <w:rPr>
                <w:rFonts w:ascii="Times New Roman" w:eastAsia="Times New Roman" w:hAnsi="Times New Roman"/>
                <w:lang w:eastAsia="en-GB"/>
              </w:rPr>
              <w:t>,</w:t>
            </w:r>
            <w:r w:rsidR="006D6539" w:rsidRPr="00FC590A">
              <w:rPr>
                <w:rFonts w:ascii="Times New Roman" w:eastAsia="Times New Roman" w:hAnsi="Times New Roman"/>
                <w:lang w:eastAsia="en-GB"/>
              </w:rPr>
              <w:t xml:space="preserve"> loyalty </w:t>
            </w:r>
            <w:r w:rsidRPr="00FC590A">
              <w:rPr>
                <w:rFonts w:ascii="Times New Roman" w:eastAsia="Times New Roman" w:hAnsi="Times New Roman"/>
                <w:lang w:eastAsia="en-GB"/>
              </w:rPr>
              <w:t>and absence of conflict of interest obligations, as provided for in Art. 6 and 7 of the SNE Decision</w:t>
            </w:r>
            <w:r w:rsidR="006D6539" w:rsidRPr="00FC590A">
              <w:rPr>
                <w:rFonts w:ascii="Times New Roman" w:eastAsia="Times New Roman" w:hAnsi="Times New Roman"/>
                <w:lang w:eastAsia="en-GB"/>
              </w:rPr>
              <w:t>.</w:t>
            </w:r>
          </w:p>
          <w:p w:rsidR="00BD751C" w:rsidRDefault="00CB3E07" w:rsidP="00FC590A">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sidR="003A0B80">
              <w:rPr>
                <w:rFonts w:ascii="Times New Roman" w:hAnsi="Times New Roman"/>
                <w:bCs/>
              </w:rPr>
              <w:t>application</w:t>
            </w:r>
            <w:r w:rsidRPr="00FC590A">
              <w:rPr>
                <w:rFonts w:ascii="Times New Roman" w:hAnsi="Times New Roman"/>
                <w:bCs/>
              </w:rPr>
              <w:t xml:space="preserve"> may be cancelled.</w:t>
            </w:r>
          </w:p>
          <w:p w:rsidR="00517CD6" w:rsidRDefault="00517CD6" w:rsidP="00094591">
            <w:pPr>
              <w:spacing w:after="0" w:line="240" w:lineRule="auto"/>
              <w:ind w:right="175"/>
              <w:jc w:val="both"/>
              <w:rPr>
                <w:rFonts w:ascii="Times New Roman" w:eastAsia="Times New Roman" w:hAnsi="Times New Roman"/>
                <w:lang w:eastAsia="en-GB"/>
              </w:rPr>
            </w:pPr>
          </w:p>
          <w:p w:rsidR="00094591" w:rsidRPr="00094591"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 xml:space="preserve">Staff posted in a </w:t>
            </w:r>
            <w:r w:rsidRPr="007275A9">
              <w:rPr>
                <w:rFonts w:ascii="Times New Roman" w:eastAsia="Times New Roman" w:hAnsi="Times New Roman"/>
                <w:b/>
                <w:lang w:eastAsia="en-GB"/>
              </w:rPr>
              <w:t>European Union Delegation</w:t>
            </w:r>
            <w:r w:rsidRPr="00094591">
              <w:rPr>
                <w:rFonts w:ascii="Times New Roman" w:eastAsia="Times New Roman" w:hAnsi="Times New Roman"/>
                <w:lang w:eastAsia="en-GB"/>
              </w:rPr>
              <w:t xml:space="preserve"> are required to have a security clearance (up to SECRET UE level according to Commission Decision 2001/844/EC, ECSC, Euratom – O.J. E.U n° L 317 of 03.12.2001).</w:t>
            </w:r>
          </w:p>
          <w:p w:rsidR="00094591" w:rsidRPr="00FC590A"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lastRenderedPageBreak/>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BD751C" w:rsidRPr="00332F69" w:rsidTr="00232DDA">
        <w:trPr>
          <w:jc w:val="center"/>
        </w:trPr>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FC590A"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881495" w:rsidP="00BD751C">
            <w:pPr>
              <w:tabs>
                <w:tab w:val="center" w:pos="4153"/>
                <w:tab w:val="right" w:pos="8306"/>
              </w:tabs>
              <w:spacing w:after="0" w:line="240" w:lineRule="auto"/>
              <w:rPr>
                <w:rFonts w:ascii="Times New Roman" w:eastAsia="Times New Roman" w:hAnsi="Times New Roman"/>
                <w:b/>
                <w:lang w:val="fr-BE" w:eastAsia="en-GB"/>
              </w:rPr>
            </w:pPr>
            <w:r w:rsidRPr="00FC590A">
              <w:rPr>
                <w:rFonts w:ascii="Times New Roman" w:eastAsia="Times New Roman" w:hAnsi="Times New Roman"/>
                <w:b/>
                <w:lang w:val="fr-BE" w:eastAsia="en-GB"/>
              </w:rPr>
              <w:t>Processing of personal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AA491A" w:rsidRPr="00985D87"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AA491A" w:rsidRPr="004F5DE3"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rsidR="00AA491A" w:rsidRPr="004F5DE3" w:rsidRDefault="00AA491A" w:rsidP="00AA491A">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BD751C" w:rsidRPr="00FC590A"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rsidR="0048678D" w:rsidRPr="00CC0C6C" w:rsidRDefault="0048678D" w:rsidP="008366EA"/>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545" w:rsidRDefault="00065545" w:rsidP="00BD751C">
      <w:pPr>
        <w:spacing w:after="0" w:line="240" w:lineRule="auto"/>
      </w:pPr>
      <w:r>
        <w:separator/>
      </w:r>
    </w:p>
  </w:endnote>
  <w:endnote w:type="continuationSeparator" w:id="0">
    <w:p w:rsidR="00065545" w:rsidRDefault="0006554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545" w:rsidRDefault="00065545" w:rsidP="00BD751C">
      <w:pPr>
        <w:spacing w:after="0" w:line="240" w:lineRule="auto"/>
      </w:pPr>
      <w:r>
        <w:separator/>
      </w:r>
    </w:p>
  </w:footnote>
  <w:footnote w:type="continuationSeparator" w:id="0">
    <w:p w:rsidR="00065545" w:rsidRDefault="00065545"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12C1CB2"/>
    <w:multiLevelType w:val="hybridMultilevel"/>
    <w:tmpl w:val="407C567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6D5D"/>
    <w:rsid w:val="00054451"/>
    <w:rsid w:val="00057F4F"/>
    <w:rsid w:val="00065545"/>
    <w:rsid w:val="00092638"/>
    <w:rsid w:val="00094591"/>
    <w:rsid w:val="000A7427"/>
    <w:rsid w:val="000A7FC7"/>
    <w:rsid w:val="000E138F"/>
    <w:rsid w:val="001371CF"/>
    <w:rsid w:val="0014188F"/>
    <w:rsid w:val="001F14C1"/>
    <w:rsid w:val="00232DDA"/>
    <w:rsid w:val="00261EF9"/>
    <w:rsid w:val="00287D78"/>
    <w:rsid w:val="002935BA"/>
    <w:rsid w:val="002D5940"/>
    <w:rsid w:val="002E34CE"/>
    <w:rsid w:val="002E66AB"/>
    <w:rsid w:val="00332F69"/>
    <w:rsid w:val="00342D8C"/>
    <w:rsid w:val="00361696"/>
    <w:rsid w:val="00377E62"/>
    <w:rsid w:val="00387C71"/>
    <w:rsid w:val="003A0B80"/>
    <w:rsid w:val="003A4276"/>
    <w:rsid w:val="003B19B6"/>
    <w:rsid w:val="003C0504"/>
    <w:rsid w:val="00404B82"/>
    <w:rsid w:val="00437139"/>
    <w:rsid w:val="00441A99"/>
    <w:rsid w:val="00443B67"/>
    <w:rsid w:val="004506F7"/>
    <w:rsid w:val="00453D9E"/>
    <w:rsid w:val="0048678D"/>
    <w:rsid w:val="004B040B"/>
    <w:rsid w:val="004D36AF"/>
    <w:rsid w:val="005043D9"/>
    <w:rsid w:val="00517CD6"/>
    <w:rsid w:val="00536898"/>
    <w:rsid w:val="00545AD7"/>
    <w:rsid w:val="005516E0"/>
    <w:rsid w:val="00570D71"/>
    <w:rsid w:val="005B40EF"/>
    <w:rsid w:val="005E510E"/>
    <w:rsid w:val="00616596"/>
    <w:rsid w:val="006268C0"/>
    <w:rsid w:val="00651369"/>
    <w:rsid w:val="0065789A"/>
    <w:rsid w:val="00667E87"/>
    <w:rsid w:val="00684935"/>
    <w:rsid w:val="00686216"/>
    <w:rsid w:val="006C37C7"/>
    <w:rsid w:val="006D6539"/>
    <w:rsid w:val="006E030E"/>
    <w:rsid w:val="006F4CD6"/>
    <w:rsid w:val="0071040B"/>
    <w:rsid w:val="00726AF2"/>
    <w:rsid w:val="007275A9"/>
    <w:rsid w:val="00737799"/>
    <w:rsid w:val="007400CB"/>
    <w:rsid w:val="00745410"/>
    <w:rsid w:val="00781ECE"/>
    <w:rsid w:val="00786514"/>
    <w:rsid w:val="0079108E"/>
    <w:rsid w:val="00797278"/>
    <w:rsid w:val="007A5ECA"/>
    <w:rsid w:val="007D5339"/>
    <w:rsid w:val="007E3D82"/>
    <w:rsid w:val="007F2035"/>
    <w:rsid w:val="00804E7D"/>
    <w:rsid w:val="008366EA"/>
    <w:rsid w:val="008419C9"/>
    <w:rsid w:val="00856333"/>
    <w:rsid w:val="00860D8E"/>
    <w:rsid w:val="0087662B"/>
    <w:rsid w:val="00881495"/>
    <w:rsid w:val="008914EC"/>
    <w:rsid w:val="00895145"/>
    <w:rsid w:val="008B3217"/>
    <w:rsid w:val="008D1100"/>
    <w:rsid w:val="009505A9"/>
    <w:rsid w:val="00954C5F"/>
    <w:rsid w:val="009813D0"/>
    <w:rsid w:val="00985D87"/>
    <w:rsid w:val="009C2850"/>
    <w:rsid w:val="009F4E8C"/>
    <w:rsid w:val="00A119F9"/>
    <w:rsid w:val="00A138A4"/>
    <w:rsid w:val="00A17E3E"/>
    <w:rsid w:val="00A43842"/>
    <w:rsid w:val="00A65F14"/>
    <w:rsid w:val="00A859C6"/>
    <w:rsid w:val="00A96978"/>
    <w:rsid w:val="00AA491A"/>
    <w:rsid w:val="00AD7EB6"/>
    <w:rsid w:val="00AE1BE9"/>
    <w:rsid w:val="00AF65A6"/>
    <w:rsid w:val="00B1174B"/>
    <w:rsid w:val="00B13EBC"/>
    <w:rsid w:val="00B303BA"/>
    <w:rsid w:val="00B31B90"/>
    <w:rsid w:val="00BB2457"/>
    <w:rsid w:val="00BD751C"/>
    <w:rsid w:val="00BE1AE6"/>
    <w:rsid w:val="00BF1B0E"/>
    <w:rsid w:val="00BF50E6"/>
    <w:rsid w:val="00C22718"/>
    <w:rsid w:val="00C23619"/>
    <w:rsid w:val="00C3694E"/>
    <w:rsid w:val="00C45BDC"/>
    <w:rsid w:val="00C554F1"/>
    <w:rsid w:val="00C576B5"/>
    <w:rsid w:val="00C61183"/>
    <w:rsid w:val="00C8629F"/>
    <w:rsid w:val="00C87A97"/>
    <w:rsid w:val="00C9554A"/>
    <w:rsid w:val="00CA71F8"/>
    <w:rsid w:val="00CB1296"/>
    <w:rsid w:val="00CB3E07"/>
    <w:rsid w:val="00CC0C6C"/>
    <w:rsid w:val="00CE3DBA"/>
    <w:rsid w:val="00D226B0"/>
    <w:rsid w:val="00D4186B"/>
    <w:rsid w:val="00D47D64"/>
    <w:rsid w:val="00D65031"/>
    <w:rsid w:val="00DB3746"/>
    <w:rsid w:val="00E021F8"/>
    <w:rsid w:val="00E062C6"/>
    <w:rsid w:val="00E934A5"/>
    <w:rsid w:val="00E9672F"/>
    <w:rsid w:val="00EA29AF"/>
    <w:rsid w:val="00EB5828"/>
    <w:rsid w:val="00EE5CF7"/>
    <w:rsid w:val="00F67A3F"/>
    <w:rsid w:val="00F9050F"/>
    <w:rsid w:val="00FA342C"/>
    <w:rsid w:val="00FA406B"/>
    <w:rsid w:val="00FB7D09"/>
    <w:rsid w:val="00FC48AE"/>
    <w:rsid w:val="00FC590A"/>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Marco.Giorello@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69BA0-EACB-40C1-BB1C-403873761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10177</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11939</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2019-03-19T14:43:00Z</cp:lastPrinted>
  <dcterms:created xsi:type="dcterms:W3CDTF">2019-04-09T08:52:00Z</dcterms:created>
  <dcterms:modified xsi:type="dcterms:W3CDTF">2019-04-09T08:52:00Z</dcterms:modified>
</cp:coreProperties>
</file>