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AC7" w:rsidRPr="006C370A" w:rsidRDefault="006C370A" w:rsidP="001F3C83">
      <w:pPr>
        <w:ind w:right="1317"/>
        <w:jc w:val="center"/>
        <w:rPr>
          <w:b/>
        </w:rPr>
      </w:pPr>
      <w:bookmarkStart w:id="0" w:name="_GoBack"/>
      <w:bookmarkEnd w:id="0"/>
      <w:r w:rsidRPr="006C370A">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5pt;height:54.25pt;mso-position-horizontal-relative:char;mso-position-vertical-relative:line">
            <v:imagedata r:id="rId8" o:title=""/>
          </v:shape>
        </w:pict>
      </w:r>
    </w:p>
    <w:p w:rsidR="00E45131" w:rsidRPr="006C370A" w:rsidRDefault="00E45131" w:rsidP="00213AC7">
      <w:pPr>
        <w:spacing w:before="240"/>
        <w:ind w:right="1315"/>
        <w:jc w:val="center"/>
        <w:rPr>
          <w:b/>
        </w:rPr>
      </w:pPr>
      <w:r w:rsidRPr="006C370A">
        <w:rPr>
          <w:b/>
        </w:rPr>
        <w:t>AVIS DE VACANCE</w:t>
      </w:r>
      <w:r w:rsidR="00570F58" w:rsidRPr="006C370A">
        <w:rPr>
          <w:b/>
        </w:rPr>
        <w:br/>
      </w:r>
    </w:p>
    <w:p w:rsidR="00E45131" w:rsidRPr="006C370A" w:rsidRDefault="00E45131" w:rsidP="00EB347A">
      <w:pPr>
        <w:tabs>
          <w:tab w:val="left" w:pos="10065"/>
        </w:tabs>
        <w:ind w:right="1317"/>
        <w:jc w:val="center"/>
        <w:rPr>
          <w:b/>
        </w:rPr>
      </w:pPr>
      <w:r w:rsidRPr="006C370A">
        <w:rPr>
          <w:b/>
        </w:rPr>
        <w:t>EXPERT NATIONAL DETACHE</w:t>
      </w:r>
      <w:r w:rsidR="00C67062" w:rsidRPr="006C370A">
        <w:rPr>
          <w:b/>
        </w:rPr>
        <w:t xml:space="preserve"> A LA COMMISSION EUROPEENNE</w:t>
      </w:r>
    </w:p>
    <w:p w:rsidR="00D17D0C" w:rsidRPr="006C370A" w:rsidRDefault="00D17D0C" w:rsidP="00D17D0C">
      <w:pPr>
        <w:ind w:right="175"/>
        <w:rPr>
          <w:b/>
        </w:rPr>
      </w:pPr>
    </w:p>
    <w:p w:rsidR="00E45131" w:rsidRPr="006C370A" w:rsidRDefault="00E45131" w:rsidP="001F3C83">
      <w:pPr>
        <w:ind w:right="1317"/>
        <w:jc w:val="center"/>
        <w:rPr>
          <w:b/>
        </w:rPr>
      </w:pPr>
    </w:p>
    <w:tbl>
      <w:tblPr>
        <w:tblW w:w="9322" w:type="dxa"/>
        <w:tblLayout w:type="fixed"/>
        <w:tblLook w:val="01E0" w:firstRow="1" w:lastRow="1" w:firstColumn="1" w:lastColumn="1" w:noHBand="0" w:noVBand="0"/>
      </w:tblPr>
      <w:tblGrid>
        <w:gridCol w:w="392"/>
        <w:gridCol w:w="2693"/>
        <w:gridCol w:w="6223"/>
        <w:gridCol w:w="14"/>
      </w:tblGrid>
      <w:tr w:rsidR="00454010" w:rsidRPr="006C370A" w:rsidTr="00742A3B">
        <w:trPr>
          <w:gridAfter w:val="1"/>
          <w:wAfter w:w="14" w:type="dxa"/>
        </w:trPr>
        <w:tc>
          <w:tcPr>
            <w:tcW w:w="3085"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6C370A" w:rsidRDefault="00454010" w:rsidP="007F12AE">
            <w:pPr>
              <w:ind w:right="-1881"/>
              <w:rPr>
                <w:b/>
                <w:szCs w:val="24"/>
              </w:rPr>
            </w:pPr>
            <w:r w:rsidRPr="006C370A">
              <w:rPr>
                <w:b/>
                <w:szCs w:val="24"/>
              </w:rPr>
              <w:t>I</w:t>
            </w:r>
            <w:r w:rsidR="007F12AE" w:rsidRPr="006C370A">
              <w:rPr>
                <w:b/>
                <w:szCs w:val="24"/>
              </w:rPr>
              <w:t>ntitulé du poste</w:t>
            </w:r>
            <w:r w:rsidR="00407204" w:rsidRPr="006C370A">
              <w:rPr>
                <w:b/>
                <w:szCs w:val="24"/>
              </w:rPr>
              <w:t>:</w:t>
            </w:r>
            <w:r w:rsidRPr="006C370A">
              <w:rPr>
                <w:b/>
                <w:szCs w:val="24"/>
              </w:rPr>
              <w:br/>
            </w:r>
            <w:r w:rsidRPr="006C370A">
              <w:rPr>
                <w:szCs w:val="24"/>
              </w:rPr>
              <w:t>(DG-DIR-</w:t>
            </w:r>
            <w:r w:rsidR="00657080" w:rsidRPr="006C370A">
              <w:rPr>
                <w:szCs w:val="24"/>
              </w:rPr>
              <w:t>UNITE</w:t>
            </w:r>
            <w:r w:rsidR="00407204" w:rsidRPr="006C370A">
              <w:rPr>
                <w:szCs w:val="24"/>
              </w:rPr>
              <w:t>)</w:t>
            </w:r>
          </w:p>
        </w:tc>
        <w:tc>
          <w:tcPr>
            <w:tcW w:w="6223" w:type="dxa"/>
            <w:tcBorders>
              <w:top w:val="single" w:sz="4" w:space="0" w:color="auto"/>
              <w:left w:val="single" w:sz="4" w:space="0" w:color="auto"/>
              <w:bottom w:val="single" w:sz="4" w:space="0" w:color="auto"/>
              <w:right w:val="single" w:sz="4" w:space="0" w:color="auto"/>
            </w:tcBorders>
            <w:shd w:val="clear" w:color="auto" w:fill="auto"/>
          </w:tcPr>
          <w:p w:rsidR="00454010" w:rsidRPr="006C370A" w:rsidRDefault="00BE3F81" w:rsidP="00454010">
            <w:pPr>
              <w:spacing w:before="120"/>
              <w:ind w:right="1315"/>
              <w:jc w:val="both"/>
              <w:rPr>
                <w:b/>
              </w:rPr>
            </w:pPr>
            <w:r w:rsidRPr="006C370A">
              <w:rPr>
                <w:b/>
                <w:szCs w:val="24"/>
              </w:rPr>
              <w:t>FPI.</w:t>
            </w:r>
            <w:r w:rsidR="005266F4" w:rsidRPr="006C370A">
              <w:rPr>
                <w:b/>
                <w:szCs w:val="24"/>
              </w:rPr>
              <w:t>3</w:t>
            </w:r>
          </w:p>
        </w:tc>
      </w:tr>
      <w:tr w:rsidR="00DE6CF2" w:rsidRPr="006C370A" w:rsidTr="00742A3B">
        <w:trPr>
          <w:gridAfter w:val="1"/>
          <w:wAfter w:w="14" w:type="dxa"/>
        </w:trPr>
        <w:tc>
          <w:tcPr>
            <w:tcW w:w="392" w:type="dxa"/>
            <w:tcBorders>
              <w:top w:val="single" w:sz="4" w:space="0" w:color="auto"/>
              <w:left w:val="single" w:sz="4" w:space="0" w:color="auto"/>
            </w:tcBorders>
            <w:shd w:val="clear" w:color="auto" w:fill="auto"/>
          </w:tcPr>
          <w:p w:rsidR="00DE6CF2" w:rsidRPr="006C370A" w:rsidRDefault="00DE6CF2" w:rsidP="0059779D">
            <w:pPr>
              <w:ind w:right="1317"/>
              <w:jc w:val="both"/>
              <w:rPr>
                <w:b/>
                <w:sz w:val="20"/>
              </w:rPr>
            </w:pPr>
          </w:p>
        </w:tc>
        <w:tc>
          <w:tcPr>
            <w:tcW w:w="2693" w:type="dxa"/>
            <w:tcBorders>
              <w:top w:val="single" w:sz="4" w:space="0" w:color="auto"/>
              <w:right w:val="single" w:sz="4" w:space="0" w:color="auto"/>
            </w:tcBorders>
            <w:shd w:val="clear" w:color="auto" w:fill="auto"/>
          </w:tcPr>
          <w:p w:rsidR="00DE6CF2" w:rsidRPr="006C370A" w:rsidRDefault="00DE6CF2" w:rsidP="0059779D">
            <w:pPr>
              <w:tabs>
                <w:tab w:val="left" w:pos="1697"/>
              </w:tabs>
              <w:ind w:right="-1739"/>
              <w:jc w:val="both"/>
              <w:rPr>
                <w:b/>
                <w:sz w:val="20"/>
              </w:rPr>
            </w:pPr>
            <w:r w:rsidRPr="006C370A">
              <w:rPr>
                <w:b/>
                <w:sz w:val="20"/>
              </w:rPr>
              <w:t>Direction générale :</w:t>
            </w:r>
          </w:p>
          <w:p w:rsidR="00DE6CF2" w:rsidRPr="006C370A" w:rsidRDefault="00DE6CF2" w:rsidP="0059779D">
            <w:pPr>
              <w:tabs>
                <w:tab w:val="left" w:pos="1697"/>
              </w:tabs>
              <w:ind w:right="-1739"/>
              <w:jc w:val="both"/>
              <w:rPr>
                <w:b/>
                <w:sz w:val="20"/>
              </w:rPr>
            </w:pPr>
            <w:r w:rsidRPr="006C370A">
              <w:rPr>
                <w:b/>
                <w:sz w:val="20"/>
              </w:rPr>
              <w:t>Direction :</w:t>
            </w:r>
          </w:p>
          <w:p w:rsidR="00DE6CF2" w:rsidRPr="006C370A" w:rsidRDefault="00DE6CF2" w:rsidP="0059779D">
            <w:pPr>
              <w:tabs>
                <w:tab w:val="left" w:pos="1697"/>
              </w:tabs>
              <w:ind w:right="-1739"/>
              <w:jc w:val="both"/>
              <w:rPr>
                <w:b/>
                <w:sz w:val="20"/>
              </w:rPr>
            </w:pPr>
            <w:r w:rsidRPr="006C370A">
              <w:rPr>
                <w:b/>
                <w:sz w:val="20"/>
              </w:rPr>
              <w:t>Unité :</w:t>
            </w:r>
          </w:p>
          <w:p w:rsidR="0054605D" w:rsidRPr="006C370A" w:rsidRDefault="0054605D" w:rsidP="0059779D">
            <w:pPr>
              <w:tabs>
                <w:tab w:val="left" w:pos="1697"/>
              </w:tabs>
              <w:ind w:right="-1739"/>
              <w:jc w:val="both"/>
              <w:rPr>
                <w:b/>
                <w:sz w:val="20"/>
              </w:rPr>
            </w:pPr>
          </w:p>
        </w:tc>
        <w:tc>
          <w:tcPr>
            <w:tcW w:w="6223" w:type="dxa"/>
            <w:vMerge w:val="restart"/>
            <w:tcBorders>
              <w:top w:val="single" w:sz="4" w:space="0" w:color="auto"/>
              <w:left w:val="single" w:sz="4" w:space="0" w:color="auto"/>
              <w:right w:val="single" w:sz="4" w:space="0" w:color="auto"/>
            </w:tcBorders>
            <w:shd w:val="clear" w:color="auto" w:fill="auto"/>
          </w:tcPr>
          <w:p w:rsidR="00DE6CF2" w:rsidRPr="006C370A" w:rsidRDefault="0054605D" w:rsidP="0059779D">
            <w:pPr>
              <w:ind w:right="1317"/>
              <w:jc w:val="both"/>
              <w:rPr>
                <w:b/>
              </w:rPr>
            </w:pPr>
            <w:r w:rsidRPr="006C370A">
              <w:rPr>
                <w:b/>
                <w:sz w:val="20"/>
              </w:rPr>
              <w:t xml:space="preserve">Service </w:t>
            </w:r>
            <w:r w:rsidR="007C786A" w:rsidRPr="006C370A">
              <w:rPr>
                <w:b/>
                <w:sz w:val="20"/>
              </w:rPr>
              <w:t>d</w:t>
            </w:r>
            <w:r w:rsidRPr="006C370A">
              <w:rPr>
                <w:b/>
                <w:sz w:val="20"/>
              </w:rPr>
              <w:t>es</w:t>
            </w:r>
            <w:r w:rsidRPr="006C370A">
              <w:rPr>
                <w:b/>
              </w:rPr>
              <w:t xml:space="preserve"> </w:t>
            </w:r>
            <w:r w:rsidRPr="006C370A">
              <w:rPr>
                <w:b/>
                <w:sz w:val="20"/>
              </w:rPr>
              <w:t>Instruments de politique étrangère</w:t>
            </w:r>
          </w:p>
          <w:p w:rsidR="001E30F0" w:rsidRPr="006C370A" w:rsidRDefault="001E30F0" w:rsidP="0059779D">
            <w:pPr>
              <w:ind w:right="1317"/>
              <w:jc w:val="both"/>
              <w:rPr>
                <w:b/>
              </w:rPr>
            </w:pPr>
          </w:p>
          <w:p w:rsidR="001E30F0" w:rsidRPr="006C370A" w:rsidRDefault="004F3943" w:rsidP="007C786A">
            <w:pPr>
              <w:ind w:right="159"/>
              <w:jc w:val="both"/>
              <w:rPr>
                <w:b/>
              </w:rPr>
            </w:pPr>
            <w:r w:rsidRPr="006C370A">
              <w:rPr>
                <w:b/>
                <w:sz w:val="20"/>
              </w:rPr>
              <w:t>FPI.3</w:t>
            </w:r>
            <w:r w:rsidR="0054605D" w:rsidRPr="006C370A">
              <w:rPr>
                <w:b/>
                <w:sz w:val="20"/>
              </w:rPr>
              <w:t xml:space="preserve"> </w:t>
            </w:r>
            <w:r w:rsidR="005266F4" w:rsidRPr="006C370A">
              <w:rPr>
                <w:b/>
                <w:sz w:val="20"/>
              </w:rPr>
              <w:t>–</w:t>
            </w:r>
            <w:r w:rsidR="0054605D" w:rsidRPr="006C370A">
              <w:rPr>
                <w:b/>
                <w:sz w:val="20"/>
              </w:rPr>
              <w:t xml:space="preserve"> </w:t>
            </w:r>
            <w:r w:rsidR="00CD654F" w:rsidRPr="006C370A">
              <w:rPr>
                <w:b/>
                <w:sz w:val="20"/>
              </w:rPr>
              <w:t xml:space="preserve">Opérations de </w:t>
            </w:r>
            <w:r w:rsidR="00A2450C" w:rsidRPr="006C370A">
              <w:rPr>
                <w:b/>
                <w:sz w:val="20"/>
              </w:rPr>
              <w:t xml:space="preserve">Politique Étrangère </w:t>
            </w:r>
            <w:r w:rsidR="007C786A" w:rsidRPr="006C370A">
              <w:rPr>
                <w:b/>
                <w:sz w:val="20"/>
              </w:rPr>
              <w:t xml:space="preserve">et de sécurité commune </w:t>
            </w:r>
            <w:r w:rsidR="00A2450C" w:rsidRPr="006C370A">
              <w:rPr>
                <w:b/>
                <w:sz w:val="20"/>
              </w:rPr>
              <w:t>(</w:t>
            </w:r>
            <w:r w:rsidR="007C786A" w:rsidRPr="006C370A">
              <w:rPr>
                <w:b/>
                <w:sz w:val="20"/>
              </w:rPr>
              <w:t>PESC</w:t>
            </w:r>
            <w:r w:rsidR="00A2450C" w:rsidRPr="006C370A">
              <w:rPr>
                <w:b/>
                <w:sz w:val="20"/>
              </w:rPr>
              <w:t xml:space="preserve">) et </w:t>
            </w:r>
            <w:r w:rsidR="007C786A" w:rsidRPr="006C370A">
              <w:rPr>
                <w:b/>
                <w:sz w:val="20"/>
              </w:rPr>
              <w:t xml:space="preserve">Observation électorale </w:t>
            </w:r>
            <w:r w:rsidR="00A2450C" w:rsidRPr="006C370A">
              <w:rPr>
                <w:b/>
                <w:sz w:val="20"/>
              </w:rPr>
              <w:t>(EOM)</w:t>
            </w:r>
          </w:p>
          <w:p w:rsidR="0054605D" w:rsidRPr="006C370A" w:rsidRDefault="005266F4" w:rsidP="0059779D">
            <w:pPr>
              <w:ind w:right="1317"/>
              <w:jc w:val="both"/>
              <w:rPr>
                <w:b/>
                <w:sz w:val="20"/>
                <w:lang w:val="de-DE"/>
              </w:rPr>
            </w:pPr>
            <w:r w:rsidRPr="006C370A">
              <w:rPr>
                <w:b/>
                <w:sz w:val="20"/>
                <w:lang w:val="de-DE"/>
              </w:rPr>
              <w:t xml:space="preserve">Heike GERSTBREIN </w:t>
            </w:r>
          </w:p>
          <w:p w:rsidR="001E30F0" w:rsidRPr="006C370A" w:rsidRDefault="005266F4" w:rsidP="0059779D">
            <w:pPr>
              <w:ind w:right="1317"/>
              <w:jc w:val="both"/>
              <w:rPr>
                <w:b/>
                <w:lang w:val="de-DE"/>
              </w:rPr>
            </w:pPr>
            <w:r w:rsidRPr="006C370A">
              <w:rPr>
                <w:b/>
                <w:sz w:val="20"/>
                <w:lang w:val="de-DE"/>
              </w:rPr>
              <w:t>Heike.gerstbrein</w:t>
            </w:r>
            <w:r w:rsidR="001E30F0" w:rsidRPr="006C370A">
              <w:rPr>
                <w:b/>
                <w:sz w:val="20"/>
                <w:lang w:val="de-DE"/>
              </w:rPr>
              <w:t>@ec.europa.eu</w:t>
            </w:r>
          </w:p>
          <w:p w:rsidR="001E30F0" w:rsidRPr="006C370A" w:rsidRDefault="001E30F0" w:rsidP="0059779D">
            <w:pPr>
              <w:ind w:right="1317"/>
              <w:jc w:val="both"/>
              <w:rPr>
                <w:b/>
                <w:sz w:val="20"/>
              </w:rPr>
            </w:pPr>
            <w:r w:rsidRPr="006C370A">
              <w:rPr>
                <w:b/>
                <w:sz w:val="20"/>
              </w:rPr>
              <w:t>+32 2 29</w:t>
            </w:r>
            <w:r w:rsidR="005266F4" w:rsidRPr="006C370A">
              <w:rPr>
                <w:b/>
                <w:sz w:val="20"/>
              </w:rPr>
              <w:t>90161</w:t>
            </w:r>
          </w:p>
        </w:tc>
      </w:tr>
      <w:tr w:rsidR="00DE6CF2" w:rsidRPr="006C370A" w:rsidTr="00742A3B">
        <w:trPr>
          <w:gridAfter w:val="1"/>
          <w:wAfter w:w="14" w:type="dxa"/>
        </w:trPr>
        <w:tc>
          <w:tcPr>
            <w:tcW w:w="392" w:type="dxa"/>
            <w:tcBorders>
              <w:left w:val="single" w:sz="4" w:space="0" w:color="auto"/>
            </w:tcBorders>
            <w:shd w:val="clear" w:color="auto" w:fill="auto"/>
          </w:tcPr>
          <w:p w:rsidR="00DE6CF2" w:rsidRPr="006C370A" w:rsidRDefault="00DE6CF2" w:rsidP="0059779D">
            <w:pPr>
              <w:ind w:right="1317"/>
              <w:jc w:val="both"/>
              <w:rPr>
                <w:b/>
                <w:sz w:val="20"/>
              </w:rPr>
            </w:pPr>
          </w:p>
        </w:tc>
        <w:tc>
          <w:tcPr>
            <w:tcW w:w="2693" w:type="dxa"/>
            <w:tcBorders>
              <w:right w:val="single" w:sz="4" w:space="0" w:color="auto"/>
            </w:tcBorders>
            <w:shd w:val="clear" w:color="auto" w:fill="auto"/>
          </w:tcPr>
          <w:p w:rsidR="00DE6CF2" w:rsidRPr="006C370A" w:rsidRDefault="00DE6CF2" w:rsidP="0059779D">
            <w:pPr>
              <w:tabs>
                <w:tab w:val="left" w:pos="1697"/>
              </w:tabs>
              <w:ind w:right="-1739"/>
              <w:jc w:val="both"/>
              <w:rPr>
                <w:b/>
                <w:sz w:val="20"/>
              </w:rPr>
            </w:pPr>
            <w:r w:rsidRPr="006C370A">
              <w:rPr>
                <w:b/>
                <w:sz w:val="20"/>
              </w:rPr>
              <w:t>Chef d’unité :</w:t>
            </w:r>
          </w:p>
          <w:p w:rsidR="00DE6CF2" w:rsidRPr="006C370A" w:rsidRDefault="00DE6CF2" w:rsidP="0059779D">
            <w:pPr>
              <w:tabs>
                <w:tab w:val="left" w:pos="1697"/>
              </w:tabs>
              <w:ind w:right="-1739"/>
              <w:jc w:val="both"/>
              <w:rPr>
                <w:b/>
                <w:sz w:val="20"/>
              </w:rPr>
            </w:pPr>
            <w:r w:rsidRPr="006C370A">
              <w:rPr>
                <w:b/>
                <w:sz w:val="20"/>
              </w:rPr>
              <w:t>Adresse e-mail :</w:t>
            </w:r>
          </w:p>
        </w:tc>
        <w:tc>
          <w:tcPr>
            <w:tcW w:w="6223" w:type="dxa"/>
            <w:vMerge/>
            <w:tcBorders>
              <w:left w:val="single" w:sz="4" w:space="0" w:color="auto"/>
              <w:right w:val="single" w:sz="4" w:space="0" w:color="auto"/>
            </w:tcBorders>
            <w:shd w:val="clear" w:color="auto" w:fill="auto"/>
          </w:tcPr>
          <w:p w:rsidR="00DE6CF2" w:rsidRPr="006C370A" w:rsidRDefault="00DE6CF2" w:rsidP="0059779D">
            <w:pPr>
              <w:ind w:right="1317"/>
              <w:jc w:val="both"/>
              <w:rPr>
                <w:b/>
              </w:rPr>
            </w:pPr>
          </w:p>
        </w:tc>
      </w:tr>
      <w:tr w:rsidR="00DE6CF2" w:rsidRPr="006C370A" w:rsidTr="00742A3B">
        <w:trPr>
          <w:gridAfter w:val="1"/>
          <w:wAfter w:w="14" w:type="dxa"/>
        </w:trPr>
        <w:tc>
          <w:tcPr>
            <w:tcW w:w="392" w:type="dxa"/>
            <w:tcBorders>
              <w:left w:val="single" w:sz="4" w:space="0" w:color="auto"/>
            </w:tcBorders>
            <w:shd w:val="clear" w:color="auto" w:fill="auto"/>
          </w:tcPr>
          <w:p w:rsidR="00DE6CF2" w:rsidRPr="006C370A" w:rsidRDefault="00DE6CF2" w:rsidP="0059779D">
            <w:pPr>
              <w:ind w:right="1317"/>
              <w:jc w:val="both"/>
              <w:rPr>
                <w:b/>
                <w:sz w:val="20"/>
              </w:rPr>
            </w:pPr>
          </w:p>
        </w:tc>
        <w:tc>
          <w:tcPr>
            <w:tcW w:w="2693" w:type="dxa"/>
            <w:tcBorders>
              <w:right w:val="single" w:sz="4" w:space="0" w:color="auto"/>
            </w:tcBorders>
            <w:shd w:val="clear" w:color="auto" w:fill="auto"/>
          </w:tcPr>
          <w:p w:rsidR="00DE6CF2" w:rsidRPr="006C370A" w:rsidRDefault="00DE6CF2" w:rsidP="0059779D">
            <w:pPr>
              <w:tabs>
                <w:tab w:val="left" w:pos="1697"/>
              </w:tabs>
              <w:ind w:right="-1739"/>
              <w:jc w:val="both"/>
              <w:rPr>
                <w:b/>
                <w:sz w:val="20"/>
              </w:rPr>
            </w:pPr>
            <w:r w:rsidRPr="006C370A">
              <w:rPr>
                <w:b/>
                <w:sz w:val="20"/>
              </w:rPr>
              <w:t>Téléphone :</w:t>
            </w:r>
          </w:p>
        </w:tc>
        <w:tc>
          <w:tcPr>
            <w:tcW w:w="6223" w:type="dxa"/>
            <w:vMerge/>
            <w:tcBorders>
              <w:left w:val="single" w:sz="4" w:space="0" w:color="auto"/>
              <w:right w:val="single" w:sz="4" w:space="0" w:color="auto"/>
            </w:tcBorders>
            <w:shd w:val="clear" w:color="auto" w:fill="auto"/>
          </w:tcPr>
          <w:p w:rsidR="00DE6CF2" w:rsidRPr="006C370A" w:rsidRDefault="00DE6CF2" w:rsidP="0059779D">
            <w:pPr>
              <w:ind w:right="1317"/>
              <w:jc w:val="both"/>
              <w:rPr>
                <w:b/>
                <w:sz w:val="20"/>
              </w:rPr>
            </w:pPr>
          </w:p>
        </w:tc>
      </w:tr>
      <w:tr w:rsidR="002F757B" w:rsidRPr="006C370A" w:rsidTr="00742A3B">
        <w:trPr>
          <w:gridAfter w:val="1"/>
          <w:wAfter w:w="14" w:type="dxa"/>
        </w:trPr>
        <w:tc>
          <w:tcPr>
            <w:tcW w:w="392" w:type="dxa"/>
            <w:tcBorders>
              <w:left w:val="single" w:sz="4" w:space="0" w:color="auto"/>
            </w:tcBorders>
            <w:shd w:val="clear" w:color="auto" w:fill="auto"/>
          </w:tcPr>
          <w:p w:rsidR="002F757B" w:rsidRPr="006C370A" w:rsidRDefault="002F757B" w:rsidP="0059779D">
            <w:pPr>
              <w:ind w:right="1317"/>
              <w:jc w:val="both"/>
              <w:rPr>
                <w:b/>
                <w:sz w:val="20"/>
              </w:rPr>
            </w:pPr>
          </w:p>
        </w:tc>
        <w:tc>
          <w:tcPr>
            <w:tcW w:w="2693" w:type="dxa"/>
            <w:tcBorders>
              <w:right w:val="single" w:sz="4" w:space="0" w:color="auto"/>
            </w:tcBorders>
            <w:shd w:val="clear" w:color="auto" w:fill="auto"/>
          </w:tcPr>
          <w:p w:rsidR="002F757B" w:rsidRPr="006C370A" w:rsidRDefault="002F757B" w:rsidP="0059779D">
            <w:pPr>
              <w:tabs>
                <w:tab w:val="left" w:pos="1697"/>
              </w:tabs>
              <w:ind w:right="-1739"/>
              <w:jc w:val="both"/>
              <w:rPr>
                <w:b/>
                <w:sz w:val="20"/>
              </w:rPr>
            </w:pPr>
          </w:p>
        </w:tc>
        <w:tc>
          <w:tcPr>
            <w:tcW w:w="6223" w:type="dxa"/>
            <w:tcBorders>
              <w:right w:val="single" w:sz="4" w:space="0" w:color="auto"/>
            </w:tcBorders>
            <w:shd w:val="clear" w:color="auto" w:fill="auto"/>
          </w:tcPr>
          <w:p w:rsidR="002F757B" w:rsidRPr="006C370A" w:rsidRDefault="002F757B" w:rsidP="0059779D">
            <w:pPr>
              <w:tabs>
                <w:tab w:val="left" w:pos="1697"/>
              </w:tabs>
              <w:ind w:right="-1739"/>
              <w:jc w:val="both"/>
              <w:rPr>
                <w:b/>
                <w:sz w:val="20"/>
              </w:rPr>
            </w:pPr>
          </w:p>
        </w:tc>
      </w:tr>
      <w:tr w:rsidR="003639FD" w:rsidRPr="006C370A" w:rsidTr="00742A3B">
        <w:trPr>
          <w:gridAfter w:val="1"/>
          <w:wAfter w:w="14" w:type="dxa"/>
        </w:trPr>
        <w:tc>
          <w:tcPr>
            <w:tcW w:w="392" w:type="dxa"/>
            <w:tcBorders>
              <w:left w:val="single" w:sz="4" w:space="0" w:color="auto"/>
            </w:tcBorders>
            <w:shd w:val="clear" w:color="auto" w:fill="auto"/>
          </w:tcPr>
          <w:p w:rsidR="003639FD" w:rsidRPr="006C370A" w:rsidRDefault="003639FD" w:rsidP="0059779D">
            <w:pPr>
              <w:ind w:right="1317"/>
              <w:jc w:val="both"/>
              <w:rPr>
                <w:b/>
                <w:sz w:val="20"/>
              </w:rPr>
            </w:pPr>
          </w:p>
        </w:tc>
        <w:tc>
          <w:tcPr>
            <w:tcW w:w="2693" w:type="dxa"/>
            <w:tcBorders>
              <w:left w:val="nil"/>
              <w:right w:val="single" w:sz="4" w:space="0" w:color="auto"/>
            </w:tcBorders>
            <w:shd w:val="clear" w:color="auto" w:fill="auto"/>
          </w:tcPr>
          <w:p w:rsidR="003639FD" w:rsidRPr="006C370A" w:rsidRDefault="00C41FD8" w:rsidP="0059779D">
            <w:pPr>
              <w:tabs>
                <w:tab w:val="left" w:pos="1697"/>
              </w:tabs>
              <w:ind w:right="-1739"/>
              <w:jc w:val="both"/>
              <w:rPr>
                <w:b/>
                <w:sz w:val="20"/>
              </w:rPr>
            </w:pPr>
            <w:r w:rsidRPr="006C370A">
              <w:rPr>
                <w:b/>
                <w:sz w:val="20"/>
              </w:rPr>
              <w:t>Nombre de postes disponibles:</w:t>
            </w:r>
          </w:p>
        </w:tc>
        <w:tc>
          <w:tcPr>
            <w:tcW w:w="6223" w:type="dxa"/>
            <w:tcBorders>
              <w:left w:val="single" w:sz="4" w:space="0" w:color="auto"/>
              <w:right w:val="single" w:sz="4" w:space="0" w:color="auto"/>
            </w:tcBorders>
            <w:shd w:val="clear" w:color="auto" w:fill="auto"/>
          </w:tcPr>
          <w:p w:rsidR="003639FD" w:rsidRPr="006C370A" w:rsidRDefault="0054605D" w:rsidP="0059779D">
            <w:pPr>
              <w:ind w:left="34" w:right="1317"/>
              <w:jc w:val="both"/>
              <w:rPr>
                <w:b/>
                <w:sz w:val="20"/>
              </w:rPr>
            </w:pPr>
            <w:r w:rsidRPr="006C370A">
              <w:rPr>
                <w:b/>
                <w:sz w:val="20"/>
              </w:rPr>
              <w:t>1</w:t>
            </w:r>
          </w:p>
        </w:tc>
      </w:tr>
      <w:tr w:rsidR="00C41FD8" w:rsidRPr="006C370A" w:rsidTr="00742A3B">
        <w:trPr>
          <w:gridAfter w:val="1"/>
          <w:wAfter w:w="14" w:type="dxa"/>
        </w:trPr>
        <w:tc>
          <w:tcPr>
            <w:tcW w:w="392" w:type="dxa"/>
            <w:tcBorders>
              <w:left w:val="single" w:sz="4" w:space="0" w:color="auto"/>
            </w:tcBorders>
            <w:shd w:val="clear" w:color="auto" w:fill="auto"/>
          </w:tcPr>
          <w:p w:rsidR="00C41FD8" w:rsidRPr="006C370A" w:rsidRDefault="00C41FD8" w:rsidP="0059779D">
            <w:pPr>
              <w:ind w:right="1317"/>
              <w:jc w:val="both"/>
              <w:rPr>
                <w:b/>
                <w:sz w:val="20"/>
              </w:rPr>
            </w:pPr>
          </w:p>
        </w:tc>
        <w:tc>
          <w:tcPr>
            <w:tcW w:w="2693" w:type="dxa"/>
            <w:tcBorders>
              <w:right w:val="single" w:sz="4" w:space="0" w:color="auto"/>
            </w:tcBorders>
            <w:shd w:val="clear" w:color="auto" w:fill="auto"/>
          </w:tcPr>
          <w:p w:rsidR="000230DA" w:rsidRPr="006C370A" w:rsidRDefault="000230DA" w:rsidP="0059779D">
            <w:pPr>
              <w:tabs>
                <w:tab w:val="left" w:pos="1697"/>
              </w:tabs>
              <w:ind w:right="-1739"/>
              <w:jc w:val="both"/>
              <w:rPr>
                <w:b/>
                <w:sz w:val="20"/>
              </w:rPr>
            </w:pPr>
            <w:r w:rsidRPr="006C370A">
              <w:rPr>
                <w:b/>
                <w:sz w:val="20"/>
              </w:rPr>
              <w:t>Catégorie</w:t>
            </w:r>
          </w:p>
          <w:p w:rsidR="00C41FD8" w:rsidRPr="006C370A" w:rsidRDefault="00C41FD8" w:rsidP="0059779D">
            <w:pPr>
              <w:tabs>
                <w:tab w:val="left" w:pos="1697"/>
              </w:tabs>
              <w:ind w:right="-1739"/>
              <w:jc w:val="both"/>
              <w:rPr>
                <w:b/>
                <w:sz w:val="20"/>
              </w:rPr>
            </w:pPr>
            <w:r w:rsidRPr="006C370A">
              <w:rPr>
                <w:b/>
                <w:sz w:val="20"/>
              </w:rPr>
              <w:t>Prise de fonction souhaitée :</w:t>
            </w:r>
          </w:p>
          <w:p w:rsidR="00625DED" w:rsidRPr="006C370A" w:rsidRDefault="00625DED" w:rsidP="0059779D">
            <w:pPr>
              <w:tabs>
                <w:tab w:val="left" w:pos="1697"/>
              </w:tabs>
              <w:ind w:right="-1739"/>
              <w:jc w:val="both"/>
              <w:rPr>
                <w:b/>
                <w:sz w:val="20"/>
              </w:rPr>
            </w:pPr>
            <w:r w:rsidRPr="006C370A">
              <w:rPr>
                <w:b/>
                <w:sz w:val="20"/>
              </w:rPr>
              <w:t>Durée initiale souhaitée</w:t>
            </w:r>
          </w:p>
        </w:tc>
        <w:tc>
          <w:tcPr>
            <w:tcW w:w="6223" w:type="dxa"/>
            <w:tcBorders>
              <w:left w:val="single" w:sz="4" w:space="0" w:color="auto"/>
              <w:right w:val="single" w:sz="4" w:space="0" w:color="auto"/>
            </w:tcBorders>
            <w:shd w:val="clear" w:color="auto" w:fill="auto"/>
          </w:tcPr>
          <w:p w:rsidR="001E30F0" w:rsidRPr="006C370A" w:rsidRDefault="007C786A" w:rsidP="001E30F0">
            <w:pPr>
              <w:ind w:left="34" w:right="1317"/>
              <w:jc w:val="both"/>
              <w:rPr>
                <w:b/>
                <w:sz w:val="20"/>
              </w:rPr>
            </w:pPr>
            <w:r w:rsidRPr="006C370A">
              <w:rPr>
                <w:b/>
                <w:sz w:val="20"/>
              </w:rPr>
              <w:t>Administrateur</w:t>
            </w:r>
            <w:r w:rsidR="005266F4" w:rsidRPr="006C370A">
              <w:rPr>
                <w:b/>
                <w:sz w:val="20"/>
              </w:rPr>
              <w:t xml:space="preserve"> (</w:t>
            </w:r>
            <w:r w:rsidRPr="006C370A">
              <w:rPr>
                <w:b/>
                <w:sz w:val="20"/>
              </w:rPr>
              <w:t>AD</w:t>
            </w:r>
            <w:r w:rsidR="005266F4" w:rsidRPr="006C370A">
              <w:rPr>
                <w:b/>
                <w:sz w:val="20"/>
              </w:rPr>
              <w:t>)</w:t>
            </w:r>
          </w:p>
          <w:p w:rsidR="001E30F0" w:rsidRPr="006C370A" w:rsidRDefault="00677D9B" w:rsidP="00742A3B">
            <w:pPr>
              <w:ind w:right="1317"/>
              <w:jc w:val="both"/>
              <w:rPr>
                <w:b/>
                <w:sz w:val="20"/>
              </w:rPr>
            </w:pPr>
            <w:r w:rsidRPr="006C370A">
              <w:rPr>
                <w:b/>
                <w:sz w:val="20"/>
              </w:rPr>
              <w:t>3</w:t>
            </w:r>
            <w:r w:rsidRPr="006C370A">
              <w:rPr>
                <w:b/>
                <w:sz w:val="20"/>
                <w:vertAlign w:val="superscript"/>
              </w:rPr>
              <w:t>e</w:t>
            </w:r>
            <w:r w:rsidR="008C0C65" w:rsidRPr="006C370A">
              <w:rPr>
                <w:b/>
                <w:sz w:val="20"/>
              </w:rPr>
              <w:t xml:space="preserve"> </w:t>
            </w:r>
            <w:r w:rsidRPr="006C370A">
              <w:rPr>
                <w:b/>
                <w:sz w:val="20"/>
              </w:rPr>
              <w:t>quart</w:t>
            </w:r>
            <w:r w:rsidR="001E30F0" w:rsidRPr="006C370A">
              <w:rPr>
                <w:b/>
                <w:sz w:val="20"/>
              </w:rPr>
              <w:t xml:space="preserve"> 20</w:t>
            </w:r>
            <w:r w:rsidR="0054605D" w:rsidRPr="006C370A">
              <w:rPr>
                <w:b/>
                <w:sz w:val="20"/>
              </w:rPr>
              <w:t>1</w:t>
            </w:r>
            <w:r w:rsidR="005266F4" w:rsidRPr="006C370A">
              <w:rPr>
                <w:b/>
                <w:sz w:val="20"/>
              </w:rPr>
              <w:t>9</w:t>
            </w:r>
            <w:r w:rsidR="001E30F0" w:rsidRPr="006C370A">
              <w:rPr>
                <w:rStyle w:val="FootnoteReference"/>
                <w:b/>
                <w:sz w:val="20"/>
                <w:lang w:val="de-DE"/>
              </w:rPr>
              <w:footnoteReference w:id="1"/>
            </w:r>
          </w:p>
          <w:p w:rsidR="00625DED" w:rsidRPr="006C370A" w:rsidRDefault="00677D9B" w:rsidP="001E30F0">
            <w:pPr>
              <w:ind w:right="1317"/>
              <w:jc w:val="both"/>
              <w:rPr>
                <w:b/>
                <w:sz w:val="20"/>
              </w:rPr>
            </w:pPr>
            <w:r w:rsidRPr="006C370A">
              <w:rPr>
                <w:b/>
                <w:sz w:val="20"/>
              </w:rPr>
              <w:t>2</w:t>
            </w:r>
            <w:r w:rsidR="0054605D" w:rsidRPr="006C370A">
              <w:rPr>
                <w:b/>
                <w:sz w:val="20"/>
              </w:rPr>
              <w:t xml:space="preserve"> année</w:t>
            </w:r>
            <w:r w:rsidRPr="006C370A">
              <w:rPr>
                <w:b/>
                <w:sz w:val="20"/>
              </w:rPr>
              <w:t>s</w:t>
            </w:r>
            <w:r w:rsidR="0054605D" w:rsidRPr="006C370A">
              <w:rPr>
                <w:b/>
                <w:sz w:val="20"/>
                <w:vertAlign w:val="superscript"/>
              </w:rPr>
              <w:t>1</w:t>
            </w:r>
            <w:r w:rsidR="0054605D" w:rsidRPr="006C370A">
              <w:rPr>
                <w:b/>
                <w:sz w:val="20"/>
              </w:rPr>
              <w:t>, avec prorogation possible jusqu'à 4 années</w:t>
            </w:r>
          </w:p>
        </w:tc>
      </w:tr>
      <w:tr w:rsidR="00C41FD8" w:rsidRPr="006C370A" w:rsidTr="00742A3B">
        <w:trPr>
          <w:gridAfter w:val="1"/>
          <w:wAfter w:w="14" w:type="dxa"/>
        </w:trPr>
        <w:tc>
          <w:tcPr>
            <w:tcW w:w="392" w:type="dxa"/>
            <w:tcBorders>
              <w:left w:val="single" w:sz="4" w:space="0" w:color="auto"/>
              <w:bottom w:val="single" w:sz="4" w:space="0" w:color="auto"/>
            </w:tcBorders>
            <w:shd w:val="clear" w:color="auto" w:fill="auto"/>
          </w:tcPr>
          <w:p w:rsidR="00C41FD8" w:rsidRPr="006C370A" w:rsidRDefault="00C41FD8" w:rsidP="0059779D">
            <w:pPr>
              <w:ind w:right="1317"/>
              <w:jc w:val="both"/>
              <w:rPr>
                <w:b/>
                <w:sz w:val="20"/>
              </w:rPr>
            </w:pPr>
          </w:p>
        </w:tc>
        <w:tc>
          <w:tcPr>
            <w:tcW w:w="2693" w:type="dxa"/>
            <w:tcBorders>
              <w:bottom w:val="single" w:sz="4" w:space="0" w:color="auto"/>
              <w:right w:val="single" w:sz="4" w:space="0" w:color="auto"/>
            </w:tcBorders>
            <w:shd w:val="clear" w:color="auto" w:fill="auto"/>
          </w:tcPr>
          <w:p w:rsidR="00C41FD8" w:rsidRPr="006C370A" w:rsidRDefault="00C41FD8" w:rsidP="0059779D">
            <w:pPr>
              <w:tabs>
                <w:tab w:val="left" w:pos="1697"/>
              </w:tabs>
              <w:ind w:right="-1739"/>
              <w:jc w:val="both"/>
              <w:rPr>
                <w:b/>
                <w:sz w:val="20"/>
              </w:rPr>
            </w:pPr>
            <w:r w:rsidRPr="006C370A">
              <w:rPr>
                <w:b/>
                <w:sz w:val="20"/>
              </w:rPr>
              <w:t>Lieu d’affectation :</w:t>
            </w:r>
          </w:p>
        </w:tc>
        <w:tc>
          <w:tcPr>
            <w:tcW w:w="6223" w:type="dxa"/>
            <w:tcBorders>
              <w:left w:val="single" w:sz="4" w:space="0" w:color="auto"/>
              <w:bottom w:val="single" w:sz="4" w:space="0" w:color="auto"/>
              <w:right w:val="single" w:sz="4" w:space="0" w:color="auto"/>
            </w:tcBorders>
            <w:shd w:val="clear" w:color="auto" w:fill="auto"/>
          </w:tcPr>
          <w:p w:rsidR="00C41FD8" w:rsidRPr="006C370A" w:rsidRDefault="0054605D" w:rsidP="00277C58">
            <w:pPr>
              <w:ind w:right="1317"/>
              <w:jc w:val="both"/>
              <w:rPr>
                <w:b/>
                <w:sz w:val="20"/>
              </w:rPr>
            </w:pPr>
            <w:r w:rsidRPr="006C370A">
              <w:rPr>
                <w:rFonts w:ascii="Verdana" w:eastAsia="MS Minngs" w:hAnsi="Verdana" w:cs="Verdana"/>
                <w:bCs/>
                <w:sz w:val="18"/>
                <w:szCs w:val="18"/>
                <w:lang w:val="fr-FR"/>
              </w:rPr>
              <w:t>X</w:t>
            </w:r>
            <w:r w:rsidR="00277C58" w:rsidRPr="006C370A">
              <w:rPr>
                <w:rFonts w:ascii="Verdana" w:eastAsia="MS Minngs" w:hAnsi="Verdana" w:cs="Verdana"/>
                <w:bCs/>
                <w:sz w:val="18"/>
                <w:szCs w:val="18"/>
                <w:lang w:val="fr-FR"/>
              </w:rPr>
              <w:t xml:space="preserve"> </w:t>
            </w:r>
            <w:r w:rsidR="00377F18" w:rsidRPr="006C370A">
              <w:rPr>
                <w:b/>
                <w:sz w:val="20"/>
              </w:rPr>
              <w:t>Bruxelles</w:t>
            </w:r>
            <w:r w:rsidR="00277C58" w:rsidRPr="006C370A">
              <w:rPr>
                <w:b/>
                <w:sz w:val="20"/>
              </w:rPr>
              <w:tab/>
            </w:r>
            <w:r w:rsidR="00277C58" w:rsidRPr="006C370A">
              <w:rPr>
                <w:rFonts w:ascii="Verdana" w:eastAsia="MS Minngs" w:hAnsi="Verdana" w:cs="Verdana"/>
                <w:bCs/>
                <w:sz w:val="18"/>
                <w:szCs w:val="18"/>
                <w:lang w:val="fr-FR"/>
              </w:rPr>
              <w:sym w:font="Wingdings 2" w:char="F0A3"/>
            </w:r>
            <w:r w:rsidR="00277C58" w:rsidRPr="006C370A">
              <w:rPr>
                <w:rFonts w:ascii="Verdana" w:eastAsia="MS Minngs" w:hAnsi="Verdana" w:cs="Verdana"/>
                <w:bCs/>
                <w:sz w:val="18"/>
                <w:szCs w:val="18"/>
                <w:lang w:val="fr-FR"/>
              </w:rPr>
              <w:t xml:space="preserve"> </w:t>
            </w:r>
            <w:r w:rsidR="00277C58" w:rsidRPr="006C370A">
              <w:rPr>
                <w:b/>
                <w:sz w:val="20"/>
              </w:rPr>
              <w:t>Luxembourg</w:t>
            </w:r>
            <w:r w:rsidR="00277C58" w:rsidRPr="006C370A">
              <w:rPr>
                <w:b/>
                <w:sz w:val="20"/>
              </w:rPr>
              <w:tab/>
            </w:r>
            <w:r w:rsidR="000860A3" w:rsidRPr="006C370A">
              <w:rPr>
                <w:b/>
                <w:sz w:val="20"/>
              </w:rPr>
              <w:t xml:space="preserve">       </w:t>
            </w:r>
            <w:r w:rsidR="00277C58" w:rsidRPr="006C370A">
              <w:rPr>
                <w:rFonts w:ascii="Verdana" w:eastAsia="MS Minngs" w:hAnsi="Verdana" w:cs="Verdana"/>
                <w:bCs/>
                <w:sz w:val="18"/>
                <w:szCs w:val="18"/>
                <w:lang w:val="fr-FR"/>
              </w:rPr>
              <w:sym w:font="Wingdings 2" w:char="F0A3"/>
            </w:r>
            <w:r w:rsidR="00277C58" w:rsidRPr="006C370A">
              <w:rPr>
                <w:rFonts w:ascii="Verdana" w:eastAsia="MS Minngs" w:hAnsi="Verdana" w:cs="Verdana"/>
                <w:bCs/>
                <w:sz w:val="18"/>
                <w:szCs w:val="18"/>
                <w:lang w:val="fr-FR"/>
              </w:rPr>
              <w:t xml:space="preserve"> </w:t>
            </w:r>
            <w:r w:rsidR="00377F18" w:rsidRPr="006C370A">
              <w:rPr>
                <w:b/>
                <w:sz w:val="20"/>
              </w:rPr>
              <w:t>Autre</w:t>
            </w:r>
            <w:r w:rsidR="00277C58" w:rsidRPr="006C370A">
              <w:rPr>
                <w:b/>
                <w:sz w:val="20"/>
              </w:rPr>
              <w:t xml:space="preserve"> :</w:t>
            </w:r>
            <w:r w:rsidR="00554C6D" w:rsidRPr="006C370A">
              <w:rPr>
                <w:b/>
                <w:sz w:val="20"/>
              </w:rPr>
              <w:t xml:space="preserve"> </w:t>
            </w:r>
            <w:r w:rsidR="00377F18" w:rsidRPr="006C370A">
              <w:rPr>
                <w:b/>
                <w:sz w:val="20"/>
              </w:rPr>
              <w:t>…….</w:t>
            </w:r>
          </w:p>
          <w:p w:rsidR="00277C58" w:rsidRPr="006C370A" w:rsidRDefault="00277C58" w:rsidP="00277C58">
            <w:pPr>
              <w:ind w:right="1317"/>
              <w:jc w:val="both"/>
              <w:rPr>
                <w:b/>
                <w:sz w:val="20"/>
              </w:rPr>
            </w:pPr>
          </w:p>
        </w:tc>
      </w:tr>
      <w:tr w:rsidR="00277C58" w:rsidRPr="006C370A" w:rsidTr="00742A3B">
        <w:trPr>
          <w:gridAfter w:val="1"/>
          <w:wAfter w:w="14" w:type="dxa"/>
          <w:trHeight w:val="439"/>
        </w:trPr>
        <w:tc>
          <w:tcPr>
            <w:tcW w:w="392" w:type="dxa"/>
            <w:vMerge w:val="restart"/>
            <w:tcBorders>
              <w:top w:val="single" w:sz="4" w:space="0" w:color="auto"/>
              <w:left w:val="single" w:sz="4" w:space="0" w:color="auto"/>
            </w:tcBorders>
            <w:shd w:val="clear" w:color="auto" w:fill="auto"/>
          </w:tcPr>
          <w:p w:rsidR="00277C58" w:rsidRPr="006C370A" w:rsidRDefault="00277C58" w:rsidP="0059779D">
            <w:pPr>
              <w:ind w:right="1317"/>
              <w:jc w:val="both"/>
              <w:rPr>
                <w:b/>
                <w:sz w:val="20"/>
              </w:rPr>
            </w:pPr>
          </w:p>
        </w:tc>
        <w:tc>
          <w:tcPr>
            <w:tcW w:w="2693" w:type="dxa"/>
            <w:vMerge w:val="restart"/>
            <w:tcBorders>
              <w:top w:val="single" w:sz="4" w:space="0" w:color="auto"/>
              <w:right w:val="single" w:sz="4" w:space="0" w:color="auto"/>
            </w:tcBorders>
            <w:shd w:val="clear" w:color="auto" w:fill="auto"/>
          </w:tcPr>
          <w:p w:rsidR="00277C58" w:rsidRPr="006C370A" w:rsidRDefault="00277C58" w:rsidP="0059779D">
            <w:pPr>
              <w:tabs>
                <w:tab w:val="left" w:pos="1697"/>
              </w:tabs>
              <w:ind w:right="-1739"/>
              <w:jc w:val="both"/>
              <w:rPr>
                <w:b/>
                <w:sz w:val="20"/>
              </w:rPr>
            </w:pPr>
            <w:r w:rsidRPr="006C370A">
              <w:rPr>
                <w:b/>
                <w:sz w:val="20"/>
              </w:rPr>
              <w:t>Particularités :</w:t>
            </w:r>
          </w:p>
        </w:tc>
        <w:tc>
          <w:tcPr>
            <w:tcW w:w="6223" w:type="dxa"/>
            <w:tcBorders>
              <w:top w:val="single" w:sz="4" w:space="0" w:color="auto"/>
              <w:left w:val="single" w:sz="4" w:space="0" w:color="auto"/>
              <w:bottom w:val="single" w:sz="4" w:space="0" w:color="auto"/>
              <w:right w:val="single" w:sz="4" w:space="0" w:color="auto"/>
            </w:tcBorders>
            <w:shd w:val="clear" w:color="auto" w:fill="auto"/>
            <w:vAlign w:val="center"/>
          </w:tcPr>
          <w:p w:rsidR="00277C58" w:rsidRPr="006C370A" w:rsidRDefault="0054605D" w:rsidP="00C21F2B">
            <w:pPr>
              <w:rPr>
                <w:szCs w:val="24"/>
              </w:rPr>
            </w:pPr>
            <w:r w:rsidRPr="006C370A">
              <w:rPr>
                <w:rFonts w:ascii="Verdana" w:eastAsia="MS Minngs" w:hAnsi="Verdana" w:cs="Verdana"/>
                <w:bCs/>
                <w:sz w:val="18"/>
                <w:szCs w:val="18"/>
                <w:lang w:val="fr-FR"/>
              </w:rPr>
              <w:t>X</w:t>
            </w:r>
            <w:r w:rsidR="00277C58" w:rsidRPr="006C370A">
              <w:rPr>
                <w:rStyle w:val="Strong"/>
                <w:sz w:val="20"/>
              </w:rPr>
              <w:t xml:space="preserve">    </w:t>
            </w:r>
            <w:r w:rsidR="000860A3" w:rsidRPr="006C370A">
              <w:rPr>
                <w:b/>
                <w:sz w:val="20"/>
              </w:rPr>
              <w:t xml:space="preserve">Avec </w:t>
            </w:r>
            <w:r w:rsidR="005F7BCC" w:rsidRPr="006C370A">
              <w:rPr>
                <w:b/>
                <w:sz w:val="20"/>
              </w:rPr>
              <w:t>indemnités</w:t>
            </w:r>
            <w:r w:rsidR="00277C58" w:rsidRPr="006C370A">
              <w:rPr>
                <w:b/>
                <w:sz w:val="20"/>
              </w:rPr>
              <w:t xml:space="preserve">   </w:t>
            </w:r>
            <w:r w:rsidR="00277C58" w:rsidRPr="006C370A">
              <w:rPr>
                <w:b/>
                <w:sz w:val="20"/>
              </w:rPr>
              <w:tab/>
            </w:r>
            <w:r w:rsidR="00836F84" w:rsidRPr="006C370A">
              <w:rPr>
                <w:rFonts w:ascii="Verdana" w:eastAsia="MS Minngs" w:hAnsi="Verdana" w:cs="Verdana"/>
                <w:bCs/>
                <w:sz w:val="18"/>
                <w:szCs w:val="18"/>
              </w:rPr>
              <w:t></w:t>
            </w:r>
            <w:r w:rsidR="00277C58" w:rsidRPr="006C370A">
              <w:rPr>
                <w:rStyle w:val="Strong"/>
                <w:sz w:val="20"/>
              </w:rPr>
              <w:t> </w:t>
            </w:r>
            <w:r w:rsidR="00277C58" w:rsidRPr="006C370A">
              <w:rPr>
                <w:rFonts w:ascii="Verdana" w:eastAsia="MS Minngs" w:hAnsi="Verdana" w:cs="Verdana"/>
                <w:bCs/>
                <w:sz w:val="18"/>
                <w:szCs w:val="18"/>
                <w:lang w:val="fr-FR"/>
              </w:rPr>
              <w:t xml:space="preserve"> </w:t>
            </w:r>
            <w:r w:rsidR="00C21F2B" w:rsidRPr="006C370A">
              <w:rPr>
                <w:b/>
                <w:sz w:val="20"/>
              </w:rPr>
              <w:t>Sans frais</w:t>
            </w:r>
          </w:p>
        </w:tc>
      </w:tr>
      <w:tr w:rsidR="00277C58" w:rsidRPr="006C370A" w:rsidTr="00742A3B">
        <w:trPr>
          <w:gridAfter w:val="1"/>
          <w:wAfter w:w="14" w:type="dxa"/>
          <w:trHeight w:val="581"/>
        </w:trPr>
        <w:tc>
          <w:tcPr>
            <w:tcW w:w="392" w:type="dxa"/>
            <w:vMerge/>
            <w:tcBorders>
              <w:left w:val="single" w:sz="4" w:space="0" w:color="auto"/>
            </w:tcBorders>
            <w:shd w:val="clear" w:color="auto" w:fill="auto"/>
          </w:tcPr>
          <w:p w:rsidR="00277C58" w:rsidRPr="006C370A" w:rsidRDefault="00277C58" w:rsidP="0059779D">
            <w:pPr>
              <w:ind w:right="1317"/>
              <w:jc w:val="both"/>
              <w:rPr>
                <w:b/>
                <w:sz w:val="20"/>
              </w:rPr>
            </w:pPr>
          </w:p>
        </w:tc>
        <w:tc>
          <w:tcPr>
            <w:tcW w:w="2693" w:type="dxa"/>
            <w:vMerge/>
            <w:tcBorders>
              <w:right w:val="single" w:sz="4" w:space="0" w:color="auto"/>
            </w:tcBorders>
            <w:shd w:val="clear" w:color="auto" w:fill="auto"/>
          </w:tcPr>
          <w:p w:rsidR="00277C58" w:rsidRPr="006C370A" w:rsidRDefault="00277C58" w:rsidP="0059779D">
            <w:pPr>
              <w:tabs>
                <w:tab w:val="left" w:pos="1697"/>
              </w:tabs>
              <w:ind w:right="-1739"/>
              <w:jc w:val="both"/>
              <w:rPr>
                <w:b/>
                <w:sz w:val="20"/>
              </w:rPr>
            </w:pPr>
          </w:p>
        </w:tc>
        <w:tc>
          <w:tcPr>
            <w:tcW w:w="6223" w:type="dxa"/>
            <w:tcBorders>
              <w:left w:val="single" w:sz="4" w:space="0" w:color="auto"/>
              <w:bottom w:val="single" w:sz="4" w:space="0" w:color="auto"/>
              <w:right w:val="single" w:sz="4" w:space="0" w:color="auto"/>
            </w:tcBorders>
            <w:shd w:val="clear" w:color="auto" w:fill="auto"/>
            <w:vAlign w:val="center"/>
          </w:tcPr>
          <w:p w:rsidR="00277C58" w:rsidRPr="006C370A" w:rsidRDefault="00277C58" w:rsidP="007E36DE">
            <w:pPr>
              <w:rPr>
                <w:b/>
                <w:sz w:val="20"/>
              </w:rPr>
            </w:pPr>
            <w:r w:rsidRPr="006C370A">
              <w:rPr>
                <w:b/>
                <w:sz w:val="20"/>
              </w:rPr>
              <w:t xml:space="preserve">Cet avis est </w:t>
            </w:r>
            <w:r w:rsidR="000860A3" w:rsidRPr="006C370A">
              <w:rPr>
                <w:b/>
                <w:sz w:val="20"/>
              </w:rPr>
              <w:t>également</w:t>
            </w:r>
            <w:r w:rsidR="007E36DE" w:rsidRPr="006C370A">
              <w:rPr>
                <w:b/>
                <w:sz w:val="20"/>
              </w:rPr>
              <w:t xml:space="preserve"> ouvert</w:t>
            </w:r>
          </w:p>
          <w:p w:rsidR="00277C58" w:rsidRPr="006C370A" w:rsidRDefault="00277C58" w:rsidP="007E36DE">
            <w:pPr>
              <w:rPr>
                <w:rStyle w:val="Strong"/>
                <w:sz w:val="20"/>
              </w:rPr>
            </w:pPr>
            <w:r w:rsidRPr="006C370A">
              <w:rPr>
                <w:rFonts w:ascii="Verdana" w:eastAsia="MS Minngs" w:hAnsi="Verdana" w:cs="Verdana"/>
                <w:bCs/>
                <w:sz w:val="18"/>
                <w:szCs w:val="18"/>
                <w:lang w:val="fr-FR"/>
              </w:rPr>
              <w:sym w:font="Wingdings 2" w:char="F0A3"/>
            </w:r>
            <w:r w:rsidRPr="006C370A">
              <w:rPr>
                <w:rStyle w:val="Strong"/>
                <w:sz w:val="20"/>
              </w:rPr>
              <w:t xml:space="preserve">    </w:t>
            </w:r>
            <w:proofErr w:type="gramStart"/>
            <w:r w:rsidR="000860A3" w:rsidRPr="006C370A">
              <w:rPr>
                <w:rStyle w:val="Strong"/>
                <w:sz w:val="20"/>
              </w:rPr>
              <w:t>aux</w:t>
            </w:r>
            <w:proofErr w:type="gramEnd"/>
            <w:r w:rsidRPr="006C370A">
              <w:rPr>
                <w:rStyle w:val="Strong"/>
                <w:sz w:val="20"/>
              </w:rPr>
              <w:t xml:space="preserve"> pays AELE suivants</w:t>
            </w:r>
            <w:r w:rsidR="000860A3" w:rsidRPr="006C370A">
              <w:rPr>
                <w:rStyle w:val="Strong"/>
                <w:sz w:val="20"/>
              </w:rPr>
              <w:t xml:space="preserve"> </w:t>
            </w:r>
            <w:r w:rsidRPr="006C370A">
              <w:rPr>
                <w:rStyle w:val="Strong"/>
                <w:sz w:val="20"/>
              </w:rPr>
              <w:t>:</w:t>
            </w:r>
          </w:p>
          <w:p w:rsidR="00277C58" w:rsidRPr="006C370A" w:rsidRDefault="00277C58" w:rsidP="007E36DE">
            <w:pPr>
              <w:tabs>
                <w:tab w:val="left" w:pos="1182"/>
              </w:tabs>
              <w:ind w:right="-1739"/>
              <w:rPr>
                <w:sz w:val="20"/>
              </w:rPr>
            </w:pPr>
            <w:r w:rsidRPr="006C370A">
              <w:rPr>
                <w:b/>
                <w:sz w:val="20"/>
              </w:rPr>
              <w:tab/>
            </w:r>
            <w:r w:rsidR="00ED15A0" w:rsidRPr="006C370A">
              <w:rPr>
                <w:sz w:val="20"/>
              </w:rPr>
              <w:sym w:font="Wingdings 2" w:char="F0A3"/>
            </w:r>
            <w:r w:rsidR="00ED15A0" w:rsidRPr="006C370A">
              <w:rPr>
                <w:b/>
                <w:sz w:val="20"/>
              </w:rPr>
              <w:t xml:space="preserve"> Islande </w:t>
            </w:r>
            <w:r w:rsidR="00ED15A0" w:rsidRPr="006C370A">
              <w:rPr>
                <w:sz w:val="20"/>
              </w:rPr>
              <w:sym w:font="Wingdings 2" w:char="F0A3"/>
            </w:r>
            <w:r w:rsidR="00ED15A0" w:rsidRPr="006C370A">
              <w:rPr>
                <w:b/>
                <w:sz w:val="20"/>
              </w:rPr>
              <w:t xml:space="preserve"> Liechtenstein </w:t>
            </w:r>
            <w:r w:rsidR="00ED15A0" w:rsidRPr="006C370A">
              <w:rPr>
                <w:sz w:val="20"/>
              </w:rPr>
              <w:sym w:font="Wingdings 2" w:char="F0A3"/>
            </w:r>
            <w:r w:rsidR="00ED15A0" w:rsidRPr="006C370A">
              <w:rPr>
                <w:b/>
                <w:sz w:val="20"/>
              </w:rPr>
              <w:t xml:space="preserve"> Norvège </w:t>
            </w:r>
            <w:r w:rsidR="00ED15A0" w:rsidRPr="006C370A">
              <w:rPr>
                <w:sz w:val="20"/>
              </w:rPr>
              <w:sym w:font="Wingdings 2" w:char="F0A3"/>
            </w:r>
            <w:r w:rsidR="00ED15A0" w:rsidRPr="006C370A">
              <w:rPr>
                <w:b/>
                <w:sz w:val="20"/>
              </w:rPr>
              <w:t xml:space="preserve"> Suisse</w:t>
            </w:r>
            <w:r w:rsidR="00ED15A0" w:rsidRPr="006C370A">
              <w:rPr>
                <w:sz w:val="20"/>
              </w:rPr>
              <w:t xml:space="preserve"> </w:t>
            </w:r>
          </w:p>
          <w:p w:rsidR="00554C6D" w:rsidRPr="006C370A" w:rsidRDefault="00277C58" w:rsidP="007E36DE">
            <w:pPr>
              <w:tabs>
                <w:tab w:val="left" w:pos="1182"/>
              </w:tabs>
              <w:ind w:right="-1739"/>
              <w:rPr>
                <w:b/>
                <w:sz w:val="20"/>
              </w:rPr>
            </w:pPr>
            <w:r w:rsidRPr="006C370A">
              <w:rPr>
                <w:b/>
                <w:sz w:val="20"/>
              </w:rPr>
              <w:tab/>
            </w:r>
            <w:r w:rsidR="00ED15A0" w:rsidRPr="006C370A">
              <w:rPr>
                <w:sz w:val="20"/>
              </w:rPr>
              <w:sym w:font="Wingdings 2" w:char="F0A3"/>
            </w:r>
            <w:r w:rsidR="00ED15A0" w:rsidRPr="006C370A">
              <w:rPr>
                <w:b/>
                <w:sz w:val="20"/>
              </w:rPr>
              <w:t xml:space="preserve"> Accord AELE-EEE in-</w:t>
            </w:r>
            <w:proofErr w:type="spellStart"/>
            <w:r w:rsidR="00ED15A0" w:rsidRPr="006C370A">
              <w:rPr>
                <w:b/>
                <w:sz w:val="20"/>
              </w:rPr>
              <w:t>Kind</w:t>
            </w:r>
            <w:proofErr w:type="spellEnd"/>
          </w:p>
          <w:p w:rsidR="00277C58" w:rsidRPr="006C370A" w:rsidRDefault="000860A3" w:rsidP="007E36DE">
            <w:pPr>
              <w:tabs>
                <w:tab w:val="left" w:pos="1697"/>
              </w:tabs>
              <w:ind w:right="-1739"/>
              <w:rPr>
                <w:b/>
                <w:sz w:val="20"/>
              </w:rPr>
            </w:pPr>
            <w:r w:rsidRPr="006C370A">
              <w:rPr>
                <w:b/>
                <w:sz w:val="20"/>
              </w:rPr>
              <w:t xml:space="preserve"> </w:t>
            </w:r>
            <w:r w:rsidR="00554C6D" w:rsidRPr="006C370A">
              <w:rPr>
                <w:b/>
                <w:sz w:val="20"/>
              </w:rPr>
              <w:t xml:space="preserve">     </w:t>
            </w:r>
            <w:r w:rsidR="007E36DE" w:rsidRPr="006C370A">
              <w:rPr>
                <w:b/>
                <w:sz w:val="20"/>
              </w:rPr>
              <w:t xml:space="preserve">                          </w:t>
            </w:r>
            <w:r w:rsidR="00ED15A0" w:rsidRPr="006C370A">
              <w:rPr>
                <w:b/>
                <w:sz w:val="20"/>
              </w:rPr>
              <w:t>(Islande, Liechtenstein, Norvège)</w:t>
            </w:r>
            <w:r w:rsidR="007E36DE" w:rsidRPr="006C370A">
              <w:rPr>
                <w:b/>
                <w:sz w:val="20"/>
              </w:rPr>
              <w:t xml:space="preserve"> </w:t>
            </w:r>
            <w:r w:rsidR="00277C58" w:rsidRPr="006C370A">
              <w:rPr>
                <w:b/>
                <w:sz w:val="20"/>
              </w:rPr>
              <w:br/>
            </w:r>
            <w:r w:rsidR="00277C58" w:rsidRPr="006C370A">
              <w:rPr>
                <w:rFonts w:ascii="Verdana" w:eastAsia="MS Minngs" w:hAnsi="Verdana" w:cs="Verdana"/>
                <w:bCs/>
                <w:sz w:val="18"/>
                <w:szCs w:val="18"/>
                <w:lang w:val="fr-FR"/>
              </w:rPr>
              <w:sym w:font="Wingdings 2" w:char="F0A3"/>
            </w:r>
            <w:r w:rsidR="00277C58" w:rsidRPr="006C370A">
              <w:rPr>
                <w:rStyle w:val="Strong"/>
                <w:sz w:val="20"/>
              </w:rPr>
              <w:t xml:space="preserve">    </w:t>
            </w:r>
            <w:r w:rsidR="007E36DE" w:rsidRPr="006C370A">
              <w:rPr>
                <w:rStyle w:val="Strong"/>
                <w:sz w:val="20"/>
              </w:rPr>
              <w:t>aux</w:t>
            </w:r>
            <w:r w:rsidR="00277C58" w:rsidRPr="006C370A">
              <w:rPr>
                <w:rStyle w:val="Strong"/>
                <w:sz w:val="20"/>
              </w:rPr>
              <w:t xml:space="preserve"> pays tiers suivants: </w:t>
            </w:r>
          </w:p>
          <w:p w:rsidR="00277C58" w:rsidRPr="006C370A" w:rsidRDefault="00277C58" w:rsidP="007E36DE">
            <w:pPr>
              <w:rPr>
                <w:rFonts w:ascii="Arial" w:hAnsi="Arial" w:cs="Arial"/>
                <w:szCs w:val="24"/>
              </w:rPr>
            </w:pPr>
            <w:r w:rsidRPr="006C370A">
              <w:rPr>
                <w:rFonts w:ascii="Verdana" w:eastAsia="MS Minngs" w:hAnsi="Verdana" w:cs="Verdana"/>
                <w:bCs/>
                <w:sz w:val="18"/>
                <w:szCs w:val="18"/>
                <w:lang w:val="fr-FR"/>
              </w:rPr>
              <w:sym w:font="Wingdings 2" w:char="F0A3"/>
            </w:r>
            <w:r w:rsidRPr="006C370A">
              <w:rPr>
                <w:rStyle w:val="Strong"/>
                <w:sz w:val="20"/>
              </w:rPr>
              <w:t xml:space="preserve">    </w:t>
            </w:r>
            <w:proofErr w:type="gramStart"/>
            <w:r w:rsidR="007E36DE" w:rsidRPr="006C370A">
              <w:rPr>
                <w:rStyle w:val="Strong"/>
                <w:sz w:val="20"/>
              </w:rPr>
              <w:t>aux</w:t>
            </w:r>
            <w:proofErr w:type="gramEnd"/>
            <w:r w:rsidRPr="006C370A">
              <w:rPr>
                <w:rStyle w:val="Strong"/>
                <w:sz w:val="20"/>
              </w:rPr>
              <w:t xml:space="preserve"> organisations intergouvernementales suivantes: </w:t>
            </w:r>
          </w:p>
          <w:p w:rsidR="007E36DE" w:rsidRPr="006C370A" w:rsidRDefault="007E36DE" w:rsidP="007E36DE">
            <w:pPr>
              <w:rPr>
                <w:rFonts w:ascii="Arial" w:hAnsi="Arial" w:cs="Arial"/>
                <w:szCs w:val="24"/>
              </w:rPr>
            </w:pPr>
          </w:p>
        </w:tc>
      </w:tr>
      <w:tr w:rsidR="002F757B" w:rsidRPr="006C370A" w:rsidTr="0059779D">
        <w:trPr>
          <w:gridAfter w:val="1"/>
          <w:wAfter w:w="14" w:type="dxa"/>
        </w:trPr>
        <w:tc>
          <w:tcPr>
            <w:tcW w:w="392" w:type="dxa"/>
            <w:tcBorders>
              <w:top w:val="single" w:sz="4" w:space="0" w:color="auto"/>
              <w:bottom w:val="single" w:sz="4" w:space="0" w:color="auto"/>
            </w:tcBorders>
            <w:shd w:val="clear" w:color="auto" w:fill="auto"/>
          </w:tcPr>
          <w:p w:rsidR="002F757B" w:rsidRPr="006C370A" w:rsidRDefault="002F757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2F757B" w:rsidRPr="006C370A" w:rsidRDefault="002F757B" w:rsidP="0059779D">
            <w:pPr>
              <w:ind w:right="1317"/>
              <w:jc w:val="both"/>
              <w:rPr>
                <w:b/>
                <w:sz w:val="20"/>
              </w:rPr>
            </w:pPr>
          </w:p>
        </w:tc>
      </w:tr>
      <w:tr w:rsidR="002F757B" w:rsidRPr="006C370A"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6C370A" w:rsidRDefault="003D484D" w:rsidP="0059779D">
            <w:pPr>
              <w:ind w:right="1317"/>
              <w:jc w:val="both"/>
              <w:rPr>
                <w:b/>
                <w:sz w:val="20"/>
              </w:rPr>
            </w:pPr>
            <w:r w:rsidRPr="006C370A">
              <w:rPr>
                <w:b/>
                <w:sz w:val="20"/>
              </w:rPr>
              <w:t>1</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2F757B" w:rsidRPr="006C370A" w:rsidRDefault="003D484D" w:rsidP="0059779D">
            <w:pPr>
              <w:ind w:right="1317"/>
              <w:jc w:val="both"/>
              <w:rPr>
                <w:b/>
                <w:sz w:val="20"/>
              </w:rPr>
            </w:pPr>
            <w:r w:rsidRPr="006C370A">
              <w:rPr>
                <w:b/>
                <w:sz w:val="20"/>
              </w:rPr>
              <w:t>Nature des fonctions</w:t>
            </w:r>
            <w:r w:rsidR="002F757B" w:rsidRPr="006C370A">
              <w:rPr>
                <w:b/>
                <w:sz w:val="20"/>
              </w:rPr>
              <w:t> :</w:t>
            </w:r>
          </w:p>
        </w:tc>
      </w:tr>
      <w:tr w:rsidR="002F757B" w:rsidRPr="006C370A" w:rsidTr="0059779D">
        <w:trPr>
          <w:gridAfter w:val="1"/>
          <w:wAfter w:w="14" w:type="dxa"/>
        </w:trPr>
        <w:tc>
          <w:tcPr>
            <w:tcW w:w="392" w:type="dxa"/>
            <w:tcBorders>
              <w:top w:val="single" w:sz="4" w:space="0" w:color="auto"/>
              <w:left w:val="single" w:sz="4" w:space="0" w:color="auto"/>
            </w:tcBorders>
            <w:shd w:val="clear" w:color="auto" w:fill="auto"/>
          </w:tcPr>
          <w:p w:rsidR="002F757B" w:rsidRPr="006C370A" w:rsidRDefault="002F757B" w:rsidP="0059779D">
            <w:pPr>
              <w:ind w:right="1317"/>
              <w:jc w:val="both"/>
              <w:rPr>
                <w:b/>
                <w:sz w:val="20"/>
              </w:rPr>
            </w:pPr>
          </w:p>
        </w:tc>
        <w:tc>
          <w:tcPr>
            <w:tcW w:w="8916" w:type="dxa"/>
            <w:gridSpan w:val="2"/>
            <w:tcBorders>
              <w:top w:val="single" w:sz="4" w:space="0" w:color="auto"/>
              <w:right w:val="single" w:sz="4" w:space="0" w:color="auto"/>
            </w:tcBorders>
            <w:shd w:val="clear" w:color="auto" w:fill="auto"/>
          </w:tcPr>
          <w:p w:rsidR="007E0A48" w:rsidRPr="006C370A" w:rsidRDefault="007E0A48" w:rsidP="007E0A48">
            <w:pPr>
              <w:ind w:right="1317"/>
              <w:jc w:val="both"/>
              <w:rPr>
                <w:sz w:val="20"/>
              </w:rPr>
            </w:pPr>
          </w:p>
          <w:p w:rsidR="007E0A48" w:rsidRPr="006C370A" w:rsidRDefault="007E0A48" w:rsidP="007E0A48">
            <w:pPr>
              <w:ind w:right="1317"/>
              <w:jc w:val="both"/>
              <w:rPr>
                <w:sz w:val="20"/>
              </w:rPr>
            </w:pPr>
            <w:r w:rsidRPr="006C370A">
              <w:rPr>
                <w:sz w:val="20"/>
              </w:rPr>
              <w:t xml:space="preserve">Le service des instruments de politique étrangère (FPI) est un service de la Commission placé sous l'autorité directe de la HR / VP </w:t>
            </w:r>
            <w:proofErr w:type="spellStart"/>
            <w:r w:rsidRPr="006C370A">
              <w:rPr>
                <w:sz w:val="20"/>
              </w:rPr>
              <w:t>Mogherini</w:t>
            </w:r>
            <w:proofErr w:type="spellEnd"/>
            <w:r w:rsidRPr="006C370A">
              <w:rPr>
                <w:sz w:val="20"/>
              </w:rPr>
              <w:t>. A cet égard, FPI.3 occupe une position unique, travaillant non seulement étroitement avec le Service européen pour l'action extérieure (SEAE), mais également avec d'autres services de la Commission.</w:t>
            </w:r>
          </w:p>
          <w:p w:rsidR="007E0A48" w:rsidRPr="006C370A" w:rsidRDefault="007E0A48" w:rsidP="007E0A48">
            <w:pPr>
              <w:ind w:right="1317"/>
              <w:jc w:val="both"/>
              <w:rPr>
                <w:sz w:val="20"/>
              </w:rPr>
            </w:pPr>
          </w:p>
          <w:p w:rsidR="007E0A48" w:rsidRPr="006C370A" w:rsidRDefault="007E0A48" w:rsidP="007E0A48">
            <w:pPr>
              <w:ind w:right="1317"/>
              <w:jc w:val="both"/>
              <w:rPr>
                <w:sz w:val="20"/>
              </w:rPr>
            </w:pPr>
            <w:r w:rsidRPr="006C370A">
              <w:rPr>
                <w:sz w:val="20"/>
              </w:rPr>
              <w:t xml:space="preserve">L'unité FPI.3 « Opérations de </w:t>
            </w:r>
            <w:r w:rsidR="007C786A" w:rsidRPr="006C370A">
              <w:rPr>
                <w:sz w:val="20"/>
              </w:rPr>
              <w:t xml:space="preserve">politique étrangère et de sécurité commune </w:t>
            </w:r>
            <w:r w:rsidRPr="006C370A">
              <w:rPr>
                <w:sz w:val="20"/>
              </w:rPr>
              <w:t>(</w:t>
            </w:r>
            <w:r w:rsidR="007C786A" w:rsidRPr="006C370A">
              <w:rPr>
                <w:sz w:val="20"/>
              </w:rPr>
              <w:t>PESC</w:t>
            </w:r>
            <w:r w:rsidRPr="006C370A">
              <w:rPr>
                <w:sz w:val="20"/>
              </w:rPr>
              <w:t xml:space="preserve">) </w:t>
            </w:r>
            <w:r w:rsidR="007C786A" w:rsidRPr="006C370A">
              <w:rPr>
                <w:sz w:val="20"/>
              </w:rPr>
              <w:t>&amp;</w:t>
            </w:r>
            <w:r w:rsidRPr="006C370A">
              <w:rPr>
                <w:sz w:val="20"/>
              </w:rPr>
              <w:t xml:space="preserve"> </w:t>
            </w:r>
            <w:r w:rsidR="007C786A" w:rsidRPr="006C370A">
              <w:rPr>
                <w:sz w:val="20"/>
              </w:rPr>
              <w:t>Observation électorale</w:t>
            </w:r>
            <w:r w:rsidRPr="006C370A">
              <w:rPr>
                <w:sz w:val="20"/>
              </w:rPr>
              <w:t xml:space="preserve"> » est chargée de mettre en place, de guider et de superviser les opérations civiles de gestion de crise menées dans le cadre de la PESC / PSDC dans le monde entier, telles que les missions de surveillance en Géorgie et le poste-frontière de Rafah à Gaza, la mission de police en Palestine, les missions d’état de droit au Kosovo et la nouvelle mission de conseil en Irak. Une autre tâche essentielle de l’unité consiste à gérer des projets dans le domaine de la non-prolifération des armes de destruction massive et des armes légères. Il en va de même pour les contrats et la fourniture de soutiens aux représentants spéciaux de l'UE nommés par le Conseil. FPI.3 gère également les missions </w:t>
            </w:r>
            <w:r w:rsidRPr="006C370A">
              <w:rPr>
                <w:sz w:val="20"/>
              </w:rPr>
              <w:lastRenderedPageBreak/>
              <w:t>d'observation électorale (MOE) de l'UE dans le monde.</w:t>
            </w:r>
          </w:p>
          <w:p w:rsidR="007E0A48" w:rsidRPr="006C370A" w:rsidRDefault="007E0A48" w:rsidP="007E0A48">
            <w:pPr>
              <w:ind w:right="1317"/>
              <w:jc w:val="both"/>
              <w:rPr>
                <w:sz w:val="20"/>
              </w:rPr>
            </w:pPr>
          </w:p>
          <w:p w:rsidR="007E0A48" w:rsidRPr="006C370A" w:rsidRDefault="007E0A48" w:rsidP="007E0A48">
            <w:pPr>
              <w:ind w:right="1317"/>
              <w:jc w:val="both"/>
              <w:rPr>
                <w:sz w:val="20"/>
              </w:rPr>
            </w:pPr>
            <w:r w:rsidRPr="006C370A">
              <w:rPr>
                <w:sz w:val="20"/>
              </w:rPr>
              <w:t>L'unité joue un rôle clé tant dans le groupe de travail des conseillers aux relations étrangères (RELEX) que dans le comité chargé des aspects civils de la gestion des crises (CIVCOM), dans la mesure où elle représente la Commission dans les deux forums.</w:t>
            </w:r>
          </w:p>
          <w:p w:rsidR="007E0A48" w:rsidRPr="006C370A" w:rsidRDefault="007E0A48" w:rsidP="007E0A48">
            <w:pPr>
              <w:ind w:right="1317"/>
              <w:jc w:val="both"/>
              <w:rPr>
                <w:sz w:val="20"/>
              </w:rPr>
            </w:pPr>
          </w:p>
          <w:p w:rsidR="002F757B" w:rsidRPr="006C370A" w:rsidRDefault="007E0A48" w:rsidP="007E0A48">
            <w:pPr>
              <w:ind w:right="1317"/>
              <w:jc w:val="both"/>
              <w:rPr>
                <w:sz w:val="20"/>
              </w:rPr>
            </w:pPr>
            <w:r w:rsidRPr="006C370A">
              <w:rPr>
                <w:sz w:val="20"/>
              </w:rPr>
              <w:t>Nous proposons un poste intéressant et stimulant à un END désireux de travailler sur le développement stratégique et conceptuel, y compris la rédaction de notes et de briefings, ainsi que sur les actions opérationnelles. Le candidat END devrait contribuer à des actions clés dans le cadre de la PESC dans les domaines de la non-prolifération et du désarmement, ainsi qu'à diverses missions PSDC en Afrique, au Moyen-Orient et dans les pays du partenariat oriental. Le candidat contribuera à la définition, à la planification et à la mise en œuvre des opérations dans le cadre du budget PESC. Le travail implique une interaction soutenue et une coordination étroite à la fois au niveau interne avec les autres services de la Commission (SG, LS, DG BUDG et autres) et le SEAE, et en externe avec les entités des Nations Unies.</w:t>
            </w:r>
          </w:p>
        </w:tc>
      </w:tr>
      <w:tr w:rsidR="002F757B" w:rsidRPr="006C370A" w:rsidTr="0059779D">
        <w:trPr>
          <w:gridAfter w:val="1"/>
          <w:wAfter w:w="14" w:type="dxa"/>
        </w:trPr>
        <w:tc>
          <w:tcPr>
            <w:tcW w:w="392" w:type="dxa"/>
            <w:tcBorders>
              <w:left w:val="single" w:sz="4" w:space="0" w:color="auto"/>
            </w:tcBorders>
            <w:shd w:val="clear" w:color="auto" w:fill="auto"/>
          </w:tcPr>
          <w:p w:rsidR="002F757B" w:rsidRPr="006C370A" w:rsidRDefault="002F757B" w:rsidP="0059779D">
            <w:pPr>
              <w:ind w:right="1317"/>
              <w:jc w:val="both"/>
              <w:rPr>
                <w:b/>
                <w:sz w:val="20"/>
              </w:rPr>
            </w:pPr>
          </w:p>
        </w:tc>
        <w:tc>
          <w:tcPr>
            <w:tcW w:w="8916" w:type="dxa"/>
            <w:gridSpan w:val="2"/>
            <w:tcBorders>
              <w:right w:val="single" w:sz="4" w:space="0" w:color="auto"/>
            </w:tcBorders>
            <w:shd w:val="clear" w:color="auto" w:fill="auto"/>
          </w:tcPr>
          <w:p w:rsidR="00836F84" w:rsidRPr="006C370A" w:rsidRDefault="00836F84" w:rsidP="007E0A48">
            <w:pPr>
              <w:ind w:right="1317"/>
              <w:jc w:val="both"/>
              <w:rPr>
                <w:b/>
                <w:sz w:val="20"/>
              </w:rPr>
            </w:pPr>
          </w:p>
        </w:tc>
      </w:tr>
      <w:tr w:rsidR="001653AB" w:rsidRPr="006C370A" w:rsidTr="0059779D">
        <w:trPr>
          <w:gridAfter w:val="1"/>
          <w:wAfter w:w="14" w:type="dxa"/>
        </w:trPr>
        <w:tc>
          <w:tcPr>
            <w:tcW w:w="392" w:type="dxa"/>
            <w:tcBorders>
              <w:top w:val="single" w:sz="4" w:space="0" w:color="auto"/>
              <w:bottom w:val="single" w:sz="4" w:space="0" w:color="auto"/>
            </w:tcBorders>
            <w:shd w:val="clear" w:color="auto" w:fill="auto"/>
          </w:tcPr>
          <w:p w:rsidR="001653AB" w:rsidRPr="006C370A"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1653AB" w:rsidRPr="006C370A" w:rsidRDefault="001653AB" w:rsidP="0059779D">
            <w:pPr>
              <w:ind w:right="1317"/>
              <w:jc w:val="both"/>
              <w:rPr>
                <w:b/>
                <w:sz w:val="20"/>
              </w:rPr>
            </w:pPr>
          </w:p>
        </w:tc>
      </w:tr>
      <w:tr w:rsidR="001653AB" w:rsidRPr="006C370A"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6C370A" w:rsidRDefault="001653AB" w:rsidP="0059779D">
            <w:pPr>
              <w:ind w:right="1317"/>
              <w:jc w:val="both"/>
              <w:rPr>
                <w:b/>
                <w:sz w:val="20"/>
              </w:rPr>
            </w:pPr>
            <w:r w:rsidRPr="006C370A">
              <w:rPr>
                <w:b/>
                <w:sz w:val="20"/>
              </w:rPr>
              <w:t>2</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6C370A" w:rsidRDefault="001653AB" w:rsidP="0059779D">
            <w:pPr>
              <w:ind w:right="1317"/>
              <w:jc w:val="both"/>
              <w:rPr>
                <w:b/>
                <w:sz w:val="20"/>
              </w:rPr>
            </w:pPr>
            <w:r w:rsidRPr="006C370A">
              <w:rPr>
                <w:b/>
                <w:sz w:val="20"/>
              </w:rPr>
              <w:t>Qualifications requises :</w:t>
            </w:r>
          </w:p>
        </w:tc>
      </w:tr>
      <w:tr w:rsidR="001653AB" w:rsidRPr="006C370A" w:rsidTr="0059779D">
        <w:trPr>
          <w:gridAfter w:val="1"/>
          <w:wAfter w:w="14" w:type="dxa"/>
        </w:trPr>
        <w:tc>
          <w:tcPr>
            <w:tcW w:w="392" w:type="dxa"/>
            <w:tcBorders>
              <w:top w:val="single" w:sz="4" w:space="0" w:color="auto"/>
              <w:left w:val="single" w:sz="4" w:space="0" w:color="auto"/>
            </w:tcBorders>
            <w:shd w:val="clear" w:color="auto" w:fill="auto"/>
          </w:tcPr>
          <w:p w:rsidR="001653AB" w:rsidRPr="006C370A" w:rsidRDefault="001653AB" w:rsidP="0059779D">
            <w:pPr>
              <w:ind w:right="1317"/>
              <w:jc w:val="both"/>
              <w:rPr>
                <w:b/>
                <w:sz w:val="20"/>
              </w:rPr>
            </w:pPr>
          </w:p>
        </w:tc>
        <w:tc>
          <w:tcPr>
            <w:tcW w:w="8916" w:type="dxa"/>
            <w:gridSpan w:val="2"/>
            <w:tcBorders>
              <w:top w:val="single" w:sz="4" w:space="0" w:color="auto"/>
              <w:left w:val="nil"/>
              <w:right w:val="single" w:sz="4" w:space="0" w:color="auto"/>
            </w:tcBorders>
            <w:shd w:val="clear" w:color="auto" w:fill="auto"/>
          </w:tcPr>
          <w:p w:rsidR="001653AB" w:rsidRPr="006C370A" w:rsidRDefault="001653AB" w:rsidP="0059779D">
            <w:pPr>
              <w:ind w:right="1317"/>
              <w:jc w:val="both"/>
              <w:rPr>
                <w:sz w:val="20"/>
              </w:rPr>
            </w:pPr>
          </w:p>
          <w:p w:rsidR="001653AB" w:rsidRPr="006C370A" w:rsidRDefault="001653AB" w:rsidP="0059779D">
            <w:pPr>
              <w:ind w:right="1317"/>
              <w:jc w:val="both"/>
              <w:rPr>
                <w:sz w:val="20"/>
              </w:rPr>
            </w:pPr>
            <w:r w:rsidRPr="006C370A">
              <w:rPr>
                <w:sz w:val="20"/>
              </w:rPr>
              <w:t>a) Critères d'éligibilité</w:t>
            </w:r>
          </w:p>
        </w:tc>
      </w:tr>
      <w:tr w:rsidR="001653AB" w:rsidRPr="006C370A" w:rsidTr="0059779D">
        <w:trPr>
          <w:gridAfter w:val="1"/>
          <w:wAfter w:w="14" w:type="dxa"/>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C370A" w:rsidRDefault="001653AB" w:rsidP="0059779D">
            <w:pPr>
              <w:ind w:right="1317"/>
              <w:jc w:val="both"/>
              <w:rPr>
                <w:b/>
              </w:rPr>
            </w:pPr>
          </w:p>
        </w:tc>
      </w:tr>
      <w:tr w:rsidR="001653AB" w:rsidRPr="006C370A" w:rsidTr="0059779D">
        <w:trPr>
          <w:gridAfter w:val="1"/>
          <w:wAfter w:w="14" w:type="dxa"/>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C370A" w:rsidRDefault="001653AB" w:rsidP="0059779D">
            <w:pPr>
              <w:ind w:left="48" w:right="161"/>
              <w:jc w:val="both"/>
              <w:rPr>
                <w:sz w:val="20"/>
              </w:rPr>
            </w:pPr>
            <w:r w:rsidRPr="006C370A">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rsidR="001653AB" w:rsidRPr="006C370A" w:rsidRDefault="001653AB" w:rsidP="00DF3FDD">
            <w:pPr>
              <w:ind w:right="161"/>
              <w:jc w:val="both"/>
              <w:rPr>
                <w:sz w:val="20"/>
              </w:rPr>
            </w:pPr>
          </w:p>
          <w:p w:rsidR="001653AB" w:rsidRPr="006C370A" w:rsidRDefault="001653AB" w:rsidP="0059779D">
            <w:pPr>
              <w:ind w:left="473" w:right="161" w:hanging="473"/>
              <w:jc w:val="both"/>
              <w:rPr>
                <w:sz w:val="20"/>
              </w:rPr>
            </w:pPr>
            <w:r w:rsidRPr="006C370A">
              <w:rPr>
                <w:sz w:val="20"/>
              </w:rPr>
              <w:t>•</w:t>
            </w:r>
            <w:r w:rsidRPr="006C370A">
              <w:rPr>
                <w:sz w:val="20"/>
              </w:rPr>
              <w:tab/>
              <w:t>Expérience professionnelle : posséder une expérience professionnelle d'au moins trois ans dans des fonctions administratives, judiciaires, scientifiques, techniques, de conseil ou de supervision, à un grade équivalant au groupe de fonctions administrateur AD ;</w:t>
            </w:r>
          </w:p>
          <w:p w:rsidR="001653AB" w:rsidRPr="006C370A" w:rsidRDefault="001653AB" w:rsidP="0059779D">
            <w:pPr>
              <w:ind w:left="473" w:right="161" w:hanging="473"/>
              <w:jc w:val="both"/>
              <w:rPr>
                <w:sz w:val="20"/>
              </w:rPr>
            </w:pPr>
          </w:p>
          <w:p w:rsidR="001653AB" w:rsidRPr="006C370A" w:rsidRDefault="001653AB" w:rsidP="0059779D">
            <w:pPr>
              <w:ind w:left="473" w:right="161" w:hanging="473"/>
              <w:jc w:val="both"/>
              <w:rPr>
                <w:sz w:val="20"/>
              </w:rPr>
            </w:pPr>
            <w:r w:rsidRPr="006C370A">
              <w:rPr>
                <w:sz w:val="20"/>
              </w:rPr>
              <w:t>•</w:t>
            </w:r>
            <w:r w:rsidRPr="006C370A">
              <w:rPr>
                <w:sz w:val="20"/>
              </w:rPr>
              <w:tab/>
              <w:t xml:space="preserve">Ancienneté de service: avoir une ancienneté d'au moins un an auprès de son employeur, c'est-à-dire être employé depuis au moins un an par un employeur éligible au sens de l'article 1 de la décision END, sur base contractuelle ou statutaire </w:t>
            </w:r>
          </w:p>
          <w:p w:rsidR="001653AB" w:rsidRPr="006C370A" w:rsidRDefault="001653AB" w:rsidP="0059779D">
            <w:pPr>
              <w:ind w:left="473" w:right="161" w:hanging="473"/>
              <w:jc w:val="both"/>
              <w:rPr>
                <w:sz w:val="20"/>
              </w:rPr>
            </w:pPr>
          </w:p>
          <w:p w:rsidR="001653AB" w:rsidRPr="006C370A" w:rsidRDefault="001653AB" w:rsidP="005D6462">
            <w:pPr>
              <w:ind w:left="473" w:right="161" w:hanging="473"/>
              <w:jc w:val="both"/>
              <w:rPr>
                <w:sz w:val="20"/>
              </w:rPr>
            </w:pPr>
            <w:r w:rsidRPr="006C370A">
              <w:rPr>
                <w:sz w:val="20"/>
              </w:rPr>
              <w:t>•</w:t>
            </w:r>
            <w:r w:rsidRPr="006C370A">
              <w:rPr>
                <w:sz w:val="20"/>
              </w:rPr>
              <w:tab/>
              <w:t>Compétences linguistiques : avoir une connaissance approfondie d'une des langues de l'Union européenne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tc>
      </w:tr>
      <w:tr w:rsidR="001653AB" w:rsidRPr="006C370A" w:rsidTr="0059779D">
        <w:trPr>
          <w:gridAfter w:val="1"/>
          <w:wAfter w:w="14" w:type="dxa"/>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C370A" w:rsidRDefault="001653AB" w:rsidP="0059779D">
            <w:pPr>
              <w:ind w:right="1317"/>
              <w:jc w:val="both"/>
              <w:rPr>
                <w:b/>
              </w:rPr>
            </w:pPr>
          </w:p>
        </w:tc>
      </w:tr>
      <w:tr w:rsidR="001653AB" w:rsidRPr="006C370A" w:rsidTr="0059779D">
        <w:trPr>
          <w:gridAfter w:val="1"/>
          <w:wAfter w:w="14" w:type="dxa"/>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C370A" w:rsidRDefault="001653AB" w:rsidP="0059779D">
            <w:pPr>
              <w:ind w:right="1317"/>
              <w:jc w:val="both"/>
              <w:rPr>
                <w:sz w:val="20"/>
              </w:rPr>
            </w:pPr>
            <w:r w:rsidRPr="006C370A">
              <w:rPr>
                <w:sz w:val="20"/>
              </w:rPr>
              <w:t>b) Critères de sélection</w:t>
            </w:r>
          </w:p>
          <w:p w:rsidR="006A35E2" w:rsidRPr="006C370A" w:rsidRDefault="006A35E2" w:rsidP="0059779D">
            <w:pPr>
              <w:ind w:right="1317"/>
              <w:jc w:val="both"/>
              <w:rPr>
                <w:sz w:val="20"/>
              </w:rPr>
            </w:pPr>
          </w:p>
        </w:tc>
      </w:tr>
      <w:tr w:rsidR="001653AB" w:rsidRPr="006C370A" w:rsidTr="0059779D">
        <w:trPr>
          <w:gridAfter w:val="1"/>
          <w:wAfter w:w="14" w:type="dxa"/>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BE3F81" w:rsidRPr="006C370A" w:rsidRDefault="00BE3F81" w:rsidP="00BE3F81">
            <w:pPr>
              <w:tabs>
                <w:tab w:val="left" w:pos="8539"/>
              </w:tabs>
              <w:ind w:right="1317"/>
              <w:jc w:val="both"/>
              <w:rPr>
                <w:sz w:val="20"/>
              </w:rPr>
            </w:pPr>
            <w:r w:rsidRPr="006C370A">
              <w:rPr>
                <w:sz w:val="20"/>
              </w:rPr>
              <w:t xml:space="preserve">      – Diplôme :</w:t>
            </w:r>
          </w:p>
          <w:p w:rsidR="00BE3F81" w:rsidRPr="006C370A" w:rsidRDefault="00BE3F81" w:rsidP="00BE3F81">
            <w:pPr>
              <w:tabs>
                <w:tab w:val="left" w:pos="8539"/>
              </w:tabs>
              <w:ind w:right="1317"/>
              <w:jc w:val="both"/>
              <w:rPr>
                <w:sz w:val="20"/>
              </w:rPr>
            </w:pPr>
            <w:r w:rsidRPr="006C370A">
              <w:rPr>
                <w:sz w:val="20"/>
              </w:rPr>
              <w:t xml:space="preserve">       - diplôme universitaire </w:t>
            </w:r>
            <w:proofErr w:type="gramStart"/>
            <w:r w:rsidRPr="006C370A">
              <w:rPr>
                <w:sz w:val="20"/>
              </w:rPr>
              <w:t>ou</w:t>
            </w:r>
            <w:proofErr w:type="gramEnd"/>
            <w:r w:rsidRPr="006C370A">
              <w:rPr>
                <w:sz w:val="20"/>
              </w:rPr>
              <w:t xml:space="preserve"> </w:t>
            </w:r>
          </w:p>
          <w:p w:rsidR="00BE3F81" w:rsidRPr="006C370A" w:rsidRDefault="00BE3F81" w:rsidP="00BE3F81">
            <w:pPr>
              <w:tabs>
                <w:tab w:val="left" w:pos="8539"/>
              </w:tabs>
              <w:ind w:right="1317"/>
              <w:jc w:val="both"/>
              <w:rPr>
                <w:sz w:val="20"/>
              </w:rPr>
            </w:pPr>
            <w:r w:rsidRPr="006C370A">
              <w:rPr>
                <w:sz w:val="20"/>
              </w:rPr>
              <w:t xml:space="preserve">       - formation professionnelle ou expérience professionnelle de niveau équivalent</w:t>
            </w:r>
          </w:p>
          <w:p w:rsidR="00BE3F81" w:rsidRPr="006C370A" w:rsidRDefault="00BE3F81" w:rsidP="00BE3F81">
            <w:pPr>
              <w:tabs>
                <w:tab w:val="left" w:pos="8539"/>
              </w:tabs>
              <w:ind w:right="1317"/>
              <w:jc w:val="both"/>
              <w:rPr>
                <w:sz w:val="20"/>
              </w:rPr>
            </w:pPr>
          </w:p>
          <w:p w:rsidR="001653AB" w:rsidRPr="006C370A" w:rsidRDefault="00BE3F81" w:rsidP="00101BDF">
            <w:pPr>
              <w:ind w:left="2880" w:hanging="2880"/>
              <w:rPr>
                <w:sz w:val="20"/>
              </w:rPr>
            </w:pPr>
            <w:r w:rsidRPr="006C370A">
              <w:rPr>
                <w:sz w:val="20"/>
              </w:rPr>
              <w:t xml:space="preserve">       dans le(s) domaine(s) : </w:t>
            </w:r>
            <w:r w:rsidR="00101BDF" w:rsidRPr="006C370A">
              <w:rPr>
                <w:sz w:val="20"/>
              </w:rPr>
              <w:t>administration nationale et/ou internationale</w:t>
            </w:r>
          </w:p>
        </w:tc>
      </w:tr>
      <w:tr w:rsidR="001653AB" w:rsidRPr="006C370A" w:rsidTr="0059779D">
        <w:trPr>
          <w:gridAfter w:val="1"/>
          <w:wAfter w:w="14" w:type="dxa"/>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6A35E2" w:rsidRPr="006C370A" w:rsidRDefault="006A35E2" w:rsidP="00110555">
            <w:pPr>
              <w:tabs>
                <w:tab w:val="left" w:pos="8539"/>
              </w:tabs>
              <w:ind w:right="1317"/>
              <w:jc w:val="both"/>
              <w:rPr>
                <w:sz w:val="20"/>
              </w:rPr>
            </w:pPr>
          </w:p>
        </w:tc>
      </w:tr>
      <w:tr w:rsidR="001653AB" w:rsidRPr="006C370A" w:rsidTr="0059779D">
        <w:trPr>
          <w:gridAfter w:val="1"/>
          <w:wAfter w:w="14" w:type="dxa"/>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C370A" w:rsidRDefault="00BE3F81" w:rsidP="00500B1E">
            <w:pPr>
              <w:tabs>
                <w:tab w:val="left" w:pos="8539"/>
              </w:tabs>
              <w:ind w:right="1317"/>
              <w:jc w:val="both"/>
              <w:rPr>
                <w:sz w:val="20"/>
              </w:rPr>
            </w:pPr>
            <w:r w:rsidRPr="006C370A">
              <w:rPr>
                <w:sz w:val="20"/>
              </w:rPr>
              <w:t xml:space="preserve">– </w:t>
            </w:r>
            <w:r w:rsidR="001653AB" w:rsidRPr="006C370A">
              <w:rPr>
                <w:sz w:val="20"/>
              </w:rPr>
              <w:t>Expérience professionnelle :</w:t>
            </w:r>
            <w:r w:rsidR="00340AB1" w:rsidRPr="006C370A">
              <w:rPr>
                <w:sz w:val="20"/>
              </w:rPr>
              <w:t xml:space="preserve"> expérience dans une administration nationale et/ou internationale, travaillant sur des questions de politique générale ainsi que sur des questions financières ou administratives</w:t>
            </w:r>
            <w:r w:rsidR="00523A9B" w:rsidRPr="006C370A">
              <w:rPr>
                <w:sz w:val="20"/>
              </w:rPr>
              <w:t>.</w:t>
            </w:r>
          </w:p>
        </w:tc>
      </w:tr>
      <w:tr w:rsidR="001653AB" w:rsidRPr="006C370A" w:rsidTr="0059779D">
        <w:trPr>
          <w:gridAfter w:val="1"/>
          <w:wAfter w:w="14" w:type="dxa"/>
          <w:trHeight w:val="95"/>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500B1E" w:rsidRPr="006C370A" w:rsidRDefault="00500B1E" w:rsidP="004F3943">
            <w:pPr>
              <w:ind w:right="1317"/>
              <w:jc w:val="both"/>
              <w:rPr>
                <w:b/>
                <w:sz w:val="20"/>
              </w:rPr>
            </w:pPr>
          </w:p>
        </w:tc>
      </w:tr>
      <w:tr w:rsidR="001653AB" w:rsidRPr="006C370A" w:rsidTr="0059779D">
        <w:trPr>
          <w:gridAfter w:val="1"/>
          <w:wAfter w:w="14" w:type="dxa"/>
          <w:trHeight w:val="95"/>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C370A" w:rsidRDefault="00BE3F81" w:rsidP="00B05EB0">
            <w:pPr>
              <w:ind w:right="161"/>
              <w:jc w:val="both"/>
              <w:rPr>
                <w:b/>
                <w:sz w:val="20"/>
              </w:rPr>
            </w:pPr>
            <w:r w:rsidRPr="006C370A">
              <w:rPr>
                <w:sz w:val="20"/>
              </w:rPr>
              <w:t>–</w:t>
            </w:r>
            <w:r w:rsidR="001653AB" w:rsidRPr="006C370A">
              <w:rPr>
                <w:sz w:val="20"/>
              </w:rPr>
              <w:t xml:space="preserve"> Langue(s) nécessaire(s) pour l'accomplissement des tâches :</w:t>
            </w:r>
            <w:r w:rsidR="001653AB" w:rsidRPr="006C370A">
              <w:t xml:space="preserve"> </w:t>
            </w:r>
            <w:r w:rsidR="00B05EB0" w:rsidRPr="006C370A">
              <w:rPr>
                <w:b/>
                <w:sz w:val="20"/>
              </w:rPr>
              <w:t>Anglais - C1</w:t>
            </w:r>
          </w:p>
        </w:tc>
      </w:tr>
      <w:tr w:rsidR="001653AB" w:rsidRPr="006C370A" w:rsidTr="0059779D">
        <w:trPr>
          <w:gridAfter w:val="1"/>
          <w:wAfter w:w="14" w:type="dxa"/>
          <w:trHeight w:val="95"/>
        </w:trPr>
        <w:tc>
          <w:tcPr>
            <w:tcW w:w="392" w:type="dxa"/>
            <w:tcBorders>
              <w:left w:val="single" w:sz="4" w:space="0" w:color="auto"/>
            </w:tcBorders>
            <w:shd w:val="clear" w:color="auto" w:fill="auto"/>
          </w:tcPr>
          <w:p w:rsidR="001653AB" w:rsidRPr="006C370A"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C370A" w:rsidRDefault="001653AB" w:rsidP="00500B1E">
            <w:pPr>
              <w:ind w:right="161"/>
              <w:jc w:val="both"/>
              <w:rPr>
                <w:b/>
              </w:rPr>
            </w:pPr>
          </w:p>
        </w:tc>
      </w:tr>
      <w:tr w:rsidR="001653AB" w:rsidRPr="006C370A" w:rsidTr="0059779D">
        <w:trPr>
          <w:gridAfter w:val="1"/>
          <w:wAfter w:w="14" w:type="dxa"/>
        </w:trPr>
        <w:tc>
          <w:tcPr>
            <w:tcW w:w="392" w:type="dxa"/>
            <w:tcBorders>
              <w:left w:val="single" w:sz="4" w:space="0" w:color="auto"/>
              <w:bottom w:val="single" w:sz="4" w:space="0" w:color="auto"/>
            </w:tcBorders>
            <w:shd w:val="clear" w:color="auto" w:fill="auto"/>
          </w:tcPr>
          <w:p w:rsidR="001653AB" w:rsidRPr="006C370A" w:rsidRDefault="001653AB" w:rsidP="0059779D">
            <w:pPr>
              <w:ind w:right="1317"/>
              <w:jc w:val="both"/>
              <w:rPr>
                <w:b/>
                <w:sz w:val="20"/>
              </w:rPr>
            </w:pPr>
          </w:p>
        </w:tc>
        <w:tc>
          <w:tcPr>
            <w:tcW w:w="8916" w:type="dxa"/>
            <w:gridSpan w:val="2"/>
            <w:tcBorders>
              <w:left w:val="nil"/>
              <w:bottom w:val="single" w:sz="4" w:space="0" w:color="auto"/>
              <w:right w:val="single" w:sz="4" w:space="0" w:color="auto"/>
            </w:tcBorders>
            <w:shd w:val="clear" w:color="auto" w:fill="auto"/>
          </w:tcPr>
          <w:p w:rsidR="001653AB" w:rsidRPr="006C370A" w:rsidRDefault="001653AB" w:rsidP="0059779D">
            <w:pPr>
              <w:ind w:right="1317"/>
              <w:jc w:val="both"/>
              <w:rPr>
                <w:b/>
                <w:sz w:val="20"/>
              </w:rPr>
            </w:pPr>
          </w:p>
        </w:tc>
      </w:tr>
      <w:tr w:rsidR="001653AB" w:rsidRPr="006C370A" w:rsidTr="003B2134">
        <w:trPr>
          <w:gridAfter w:val="1"/>
          <w:wAfter w:w="14" w:type="dxa"/>
        </w:trPr>
        <w:tc>
          <w:tcPr>
            <w:tcW w:w="392" w:type="dxa"/>
            <w:tcBorders>
              <w:top w:val="single" w:sz="4" w:space="0" w:color="auto"/>
              <w:bottom w:val="single" w:sz="4" w:space="0" w:color="auto"/>
            </w:tcBorders>
            <w:shd w:val="clear" w:color="auto" w:fill="auto"/>
          </w:tcPr>
          <w:p w:rsidR="001653AB" w:rsidRPr="006C370A"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1653AB" w:rsidRPr="006C370A" w:rsidRDefault="001653AB" w:rsidP="0059779D">
            <w:pPr>
              <w:ind w:right="1317"/>
              <w:jc w:val="both"/>
              <w:rPr>
                <w:b/>
                <w:sz w:val="20"/>
              </w:rPr>
            </w:pPr>
          </w:p>
        </w:tc>
      </w:tr>
      <w:tr w:rsidR="001653AB" w:rsidRPr="006C370A"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6C370A" w:rsidRDefault="001653AB" w:rsidP="0059779D">
            <w:pPr>
              <w:ind w:right="1317"/>
              <w:jc w:val="both"/>
              <w:rPr>
                <w:b/>
                <w:sz w:val="20"/>
              </w:rPr>
            </w:pPr>
            <w:r w:rsidRPr="006C370A">
              <w:rPr>
                <w:b/>
                <w:sz w:val="20"/>
              </w:rPr>
              <w:t>3</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6C370A" w:rsidRDefault="001653AB" w:rsidP="0059779D">
            <w:pPr>
              <w:ind w:right="1317"/>
              <w:jc w:val="both"/>
              <w:rPr>
                <w:b/>
                <w:sz w:val="20"/>
              </w:rPr>
            </w:pPr>
            <w:r w:rsidRPr="006C370A">
              <w:rPr>
                <w:b/>
                <w:sz w:val="20"/>
              </w:rPr>
              <w:t>Soumission des candidatures et procédure de sélection</w:t>
            </w:r>
          </w:p>
        </w:tc>
      </w:tr>
      <w:tr w:rsidR="001653AB" w:rsidRPr="006C370A" w:rsidTr="0059779D">
        <w:trPr>
          <w:gridAfter w:val="1"/>
          <w:wAfter w:w="14" w:type="dxa"/>
        </w:trPr>
        <w:tc>
          <w:tcPr>
            <w:tcW w:w="392" w:type="dxa"/>
            <w:tcBorders>
              <w:top w:val="single" w:sz="4" w:space="0" w:color="auto"/>
              <w:left w:val="single" w:sz="4" w:space="0" w:color="auto"/>
            </w:tcBorders>
            <w:shd w:val="clear" w:color="auto" w:fill="auto"/>
          </w:tcPr>
          <w:p w:rsidR="001653AB" w:rsidRPr="006C370A" w:rsidRDefault="001653AB" w:rsidP="0059779D">
            <w:pPr>
              <w:ind w:right="1317"/>
              <w:jc w:val="both"/>
              <w:rPr>
                <w:b/>
                <w:sz w:val="20"/>
              </w:rPr>
            </w:pPr>
          </w:p>
        </w:tc>
        <w:tc>
          <w:tcPr>
            <w:tcW w:w="8916" w:type="dxa"/>
            <w:gridSpan w:val="2"/>
            <w:tcBorders>
              <w:top w:val="single" w:sz="4" w:space="0" w:color="auto"/>
              <w:left w:val="nil"/>
              <w:right w:val="single" w:sz="4" w:space="0" w:color="auto"/>
            </w:tcBorders>
            <w:shd w:val="clear" w:color="auto" w:fill="auto"/>
          </w:tcPr>
          <w:p w:rsidR="001653AB" w:rsidRPr="006C370A" w:rsidRDefault="001653AB" w:rsidP="00DB7D07">
            <w:pPr>
              <w:ind w:right="175"/>
              <w:jc w:val="both"/>
              <w:rPr>
                <w:sz w:val="20"/>
              </w:rPr>
            </w:pPr>
          </w:p>
          <w:p w:rsidR="001653AB" w:rsidRPr="006C370A" w:rsidRDefault="001653AB" w:rsidP="00AB2358">
            <w:pPr>
              <w:ind w:right="175"/>
              <w:jc w:val="both"/>
              <w:rPr>
                <w:b/>
                <w:sz w:val="20"/>
              </w:rPr>
            </w:pPr>
            <w:r w:rsidRPr="006C370A">
              <w:rPr>
                <w:sz w:val="20"/>
              </w:rPr>
              <w:t>Les candidats doivent envoyer leur candidature</w:t>
            </w:r>
            <w:r w:rsidRPr="006C370A">
              <w:rPr>
                <w:b/>
                <w:color w:val="FF0000"/>
                <w:sz w:val="20"/>
              </w:rPr>
              <w:t xml:space="preserve"> </w:t>
            </w:r>
            <w:r w:rsidRPr="006C370A">
              <w:rPr>
                <w:sz w:val="20"/>
              </w:rPr>
              <w:t xml:space="preserve">sous format </w:t>
            </w:r>
            <w:r w:rsidRPr="006C370A">
              <w:rPr>
                <w:b/>
                <w:sz w:val="20"/>
              </w:rPr>
              <w:t xml:space="preserve">CV Europass </w:t>
            </w:r>
            <w:r w:rsidRPr="006C370A">
              <w:rPr>
                <w:sz w:val="20"/>
              </w:rPr>
              <w:t>(</w:t>
            </w:r>
            <w:hyperlink r:id="rId9" w:history="1">
              <w:r w:rsidRPr="006C370A">
                <w:rPr>
                  <w:rStyle w:val="Hyperlink"/>
                  <w:sz w:val="20"/>
                </w:rPr>
                <w:t>http://europass.cedefop.europa.eu/fr/documents/curriculum-vitae</w:t>
              </w:r>
            </w:hyperlink>
            <w:r w:rsidRPr="006C370A">
              <w:rPr>
                <w:sz w:val="20"/>
              </w:rPr>
              <w:t>)</w:t>
            </w:r>
            <w:r w:rsidRPr="006C370A">
              <w:rPr>
                <w:b/>
                <w:sz w:val="20"/>
              </w:rPr>
              <w:t xml:space="preserve"> </w:t>
            </w:r>
            <w:r w:rsidRPr="006C370A">
              <w:rPr>
                <w:sz w:val="20"/>
              </w:rPr>
              <w:t>en français, anglais ou allemand</w:t>
            </w:r>
            <w:r w:rsidRPr="006C370A">
              <w:rPr>
                <w:b/>
                <w:sz w:val="20"/>
              </w:rPr>
              <w:t xml:space="preserve"> </w:t>
            </w:r>
            <w:r w:rsidRPr="006C370A">
              <w:rPr>
                <w:b/>
                <w:sz w:val="20"/>
                <w:u w:val="single"/>
              </w:rPr>
              <w:t>uniquement à la Représentation Permanente / Mission diplomatique de leur pays auprès de l'UE</w:t>
            </w:r>
            <w:r w:rsidRPr="006C370A">
              <w:rPr>
                <w:sz w:val="20"/>
              </w:rPr>
              <w:t>,</w:t>
            </w:r>
            <w:r w:rsidRPr="006C370A">
              <w:rPr>
                <w:color w:val="FF0000"/>
                <w:sz w:val="20"/>
              </w:rPr>
              <w:t xml:space="preserve"> </w:t>
            </w:r>
            <w:r w:rsidRPr="006C370A">
              <w:rPr>
                <w:sz w:val="20"/>
              </w:rPr>
              <w:t>qui transmettra les candidatures aux services de la Commission compétents dans les délais fixés par ces derniers.</w:t>
            </w:r>
            <w:r w:rsidRPr="006C370A">
              <w:rPr>
                <w:b/>
                <w:sz w:val="20"/>
              </w:rPr>
              <w:t xml:space="preserve"> Le non respect de cette procédure ou des délais invalidera automatiquement la candidature. </w:t>
            </w:r>
            <w:r w:rsidRPr="006C370A">
              <w:rPr>
                <w:sz w:val="20"/>
              </w:rPr>
              <w:t>Les candidats sont priés de ne pas joindre à leur candidature d'autres documents</w:t>
            </w:r>
            <w:r w:rsidRPr="006C370A">
              <w:rPr>
                <w:b/>
                <w:sz w:val="20"/>
              </w:rPr>
              <w:t xml:space="preserve"> </w:t>
            </w:r>
            <w:r w:rsidRPr="006C370A">
              <w:rPr>
                <w:sz w:val="20"/>
              </w:rPr>
              <w:t xml:space="preserve">(tels que copie de carte d'identité, copie des diplômes et attestations d'expérience </w:t>
            </w:r>
            <w:proofErr w:type="gramStart"/>
            <w:r w:rsidRPr="006C370A">
              <w:rPr>
                <w:sz w:val="20"/>
              </w:rPr>
              <w:t>professionnelle,…</w:t>
            </w:r>
            <w:proofErr w:type="gramEnd"/>
            <w:r w:rsidRPr="006C370A">
              <w:rPr>
                <w:sz w:val="20"/>
              </w:rPr>
              <w:t>). Ces documents leur seront demandés, le cas échéant, à un stade ultérieur de la procédure de sélection.</w:t>
            </w:r>
          </w:p>
        </w:tc>
      </w:tr>
      <w:tr w:rsidR="001653AB" w:rsidRPr="006C370A" w:rsidTr="0059779D">
        <w:trPr>
          <w:gridAfter w:val="1"/>
          <w:wAfter w:w="14" w:type="dxa"/>
        </w:trPr>
        <w:tc>
          <w:tcPr>
            <w:tcW w:w="392" w:type="dxa"/>
            <w:tcBorders>
              <w:left w:val="single" w:sz="4" w:space="0" w:color="auto"/>
              <w:bottom w:val="single" w:sz="4" w:space="0" w:color="auto"/>
            </w:tcBorders>
            <w:shd w:val="clear" w:color="auto" w:fill="auto"/>
          </w:tcPr>
          <w:p w:rsidR="001653AB" w:rsidRPr="006C370A" w:rsidRDefault="001653AB" w:rsidP="0059779D">
            <w:pPr>
              <w:ind w:right="1317"/>
              <w:jc w:val="both"/>
              <w:rPr>
                <w:b/>
                <w:sz w:val="20"/>
              </w:rPr>
            </w:pPr>
          </w:p>
        </w:tc>
        <w:tc>
          <w:tcPr>
            <w:tcW w:w="8916" w:type="dxa"/>
            <w:gridSpan w:val="2"/>
            <w:tcBorders>
              <w:left w:val="nil"/>
              <w:bottom w:val="single" w:sz="4" w:space="0" w:color="auto"/>
              <w:right w:val="single" w:sz="4" w:space="0" w:color="auto"/>
            </w:tcBorders>
            <w:shd w:val="clear" w:color="auto" w:fill="auto"/>
          </w:tcPr>
          <w:p w:rsidR="001653AB" w:rsidRPr="006C370A" w:rsidRDefault="001653AB" w:rsidP="00F25489">
            <w:pPr>
              <w:ind w:right="175"/>
              <w:jc w:val="both"/>
              <w:rPr>
                <w:sz w:val="20"/>
              </w:rPr>
            </w:pPr>
            <w:r w:rsidRPr="006C370A">
              <w:rPr>
                <w:sz w:val="20"/>
              </w:rPr>
              <w:t>Les candidats seront informés du suivi de leur candidature par l'unité concernée.</w:t>
            </w:r>
          </w:p>
          <w:p w:rsidR="001653AB" w:rsidRPr="006C370A" w:rsidRDefault="001653AB" w:rsidP="00F25489">
            <w:pPr>
              <w:ind w:right="175"/>
              <w:jc w:val="both"/>
              <w:rPr>
                <w:b/>
                <w:sz w:val="20"/>
              </w:rPr>
            </w:pPr>
          </w:p>
        </w:tc>
      </w:tr>
      <w:tr w:rsidR="001653AB" w:rsidRPr="006C370A" w:rsidTr="003B2134">
        <w:trPr>
          <w:gridAfter w:val="1"/>
          <w:wAfter w:w="14" w:type="dxa"/>
        </w:trPr>
        <w:tc>
          <w:tcPr>
            <w:tcW w:w="392" w:type="dxa"/>
            <w:tcBorders>
              <w:top w:val="single" w:sz="4" w:space="0" w:color="auto"/>
              <w:bottom w:val="single" w:sz="4" w:space="0" w:color="auto"/>
            </w:tcBorders>
            <w:shd w:val="clear" w:color="auto" w:fill="auto"/>
          </w:tcPr>
          <w:p w:rsidR="001653AB" w:rsidRPr="006C370A"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1653AB" w:rsidRPr="006C370A" w:rsidRDefault="001653AB" w:rsidP="0059779D">
            <w:pPr>
              <w:ind w:right="175"/>
              <w:jc w:val="both"/>
              <w:rPr>
                <w:b/>
                <w:sz w:val="20"/>
              </w:rPr>
            </w:pPr>
          </w:p>
        </w:tc>
      </w:tr>
      <w:tr w:rsidR="001653AB" w:rsidRPr="006C370A"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6C370A" w:rsidRDefault="001653AB" w:rsidP="0059779D">
            <w:pPr>
              <w:ind w:right="1317"/>
              <w:jc w:val="both"/>
              <w:rPr>
                <w:b/>
                <w:sz w:val="20"/>
              </w:rPr>
            </w:pPr>
            <w:r w:rsidRPr="006C370A">
              <w:rPr>
                <w:b/>
                <w:sz w:val="20"/>
              </w:rPr>
              <w:t>4</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6C370A" w:rsidRDefault="001653AB" w:rsidP="0059779D">
            <w:pPr>
              <w:ind w:right="175"/>
              <w:jc w:val="both"/>
              <w:rPr>
                <w:b/>
                <w:sz w:val="20"/>
              </w:rPr>
            </w:pPr>
            <w:r w:rsidRPr="006C370A">
              <w:rPr>
                <w:b/>
                <w:sz w:val="20"/>
              </w:rPr>
              <w:t>Conditions du détachement</w:t>
            </w:r>
          </w:p>
        </w:tc>
      </w:tr>
      <w:tr w:rsidR="001653AB" w:rsidRPr="006C370A" w:rsidTr="0059779D">
        <w:trPr>
          <w:gridAfter w:val="1"/>
          <w:wAfter w:w="14" w:type="dxa"/>
        </w:trPr>
        <w:tc>
          <w:tcPr>
            <w:tcW w:w="392" w:type="dxa"/>
            <w:tcBorders>
              <w:top w:val="single" w:sz="4" w:space="0" w:color="auto"/>
              <w:left w:val="single" w:sz="4" w:space="0" w:color="auto"/>
              <w:bottom w:val="single" w:sz="4" w:space="0" w:color="auto"/>
            </w:tcBorders>
            <w:shd w:val="clear" w:color="auto" w:fill="auto"/>
          </w:tcPr>
          <w:p w:rsidR="001653AB" w:rsidRPr="006C370A" w:rsidRDefault="001653AB" w:rsidP="0059779D">
            <w:pPr>
              <w:ind w:right="1317"/>
              <w:jc w:val="both"/>
              <w:rPr>
                <w:b/>
                <w:sz w:val="20"/>
              </w:rPr>
            </w:pPr>
          </w:p>
        </w:tc>
        <w:tc>
          <w:tcPr>
            <w:tcW w:w="8916" w:type="dxa"/>
            <w:gridSpan w:val="2"/>
            <w:tcBorders>
              <w:left w:val="nil"/>
              <w:bottom w:val="single" w:sz="4" w:space="0" w:color="auto"/>
              <w:right w:val="single" w:sz="4" w:space="0" w:color="auto"/>
            </w:tcBorders>
            <w:shd w:val="clear" w:color="auto" w:fill="auto"/>
          </w:tcPr>
          <w:p w:rsidR="001653AB" w:rsidRPr="006C370A" w:rsidRDefault="001653AB" w:rsidP="00CF55F6">
            <w:pPr>
              <w:ind w:right="175"/>
              <w:jc w:val="both"/>
              <w:rPr>
                <w:sz w:val="20"/>
              </w:rPr>
            </w:pPr>
          </w:p>
          <w:p w:rsidR="001653AB" w:rsidRPr="006C370A" w:rsidRDefault="001653AB" w:rsidP="00CF55F6">
            <w:pPr>
              <w:ind w:right="175"/>
              <w:jc w:val="both"/>
              <w:rPr>
                <w:sz w:val="20"/>
              </w:rPr>
            </w:pPr>
            <w:r w:rsidRPr="006C370A">
              <w:rPr>
                <w:sz w:val="20"/>
              </w:rPr>
              <w:t xml:space="preserve">Les détachements sont régis par la </w:t>
            </w:r>
            <w:r w:rsidRPr="006C370A">
              <w:rPr>
                <w:b/>
                <w:sz w:val="20"/>
              </w:rPr>
              <w:t xml:space="preserve">décision de la Commission </w:t>
            </w:r>
            <w:proofErr w:type="gramStart"/>
            <w:r w:rsidRPr="006C370A">
              <w:rPr>
                <w:b/>
                <w:sz w:val="20"/>
              </w:rPr>
              <w:t>C(</w:t>
            </w:r>
            <w:proofErr w:type="gramEnd"/>
            <w:r w:rsidRPr="006C370A">
              <w:rPr>
                <w:b/>
                <w:sz w:val="20"/>
              </w:rPr>
              <w:t>2008)6866 du 12/11/2008</w:t>
            </w:r>
            <w:r w:rsidRPr="006C370A">
              <w:rPr>
                <w:sz w:val="20"/>
              </w:rPr>
              <w:t xml:space="preserve"> relative au régime applicable aux experts nationaux détachés et aux experts nationaux en formation professionnelle auprès des services de la Commission (décision END). Le texte de cette décision est disponible sur </w:t>
            </w:r>
            <w:hyperlink r:id="rId10" w:history="1">
              <w:r w:rsidRPr="006C370A">
                <w:rPr>
                  <w:rStyle w:val="Hyperlink"/>
                  <w:sz w:val="20"/>
                </w:rPr>
                <w:t>http://ec.europa.eu/civil_service/job/sne/index_fr.htm</w:t>
              </w:r>
            </w:hyperlink>
            <w:r w:rsidRPr="006C370A">
              <w:rPr>
                <w:sz w:val="20"/>
              </w:rPr>
              <w:t>.</w:t>
            </w:r>
          </w:p>
          <w:p w:rsidR="001653AB" w:rsidRPr="006C370A" w:rsidRDefault="001653AB" w:rsidP="0059779D">
            <w:pPr>
              <w:ind w:right="175"/>
              <w:jc w:val="both"/>
              <w:rPr>
                <w:sz w:val="20"/>
              </w:rPr>
            </w:pPr>
            <w:r w:rsidRPr="006C370A">
              <w:rPr>
                <w:sz w:val="20"/>
              </w:rPr>
              <w:t>L'END restera employé et rémunéré par son employeur durant toute la durée du détachement. Il restera également couvert par la sécurité sociale nationale durant son détachement.</w:t>
            </w:r>
          </w:p>
          <w:p w:rsidR="001653AB" w:rsidRPr="006C370A" w:rsidRDefault="001653AB" w:rsidP="0059779D">
            <w:pPr>
              <w:ind w:right="175"/>
              <w:jc w:val="both"/>
              <w:rPr>
                <w:sz w:val="20"/>
              </w:rPr>
            </w:pPr>
            <w:r w:rsidRPr="006C370A">
              <w:rPr>
                <w:sz w:val="20"/>
              </w:rPr>
              <w:t xml:space="preserve">Sauf pour les END sans frais, des indemnités de séjour peuvent être versées à l'END qui en remplit les conditions conformément </w:t>
            </w:r>
            <w:proofErr w:type="gramStart"/>
            <w:r w:rsidRPr="006C370A">
              <w:rPr>
                <w:sz w:val="20"/>
              </w:rPr>
              <w:t>à  l'article</w:t>
            </w:r>
            <w:proofErr w:type="gramEnd"/>
            <w:r w:rsidRPr="006C370A">
              <w:rPr>
                <w:sz w:val="20"/>
              </w:rPr>
              <w:t xml:space="preserve"> 17 de la décision END.</w:t>
            </w:r>
          </w:p>
          <w:p w:rsidR="001653AB" w:rsidRPr="006C370A" w:rsidRDefault="001653AB" w:rsidP="0059779D">
            <w:pPr>
              <w:ind w:right="175"/>
              <w:jc w:val="both"/>
              <w:rPr>
                <w:sz w:val="20"/>
              </w:rPr>
            </w:pPr>
            <w:r w:rsidRPr="006C370A">
              <w:rPr>
                <w:sz w:val="20"/>
              </w:rPr>
              <w:t>Durant le détachement, l'END sera soumis aux obligations de confidentialité, de loyauté et d'absence de conflit d'intérêt prévues par les articles 6 et 7 de la décision END.</w:t>
            </w:r>
          </w:p>
          <w:p w:rsidR="001653AB" w:rsidRPr="006C370A" w:rsidRDefault="001653AB" w:rsidP="00D85988">
            <w:pPr>
              <w:pStyle w:val="ListBullet"/>
              <w:numPr>
                <w:ilvl w:val="0"/>
                <w:numId w:val="0"/>
              </w:numPr>
              <w:ind w:right="161"/>
              <w:rPr>
                <w:sz w:val="20"/>
              </w:rPr>
            </w:pPr>
            <w:r w:rsidRPr="006C370A">
              <w:rPr>
                <w:bCs/>
                <w:sz w:val="20"/>
              </w:rPr>
              <w:t>Toute déclaration incomplète ou fausse pourra entraîner le refus de la candidature.</w:t>
            </w:r>
          </w:p>
        </w:tc>
      </w:tr>
      <w:tr w:rsidR="001653AB" w:rsidRPr="006C370A" w:rsidTr="00A26BD3">
        <w:tc>
          <w:tcPr>
            <w:tcW w:w="392" w:type="dxa"/>
            <w:tcBorders>
              <w:bottom w:val="single" w:sz="4" w:space="0" w:color="auto"/>
            </w:tcBorders>
            <w:shd w:val="clear" w:color="auto" w:fill="auto"/>
          </w:tcPr>
          <w:p w:rsidR="001653AB" w:rsidRPr="006C370A" w:rsidRDefault="001653AB" w:rsidP="0059779D">
            <w:pPr>
              <w:ind w:right="1317"/>
              <w:jc w:val="both"/>
              <w:rPr>
                <w:b/>
                <w:sz w:val="20"/>
              </w:rPr>
            </w:pPr>
          </w:p>
        </w:tc>
        <w:tc>
          <w:tcPr>
            <w:tcW w:w="8930" w:type="dxa"/>
            <w:gridSpan w:val="3"/>
            <w:tcBorders>
              <w:bottom w:val="single" w:sz="4" w:space="0" w:color="auto"/>
            </w:tcBorders>
            <w:shd w:val="clear" w:color="auto" w:fill="auto"/>
          </w:tcPr>
          <w:p w:rsidR="001653AB" w:rsidRPr="006C370A" w:rsidRDefault="001653AB" w:rsidP="0059779D">
            <w:pPr>
              <w:ind w:left="473"/>
              <w:jc w:val="both"/>
              <w:rPr>
                <w:sz w:val="20"/>
              </w:rPr>
            </w:pPr>
          </w:p>
        </w:tc>
      </w:tr>
      <w:tr w:rsidR="001653AB" w:rsidRPr="006C370A" w:rsidTr="00A26BD3">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6C370A" w:rsidRDefault="001653AB" w:rsidP="0059779D">
            <w:pPr>
              <w:ind w:right="1317"/>
              <w:jc w:val="both"/>
              <w:rPr>
                <w:b/>
                <w:sz w:val="20"/>
              </w:rPr>
            </w:pPr>
            <w:r w:rsidRPr="006C370A">
              <w:rPr>
                <w:b/>
                <w:sz w:val="20"/>
              </w:rPr>
              <w:t>5</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6C370A" w:rsidRDefault="001653AB" w:rsidP="00E3586A">
            <w:pPr>
              <w:pStyle w:val="Footer"/>
              <w:rPr>
                <w:b/>
                <w:sz w:val="20"/>
              </w:rPr>
            </w:pPr>
            <w:r w:rsidRPr="006C370A">
              <w:rPr>
                <w:b/>
                <w:sz w:val="20"/>
              </w:rPr>
              <w:t>Traitement des données à caractère personnel :</w:t>
            </w:r>
          </w:p>
        </w:tc>
      </w:tr>
      <w:tr w:rsidR="001653AB" w:rsidRPr="006C370A" w:rsidTr="00A26BD3">
        <w:tc>
          <w:tcPr>
            <w:tcW w:w="392" w:type="dxa"/>
            <w:tcBorders>
              <w:top w:val="single" w:sz="4" w:space="0" w:color="auto"/>
              <w:left w:val="single" w:sz="4" w:space="0" w:color="auto"/>
            </w:tcBorders>
            <w:shd w:val="clear" w:color="auto" w:fill="auto"/>
          </w:tcPr>
          <w:p w:rsidR="001653AB" w:rsidRPr="006C370A" w:rsidRDefault="001653AB" w:rsidP="0059779D">
            <w:pPr>
              <w:ind w:right="1317"/>
              <w:jc w:val="both"/>
              <w:rPr>
                <w:b/>
                <w:sz w:val="20"/>
              </w:rPr>
            </w:pPr>
          </w:p>
        </w:tc>
        <w:tc>
          <w:tcPr>
            <w:tcW w:w="8930" w:type="dxa"/>
            <w:gridSpan w:val="3"/>
            <w:tcBorders>
              <w:top w:val="single" w:sz="4" w:space="0" w:color="auto"/>
              <w:right w:val="single" w:sz="4" w:space="0" w:color="auto"/>
            </w:tcBorders>
            <w:shd w:val="clear" w:color="auto" w:fill="auto"/>
          </w:tcPr>
          <w:p w:rsidR="001653AB" w:rsidRPr="006C370A" w:rsidRDefault="001653AB" w:rsidP="00D85988">
            <w:pPr>
              <w:ind w:right="175"/>
              <w:jc w:val="both"/>
              <w:rPr>
                <w:sz w:val="20"/>
              </w:rPr>
            </w:pPr>
            <w:r w:rsidRPr="006C370A">
              <w:rPr>
                <w:sz w:val="20"/>
              </w:rPr>
              <w:b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w:t>
            </w:r>
            <w:proofErr w:type="gramStart"/>
            <w:r w:rsidRPr="006C370A">
              <w:rPr>
                <w:sz w:val="20"/>
              </w:rPr>
              <w:t>HR.B</w:t>
            </w:r>
            <w:proofErr w:type="gramEnd"/>
            <w:r w:rsidRPr="006C370A">
              <w:rPr>
                <w:sz w:val="20"/>
              </w:rPr>
              <w:t>4. Ce traitement est basé sur la décision de la Commission relative aux END et est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1653AB" w:rsidRPr="006C370A" w:rsidRDefault="001653AB" w:rsidP="00D85988">
            <w:pPr>
              <w:ind w:right="175"/>
              <w:jc w:val="both"/>
              <w:rPr>
                <w:sz w:val="20"/>
              </w:rPr>
            </w:pPr>
            <w:r w:rsidRPr="006C370A">
              <w:rPr>
                <w:sz w:val="20"/>
              </w:rPr>
              <w:t xml:space="preserve">Les données des END seront conservées pendant 10 ans à compter de la fin du détachement (2 ans pour les END dont la candidature n'a pas été retenue ou a été retirée). </w:t>
            </w:r>
          </w:p>
          <w:p w:rsidR="001653AB" w:rsidRPr="006C370A" w:rsidRDefault="001653AB" w:rsidP="00D85988">
            <w:pPr>
              <w:ind w:right="175"/>
              <w:jc w:val="both"/>
              <w:rPr>
                <w:sz w:val="20"/>
              </w:rPr>
            </w:pPr>
            <w:r w:rsidRPr="006C370A">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1" w:history="1">
              <w:r w:rsidRPr="006C370A">
                <w:rPr>
                  <w:rStyle w:val="Hyperlink"/>
                  <w:sz w:val="20"/>
                </w:rPr>
                <w:t>edps@edps.europa.eu</w:t>
              </w:r>
            </w:hyperlink>
            <w:r w:rsidRPr="006C370A">
              <w:rPr>
                <w:sz w:val="20"/>
              </w:rPr>
              <w:t>.</w:t>
            </w:r>
          </w:p>
          <w:p w:rsidR="001653AB" w:rsidRPr="006C370A" w:rsidRDefault="001653AB" w:rsidP="00D85988">
            <w:pPr>
              <w:ind w:right="175"/>
              <w:jc w:val="both"/>
              <w:rPr>
                <w:sz w:val="20"/>
              </w:rPr>
            </w:pPr>
            <w:r w:rsidRPr="006C370A">
              <w:rPr>
                <w:sz w:val="20"/>
              </w:rPr>
              <w:t>A l'attention des candidats des pays tiers : vos données à caractère personnel peuvent être utilisées aux fins des vérifications nécessaires. Plus d'informations à l'adresse :</w:t>
            </w:r>
          </w:p>
          <w:p w:rsidR="001653AB" w:rsidRPr="006C370A" w:rsidRDefault="006C370A" w:rsidP="00D85988">
            <w:pPr>
              <w:ind w:right="175"/>
              <w:jc w:val="both"/>
              <w:rPr>
                <w:sz w:val="20"/>
              </w:rPr>
            </w:pPr>
            <w:hyperlink r:id="rId12" w:history="1">
              <w:r w:rsidR="001653AB" w:rsidRPr="006C370A">
                <w:rPr>
                  <w:rStyle w:val="Hyperlink"/>
                  <w:sz w:val="20"/>
                </w:rPr>
                <w:t>http://ec.europa.eu/dgs/personnel_administration/security_fr.htm</w:t>
              </w:r>
            </w:hyperlink>
            <w:r w:rsidR="001653AB" w:rsidRPr="006C370A">
              <w:rPr>
                <w:rStyle w:val="Hyperlink"/>
                <w:color w:val="auto"/>
                <w:u w:val="none"/>
              </w:rPr>
              <w:t>.</w:t>
            </w:r>
          </w:p>
        </w:tc>
      </w:tr>
      <w:tr w:rsidR="001653AB" w:rsidRPr="0059779D" w:rsidTr="00A26BD3">
        <w:trPr>
          <w:trHeight w:val="473"/>
        </w:trPr>
        <w:tc>
          <w:tcPr>
            <w:tcW w:w="392" w:type="dxa"/>
            <w:vMerge w:val="restart"/>
            <w:tcBorders>
              <w:left w:val="single" w:sz="4" w:space="0" w:color="auto"/>
            </w:tcBorders>
            <w:shd w:val="clear" w:color="auto" w:fill="auto"/>
          </w:tcPr>
          <w:p w:rsidR="001653AB" w:rsidRPr="006C370A" w:rsidRDefault="001653AB" w:rsidP="0059779D">
            <w:pPr>
              <w:ind w:right="1317"/>
              <w:jc w:val="both"/>
              <w:rPr>
                <w:b/>
                <w:sz w:val="20"/>
              </w:rPr>
            </w:pPr>
          </w:p>
        </w:tc>
        <w:tc>
          <w:tcPr>
            <w:tcW w:w="8930" w:type="dxa"/>
            <w:gridSpan w:val="3"/>
            <w:tcBorders>
              <w:right w:val="single" w:sz="4" w:space="0" w:color="auto"/>
            </w:tcBorders>
            <w:shd w:val="clear" w:color="auto" w:fill="auto"/>
          </w:tcPr>
          <w:p w:rsidR="001653AB" w:rsidRPr="0059779D" w:rsidRDefault="001653AB" w:rsidP="00D85988">
            <w:pPr>
              <w:ind w:right="175"/>
              <w:jc w:val="both"/>
              <w:rPr>
                <w:sz w:val="20"/>
              </w:rPr>
            </w:pPr>
            <w:r w:rsidRPr="006C370A">
              <w:rPr>
                <w:sz w:val="20"/>
              </w:rPr>
              <w:t xml:space="preserve">Les informations sur le traitement des données personnelles au sein du JRC sont disponibles à l'adresse: </w:t>
            </w:r>
            <w:hyperlink r:id="rId13" w:history="1">
              <w:r w:rsidRPr="006C370A">
                <w:rPr>
                  <w:rStyle w:val="Hyperlink"/>
                  <w:sz w:val="20"/>
                </w:rPr>
                <w:t>http://ec.europa.eu/dgs/jrc/index.cfm?id=6270</w:t>
              </w:r>
            </w:hyperlink>
            <w:r w:rsidRPr="006C370A">
              <w:rPr>
                <w:rStyle w:val="Hyperlink"/>
                <w:color w:val="auto"/>
                <w:sz w:val="20"/>
                <w:u w:val="none"/>
              </w:rPr>
              <w:t>.</w:t>
            </w:r>
          </w:p>
        </w:tc>
      </w:tr>
      <w:tr w:rsidR="001653AB" w:rsidRPr="0059779D" w:rsidTr="00DF3FDD">
        <w:trPr>
          <w:trHeight w:val="311"/>
        </w:trPr>
        <w:tc>
          <w:tcPr>
            <w:tcW w:w="392" w:type="dxa"/>
            <w:vMerge/>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3"/>
            <w:tcBorders>
              <w:bottom w:val="single" w:sz="4" w:space="0" w:color="auto"/>
              <w:right w:val="single" w:sz="4" w:space="0" w:color="auto"/>
            </w:tcBorders>
            <w:shd w:val="clear" w:color="auto" w:fill="auto"/>
          </w:tcPr>
          <w:p w:rsidR="001653AB" w:rsidRPr="0059779D" w:rsidRDefault="001653AB" w:rsidP="0059779D">
            <w:pPr>
              <w:tabs>
                <w:tab w:val="left" w:pos="540"/>
              </w:tabs>
              <w:autoSpaceDE w:val="0"/>
              <w:autoSpaceDN w:val="0"/>
              <w:adjustRightInd w:val="0"/>
              <w:jc w:val="both"/>
              <w:rPr>
                <w:sz w:val="20"/>
                <w:lang w:val="fr-FR"/>
              </w:rPr>
            </w:pPr>
          </w:p>
        </w:tc>
      </w:tr>
    </w:tbl>
    <w:p w:rsidR="00E45131" w:rsidRPr="00300579" w:rsidRDefault="00E45131" w:rsidP="00300579">
      <w:pPr>
        <w:ind w:right="1317"/>
        <w:jc w:val="both"/>
        <w:rPr>
          <w:sz w:val="8"/>
          <w:szCs w:val="8"/>
        </w:rPr>
      </w:pPr>
    </w:p>
    <w:sectPr w:rsidR="00E45131" w:rsidRPr="00300579" w:rsidSect="00C44E7E">
      <w:headerReference w:type="default" r:id="rId14"/>
      <w:footerReference w:type="default" r:id="rId15"/>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30A" w:rsidRDefault="000E430A">
      <w:r>
        <w:separator/>
      </w:r>
    </w:p>
  </w:endnote>
  <w:endnote w:type="continuationSeparator" w:id="0">
    <w:p w:rsidR="000E430A" w:rsidRDefault="000E4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EE4" w:rsidRPr="004C1142" w:rsidRDefault="004C1142" w:rsidP="004C1142">
    <w:pPr>
      <w:pStyle w:val="Footer"/>
      <w:jc w:val="right"/>
      <w:rPr>
        <w:sz w:val="20"/>
      </w:rPr>
    </w:pPr>
    <w:r w:rsidRPr="004C1142">
      <w:rPr>
        <w:sz w:val="20"/>
      </w:rPr>
      <w:t>Version 2017-04</w:t>
    </w:r>
    <w:r>
      <w:rPr>
        <w:sz w:val="20"/>
      </w:rPr>
      <w:t xml:space="preserve">                 </w:t>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30A" w:rsidRDefault="000E430A">
      <w:r>
        <w:separator/>
      </w:r>
    </w:p>
  </w:footnote>
  <w:footnote w:type="continuationSeparator" w:id="0">
    <w:p w:rsidR="000E430A" w:rsidRDefault="000E430A">
      <w:r>
        <w:continuationSeparator/>
      </w:r>
    </w:p>
  </w:footnote>
  <w:footnote w:id="1">
    <w:p w:rsidR="001E30F0" w:rsidRPr="001E30F0" w:rsidRDefault="001E30F0" w:rsidP="001E30F0">
      <w:pPr>
        <w:pStyle w:val="FootnoteText"/>
        <w:ind w:right="1175"/>
        <w:jc w:val="both"/>
        <w:rPr>
          <w:szCs w:val="24"/>
          <w:lang w:val="fr-FR"/>
        </w:rPr>
      </w:pPr>
      <w:r>
        <w:rPr>
          <w:rStyle w:val="FootnoteReference"/>
          <w:szCs w:val="24"/>
        </w:rPr>
        <w:footnoteRef/>
      </w:r>
      <w:r w:rsidRPr="001E30F0">
        <w:rPr>
          <w:szCs w:val="24"/>
          <w:lang w:val="fr-FR"/>
        </w:rPr>
        <w:t xml:space="preserve"> </w:t>
      </w:r>
      <w:r>
        <w:t>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C7" w:rsidRPr="00D459AB" w:rsidRDefault="009555C7" w:rsidP="00844D7B">
    <w:pPr>
      <w:pStyle w:val="Header"/>
      <w:ind w:right="325"/>
      <w:jc w:val="right"/>
      <w:rPr>
        <w:b/>
        <w:sz w:val="20"/>
      </w:rPr>
    </w:pPr>
    <w:r w:rsidRPr="00D459AB">
      <w:rPr>
        <w:b/>
        <w:sz w:val="16"/>
        <w:szCs w:val="16"/>
      </w:rPr>
      <w:t>Formulaire DG.1 (FR)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0">
    <w:nsid w:val="0C57069C"/>
    <w:multiLevelType w:val="hybridMultilevel"/>
    <w:tmpl w:val="9C1A18FC"/>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4"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5"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6"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1"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7"/>
  </w:num>
  <w:num w:numId="4">
    <w:abstractNumId w:val="10"/>
  </w:num>
  <w:num w:numId="5">
    <w:abstractNumId w:val="9"/>
  </w:num>
  <w:num w:numId="6">
    <w:abstractNumId w:val="5"/>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11"/>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14514"/>
    <w:rsid w:val="000230DA"/>
    <w:rsid w:val="0006506F"/>
    <w:rsid w:val="000860A3"/>
    <w:rsid w:val="000D13C7"/>
    <w:rsid w:val="000E430A"/>
    <w:rsid w:val="000E6B9E"/>
    <w:rsid w:val="000F0B02"/>
    <w:rsid w:val="00101BDF"/>
    <w:rsid w:val="00110555"/>
    <w:rsid w:val="00116C58"/>
    <w:rsid w:val="00135773"/>
    <w:rsid w:val="0016470B"/>
    <w:rsid w:val="001653AB"/>
    <w:rsid w:val="00182ACD"/>
    <w:rsid w:val="00184D0D"/>
    <w:rsid w:val="00184FC0"/>
    <w:rsid w:val="00185847"/>
    <w:rsid w:val="00185A6E"/>
    <w:rsid w:val="00187CFB"/>
    <w:rsid w:val="001B6676"/>
    <w:rsid w:val="001E30F0"/>
    <w:rsid w:val="001F3C83"/>
    <w:rsid w:val="00207EB1"/>
    <w:rsid w:val="00210198"/>
    <w:rsid w:val="00213AC7"/>
    <w:rsid w:val="00225615"/>
    <w:rsid w:val="002269A9"/>
    <w:rsid w:val="0024100B"/>
    <w:rsid w:val="00243FA8"/>
    <w:rsid w:val="0024531E"/>
    <w:rsid w:val="00250424"/>
    <w:rsid w:val="002557DF"/>
    <w:rsid w:val="0026508A"/>
    <w:rsid w:val="00271801"/>
    <w:rsid w:val="00277C58"/>
    <w:rsid w:val="00277C82"/>
    <w:rsid w:val="00281224"/>
    <w:rsid w:val="00285754"/>
    <w:rsid w:val="002A0412"/>
    <w:rsid w:val="002A063F"/>
    <w:rsid w:val="002A4283"/>
    <w:rsid w:val="002A4308"/>
    <w:rsid w:val="002A6772"/>
    <w:rsid w:val="002A73A2"/>
    <w:rsid w:val="002B1D82"/>
    <w:rsid w:val="002B5738"/>
    <w:rsid w:val="002C1DD6"/>
    <w:rsid w:val="002C7E0A"/>
    <w:rsid w:val="002D73AA"/>
    <w:rsid w:val="002F757B"/>
    <w:rsid w:val="00300579"/>
    <w:rsid w:val="00306171"/>
    <w:rsid w:val="00332DA7"/>
    <w:rsid w:val="00340AB1"/>
    <w:rsid w:val="003429CD"/>
    <w:rsid w:val="003469B4"/>
    <w:rsid w:val="00353449"/>
    <w:rsid w:val="003639FD"/>
    <w:rsid w:val="003776E4"/>
    <w:rsid w:val="00377F18"/>
    <w:rsid w:val="003B2134"/>
    <w:rsid w:val="003D484D"/>
    <w:rsid w:val="003E0024"/>
    <w:rsid w:val="003E7309"/>
    <w:rsid w:val="00407204"/>
    <w:rsid w:val="00410120"/>
    <w:rsid w:val="0045400E"/>
    <w:rsid w:val="00454010"/>
    <w:rsid w:val="00491FE7"/>
    <w:rsid w:val="00494506"/>
    <w:rsid w:val="004B0250"/>
    <w:rsid w:val="004B7487"/>
    <w:rsid w:val="004C1142"/>
    <w:rsid w:val="004C1CF4"/>
    <w:rsid w:val="004F3943"/>
    <w:rsid w:val="00500B1E"/>
    <w:rsid w:val="00506CDC"/>
    <w:rsid w:val="00523A9B"/>
    <w:rsid w:val="00523BEC"/>
    <w:rsid w:val="00525AB3"/>
    <w:rsid w:val="005266F4"/>
    <w:rsid w:val="0053797D"/>
    <w:rsid w:val="005459ED"/>
    <w:rsid w:val="0054605D"/>
    <w:rsid w:val="00551643"/>
    <w:rsid w:val="005524F3"/>
    <w:rsid w:val="0055386D"/>
    <w:rsid w:val="00554C6D"/>
    <w:rsid w:val="0056395F"/>
    <w:rsid w:val="00570F58"/>
    <w:rsid w:val="00577BDC"/>
    <w:rsid w:val="00577E73"/>
    <w:rsid w:val="00597574"/>
    <w:rsid w:val="0059779D"/>
    <w:rsid w:val="005A1433"/>
    <w:rsid w:val="005A2544"/>
    <w:rsid w:val="005D3035"/>
    <w:rsid w:val="005D56DF"/>
    <w:rsid w:val="005D6462"/>
    <w:rsid w:val="005F7BCC"/>
    <w:rsid w:val="00625DED"/>
    <w:rsid w:val="00630177"/>
    <w:rsid w:val="00630D64"/>
    <w:rsid w:val="00657080"/>
    <w:rsid w:val="00673097"/>
    <w:rsid w:val="00677D9B"/>
    <w:rsid w:val="00682CB4"/>
    <w:rsid w:val="006A175E"/>
    <w:rsid w:val="006A35E2"/>
    <w:rsid w:val="006C370A"/>
    <w:rsid w:val="007429C6"/>
    <w:rsid w:val="00742A3B"/>
    <w:rsid w:val="00747985"/>
    <w:rsid w:val="0076561B"/>
    <w:rsid w:val="0078320E"/>
    <w:rsid w:val="007C786A"/>
    <w:rsid w:val="007E0A48"/>
    <w:rsid w:val="007E36DE"/>
    <w:rsid w:val="007F12AE"/>
    <w:rsid w:val="00807D4A"/>
    <w:rsid w:val="00811432"/>
    <w:rsid w:val="00820556"/>
    <w:rsid w:val="0083637C"/>
    <w:rsid w:val="00836F84"/>
    <w:rsid w:val="00837C9B"/>
    <w:rsid w:val="00844D7B"/>
    <w:rsid w:val="00856CF1"/>
    <w:rsid w:val="008611A2"/>
    <w:rsid w:val="008650B6"/>
    <w:rsid w:val="008B38B2"/>
    <w:rsid w:val="008C0C65"/>
    <w:rsid w:val="008C1BAB"/>
    <w:rsid w:val="008F4E36"/>
    <w:rsid w:val="008F5099"/>
    <w:rsid w:val="008F6CE2"/>
    <w:rsid w:val="00921131"/>
    <w:rsid w:val="009436D0"/>
    <w:rsid w:val="0094446C"/>
    <w:rsid w:val="00951939"/>
    <w:rsid w:val="00952714"/>
    <w:rsid w:val="009555C7"/>
    <w:rsid w:val="00995027"/>
    <w:rsid w:val="009E1B29"/>
    <w:rsid w:val="009F27F5"/>
    <w:rsid w:val="00A2450C"/>
    <w:rsid w:val="00A26BD3"/>
    <w:rsid w:val="00A26C4A"/>
    <w:rsid w:val="00A462B8"/>
    <w:rsid w:val="00A57358"/>
    <w:rsid w:val="00A579FE"/>
    <w:rsid w:val="00A83AC3"/>
    <w:rsid w:val="00AA6F9C"/>
    <w:rsid w:val="00AA7C72"/>
    <w:rsid w:val="00AB2358"/>
    <w:rsid w:val="00B05EB0"/>
    <w:rsid w:val="00B07C01"/>
    <w:rsid w:val="00B25175"/>
    <w:rsid w:val="00B25951"/>
    <w:rsid w:val="00B51D63"/>
    <w:rsid w:val="00B57F47"/>
    <w:rsid w:val="00B62E7D"/>
    <w:rsid w:val="00B70174"/>
    <w:rsid w:val="00B90296"/>
    <w:rsid w:val="00BA1CA5"/>
    <w:rsid w:val="00BC732B"/>
    <w:rsid w:val="00BC7731"/>
    <w:rsid w:val="00BD6207"/>
    <w:rsid w:val="00BE3F81"/>
    <w:rsid w:val="00BE6DEA"/>
    <w:rsid w:val="00C0285B"/>
    <w:rsid w:val="00C2181F"/>
    <w:rsid w:val="00C21F2B"/>
    <w:rsid w:val="00C41FD8"/>
    <w:rsid w:val="00C44E7E"/>
    <w:rsid w:val="00C47260"/>
    <w:rsid w:val="00C6355A"/>
    <w:rsid w:val="00C67062"/>
    <w:rsid w:val="00C72A05"/>
    <w:rsid w:val="00C7471D"/>
    <w:rsid w:val="00CC0DBE"/>
    <w:rsid w:val="00CC6445"/>
    <w:rsid w:val="00CD0164"/>
    <w:rsid w:val="00CD5B7F"/>
    <w:rsid w:val="00CD654F"/>
    <w:rsid w:val="00CD6C77"/>
    <w:rsid w:val="00CF55F6"/>
    <w:rsid w:val="00CF75BB"/>
    <w:rsid w:val="00D07676"/>
    <w:rsid w:val="00D17D0C"/>
    <w:rsid w:val="00D411C5"/>
    <w:rsid w:val="00D436AB"/>
    <w:rsid w:val="00D459AB"/>
    <w:rsid w:val="00D63538"/>
    <w:rsid w:val="00D743B0"/>
    <w:rsid w:val="00D85988"/>
    <w:rsid w:val="00DB2121"/>
    <w:rsid w:val="00DB2B95"/>
    <w:rsid w:val="00DB632F"/>
    <w:rsid w:val="00DB7CF2"/>
    <w:rsid w:val="00DB7D07"/>
    <w:rsid w:val="00DC353D"/>
    <w:rsid w:val="00DD20D9"/>
    <w:rsid w:val="00DE6CF2"/>
    <w:rsid w:val="00DF3FDD"/>
    <w:rsid w:val="00E00EE4"/>
    <w:rsid w:val="00E3586A"/>
    <w:rsid w:val="00E45131"/>
    <w:rsid w:val="00E57AEA"/>
    <w:rsid w:val="00E63EEB"/>
    <w:rsid w:val="00E67CD7"/>
    <w:rsid w:val="00E71A8F"/>
    <w:rsid w:val="00E71C56"/>
    <w:rsid w:val="00EB347A"/>
    <w:rsid w:val="00ED15A0"/>
    <w:rsid w:val="00EE2303"/>
    <w:rsid w:val="00EF5E1B"/>
    <w:rsid w:val="00EF61D4"/>
    <w:rsid w:val="00F25489"/>
    <w:rsid w:val="00FB237A"/>
    <w:rsid w:val="00FB7F4B"/>
    <w:rsid w:val="00FC2631"/>
    <w:rsid w:val="00FC77FD"/>
    <w:rsid w:val="00FD2BE5"/>
    <w:rsid w:val="00FD7326"/>
    <w:rsid w:val="00FE7A9B"/>
    <w:rsid w:val="00FF11BB"/>
    <w:rsid w:val="00FF4A9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D763EC91-3467-4580-84B6-DE2649BE2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personnel_administration/security_fr.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fr.htm" TargetMode="Externa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78F9E-8105-43B8-8894-0CFD47290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1378</Words>
  <Characters>7747</Characters>
  <Application>Microsoft Office Word</Application>
  <DocSecurity>4</DocSecurity>
  <Lines>227</Lines>
  <Paragraphs>89</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9036</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1245253</vt:i4>
      </vt:variant>
      <vt:variant>
        <vt:i4>12</vt:i4>
      </vt:variant>
      <vt:variant>
        <vt:i4>0</vt:i4>
      </vt:variant>
      <vt:variant>
        <vt:i4>5</vt:i4>
      </vt:variant>
      <vt:variant>
        <vt:lpwstr>http://ec.europa.eu/dgs/personnel_administration/security_fr.htm</vt:lpwstr>
      </vt:variant>
      <vt:variant>
        <vt:lpwstr/>
      </vt:variant>
      <vt:variant>
        <vt:i4>1835128</vt:i4>
      </vt:variant>
      <vt:variant>
        <vt:i4>9</vt:i4>
      </vt:variant>
      <vt:variant>
        <vt:i4>0</vt:i4>
      </vt:variant>
      <vt:variant>
        <vt:i4>5</vt:i4>
      </vt:variant>
      <vt:variant>
        <vt:lpwstr>mailto:edps@edps.europa.eu</vt:lpwstr>
      </vt:variant>
      <vt:variant>
        <vt:lpwstr/>
      </vt:variant>
      <vt:variant>
        <vt:i4>7536757</vt:i4>
      </vt:variant>
      <vt:variant>
        <vt:i4>6</vt:i4>
      </vt:variant>
      <vt:variant>
        <vt:i4>0</vt:i4>
      </vt:variant>
      <vt:variant>
        <vt:i4>5</vt:i4>
      </vt:variant>
      <vt:variant>
        <vt:lpwstr>http://ec.europa.eu/civil_service/job/sne/index_fr.htm</vt:lpwstr>
      </vt:variant>
      <vt:variant>
        <vt:lpwstr/>
      </vt:variant>
      <vt:variant>
        <vt:i4>3735590</vt:i4>
      </vt:variant>
      <vt:variant>
        <vt:i4>3</vt:i4>
      </vt:variant>
      <vt:variant>
        <vt:i4>0</vt:i4>
      </vt:variant>
      <vt:variant>
        <vt:i4>5</vt:i4>
      </vt:variant>
      <vt:variant>
        <vt:lpwstr>http://europass.cedefop.europa.eu/fr/documents/curriculum-vitae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HEERE Sandra (REGIO)</dc:creator>
  <cp:keywords/>
  <cp:lastModifiedBy>STAGELL Wivica (FPI)</cp:lastModifiedBy>
  <cp:revision>2</cp:revision>
  <cp:lastPrinted>2018-11-09T14:17:00Z</cp:lastPrinted>
  <dcterms:created xsi:type="dcterms:W3CDTF">2019-03-08T15:05:00Z</dcterms:created>
  <dcterms:modified xsi:type="dcterms:W3CDTF">2019-03-08T15:05:00Z</dcterms:modified>
</cp:coreProperties>
</file>