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737" w:rsidRDefault="009E5EE8" w:rsidP="0069244E">
      <w:pPr>
        <w:ind w:right="1317"/>
        <w:jc w:val="center"/>
        <w:rPr>
          <w:b/>
          <w:lang w:val="de-DE"/>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95pt;height:54.25pt;mso-position-horizontal-relative:char;mso-position-vertical-relative:line">
            <v:imagedata r:id="rId7" o:title=""/>
          </v:shape>
        </w:pict>
      </w:r>
    </w:p>
    <w:p w:rsidR="00CA54D9" w:rsidRPr="009222CC" w:rsidRDefault="006643E5" w:rsidP="00CA54D9">
      <w:pPr>
        <w:spacing w:before="240"/>
        <w:ind w:right="1315"/>
        <w:jc w:val="center"/>
        <w:rPr>
          <w:b/>
          <w:lang w:val="de-DE"/>
        </w:rPr>
      </w:pPr>
      <w:r w:rsidRPr="009222CC">
        <w:rPr>
          <w:b/>
          <w:lang w:val="de-DE"/>
        </w:rPr>
        <w:t>STELLENAUSSCHREIBUNG</w:t>
      </w:r>
      <w:r w:rsidR="00CA54D9">
        <w:rPr>
          <w:b/>
          <w:lang w:val="de-DE"/>
        </w:rPr>
        <w:br/>
      </w:r>
    </w:p>
    <w:p w:rsidR="00CC152B" w:rsidRDefault="00CC152B" w:rsidP="0069244E">
      <w:pPr>
        <w:tabs>
          <w:tab w:val="left" w:pos="10065"/>
        </w:tabs>
        <w:ind w:right="1317"/>
        <w:jc w:val="center"/>
        <w:rPr>
          <w:b/>
          <w:lang w:val="de-DE"/>
        </w:rPr>
      </w:pPr>
      <w:r>
        <w:rPr>
          <w:b/>
          <w:lang w:val="de-DE"/>
        </w:rPr>
        <w:t>ZU</w:t>
      </w:r>
      <w:r w:rsidRPr="009222CC">
        <w:rPr>
          <w:b/>
          <w:lang w:val="de-DE"/>
        </w:rPr>
        <w:t xml:space="preserve">R EUROPÄISCHEN KOMMISSION </w:t>
      </w:r>
    </w:p>
    <w:p w:rsidR="006643E5" w:rsidRPr="009222CC" w:rsidRDefault="006643E5" w:rsidP="0069244E">
      <w:pPr>
        <w:tabs>
          <w:tab w:val="left" w:pos="10065"/>
        </w:tabs>
        <w:ind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8F4989" w:rsidRPr="00C34249"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8F4989" w:rsidRPr="009222CC" w:rsidRDefault="00C34249" w:rsidP="00FA6FD6">
            <w:pPr>
              <w:spacing w:before="120"/>
              <w:ind w:right="1315"/>
              <w:jc w:val="both"/>
              <w:rPr>
                <w:b/>
                <w:lang w:val="de-DE"/>
              </w:rPr>
            </w:pPr>
            <w:r>
              <w:rPr>
                <w:b/>
                <w:lang w:val="de-DE"/>
              </w:rPr>
              <w:t>FPI.3</w:t>
            </w:r>
            <w:bookmarkStart w:id="0" w:name="_GoBack"/>
            <w:bookmarkEnd w:id="0"/>
          </w:p>
        </w:tc>
      </w:tr>
      <w:tr w:rsidR="004E09F0" w:rsidRPr="009222CC" w:rsidTr="008F4989">
        <w:trPr>
          <w:gridAfter w:val="1"/>
          <w:wAfter w:w="14" w:type="dxa"/>
        </w:trPr>
        <w:tc>
          <w:tcPr>
            <w:tcW w:w="392" w:type="dxa"/>
            <w:tcBorders>
              <w:top w:val="single" w:sz="4" w:space="0" w:color="auto"/>
              <w:left w:val="single" w:sz="4" w:space="0" w:color="auto"/>
            </w:tcBorders>
          </w:tcPr>
          <w:p w:rsidR="004E09F0" w:rsidRPr="009222CC" w:rsidRDefault="004E09F0" w:rsidP="0069244E">
            <w:pPr>
              <w:ind w:right="1317"/>
              <w:jc w:val="both"/>
              <w:rPr>
                <w:b/>
                <w:sz w:val="20"/>
                <w:lang w:val="de-DE"/>
              </w:rPr>
            </w:pPr>
          </w:p>
        </w:tc>
        <w:tc>
          <w:tcPr>
            <w:tcW w:w="3118" w:type="dxa"/>
            <w:tcBorders>
              <w:top w:val="single" w:sz="4" w:space="0" w:color="auto"/>
              <w:right w:val="single" w:sz="4" w:space="0" w:color="auto"/>
            </w:tcBorders>
          </w:tcPr>
          <w:p w:rsidR="004E09F0" w:rsidRPr="009222CC" w:rsidRDefault="004E09F0"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rsidR="004E09F0" w:rsidRPr="009222CC" w:rsidRDefault="004E09F0"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4E09F0" w:rsidRPr="00CE59B4" w:rsidRDefault="00913EC4" w:rsidP="0069244E">
            <w:pPr>
              <w:ind w:right="1317"/>
              <w:jc w:val="both"/>
              <w:rPr>
                <w:b/>
                <w:sz w:val="20"/>
                <w:lang w:val="de-DE"/>
              </w:rPr>
            </w:pPr>
            <w:r>
              <w:rPr>
                <w:b/>
                <w:sz w:val="20"/>
                <w:lang w:val="de-DE"/>
              </w:rPr>
              <w:t>Dienst für A</w:t>
            </w:r>
            <w:r w:rsidR="003C1856" w:rsidRPr="00CE59B4">
              <w:rPr>
                <w:b/>
                <w:sz w:val="20"/>
                <w:lang w:val="de-DE"/>
              </w:rPr>
              <w:t>ußenpolitische Instrumente (FPI)</w:t>
            </w:r>
          </w:p>
          <w:p w:rsidR="003C1856" w:rsidRPr="00CE59B4" w:rsidRDefault="003C1856" w:rsidP="0069244E">
            <w:pPr>
              <w:ind w:right="1317"/>
              <w:jc w:val="both"/>
              <w:rPr>
                <w:b/>
                <w:sz w:val="20"/>
                <w:lang w:val="de-DE"/>
              </w:rPr>
            </w:pPr>
          </w:p>
          <w:p w:rsidR="003C1856" w:rsidRPr="00CE59B4" w:rsidRDefault="003C1856" w:rsidP="00913EC4">
            <w:pPr>
              <w:ind w:right="301"/>
              <w:jc w:val="both"/>
              <w:rPr>
                <w:b/>
                <w:sz w:val="20"/>
                <w:lang w:val="de-DE"/>
              </w:rPr>
            </w:pPr>
            <w:r w:rsidRPr="00CE59B4">
              <w:rPr>
                <w:b/>
                <w:sz w:val="20"/>
                <w:lang w:val="de-DE"/>
              </w:rPr>
              <w:t xml:space="preserve">FPI.3 </w:t>
            </w:r>
            <w:r w:rsidR="00913EC4">
              <w:rPr>
                <w:b/>
                <w:sz w:val="20"/>
                <w:lang w:val="de-DE"/>
              </w:rPr>
              <w:t>– Gemeinsame A</w:t>
            </w:r>
            <w:r w:rsidR="00913EC4" w:rsidRPr="00CE59B4">
              <w:rPr>
                <w:b/>
                <w:sz w:val="20"/>
                <w:lang w:val="de-DE"/>
              </w:rPr>
              <w:t>ußen</w:t>
            </w:r>
            <w:r w:rsidR="00913EC4">
              <w:rPr>
                <w:b/>
                <w:sz w:val="20"/>
                <w:lang w:val="de-DE"/>
              </w:rPr>
              <w:t>- und Sicherheitspolitik (GASP) – Operationen &amp; Wahlbeobachtung</w:t>
            </w:r>
          </w:p>
          <w:p w:rsidR="003C1856" w:rsidRPr="00CE59B4" w:rsidRDefault="003C1856" w:rsidP="0069244E">
            <w:pPr>
              <w:ind w:right="1317"/>
              <w:jc w:val="both"/>
              <w:rPr>
                <w:b/>
                <w:sz w:val="20"/>
                <w:lang w:val="de-DE"/>
              </w:rPr>
            </w:pPr>
            <w:r w:rsidRPr="00CE59B4">
              <w:rPr>
                <w:b/>
                <w:sz w:val="20"/>
                <w:lang w:val="de-DE"/>
              </w:rPr>
              <w:t>Heike Gerstbrein</w:t>
            </w:r>
          </w:p>
          <w:p w:rsidR="003C1856" w:rsidRPr="00CE59B4" w:rsidRDefault="003C1856" w:rsidP="0069244E">
            <w:pPr>
              <w:ind w:right="1317"/>
              <w:jc w:val="both"/>
              <w:rPr>
                <w:b/>
                <w:sz w:val="20"/>
                <w:lang w:val="de-DE"/>
              </w:rPr>
            </w:pPr>
          </w:p>
          <w:p w:rsidR="003C1856" w:rsidRPr="00CE59B4" w:rsidRDefault="003C1856" w:rsidP="0069244E">
            <w:pPr>
              <w:ind w:right="1317"/>
              <w:jc w:val="both"/>
              <w:rPr>
                <w:b/>
                <w:sz w:val="20"/>
                <w:lang w:val="de-DE"/>
              </w:rPr>
            </w:pPr>
            <w:r w:rsidRPr="00CE59B4">
              <w:rPr>
                <w:b/>
                <w:sz w:val="20"/>
                <w:lang w:val="de-DE"/>
              </w:rPr>
              <w:t>Heike.gerstbrein@ec.europa.eu</w:t>
            </w:r>
          </w:p>
          <w:p w:rsidR="003C1856" w:rsidRPr="00CE59B4" w:rsidRDefault="003C1856" w:rsidP="0069244E">
            <w:pPr>
              <w:ind w:right="1317"/>
              <w:jc w:val="both"/>
              <w:rPr>
                <w:lang w:val="de-DE"/>
              </w:rPr>
            </w:pPr>
            <w:r w:rsidRPr="00CE59B4">
              <w:rPr>
                <w:b/>
                <w:sz w:val="20"/>
                <w:lang w:val="de-DE"/>
              </w:rPr>
              <w:t>0032-2-2990161</w:t>
            </w: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913EC4" w:rsidRDefault="00913EC4" w:rsidP="0069244E">
            <w:pPr>
              <w:tabs>
                <w:tab w:val="left" w:pos="1697"/>
              </w:tabs>
              <w:ind w:right="-1739"/>
              <w:jc w:val="both"/>
              <w:rPr>
                <w:b/>
                <w:sz w:val="20"/>
                <w:lang w:val="de-DE"/>
              </w:rPr>
            </w:pPr>
          </w:p>
          <w:p w:rsidR="004E09F0" w:rsidRDefault="004E09F0" w:rsidP="0069244E">
            <w:pPr>
              <w:tabs>
                <w:tab w:val="left" w:pos="1697"/>
              </w:tabs>
              <w:ind w:right="-1739"/>
              <w:jc w:val="both"/>
              <w:rPr>
                <w:b/>
                <w:sz w:val="20"/>
                <w:lang w:val="de-DE"/>
              </w:rPr>
            </w:pPr>
            <w:r w:rsidRPr="009222CC">
              <w:rPr>
                <w:b/>
                <w:sz w:val="20"/>
                <w:lang w:val="de-DE"/>
              </w:rPr>
              <w:t>Referatsleiter:</w:t>
            </w:r>
          </w:p>
          <w:p w:rsidR="00B3363A" w:rsidRDefault="00B3363A" w:rsidP="0069244E">
            <w:pPr>
              <w:tabs>
                <w:tab w:val="left" w:pos="1697"/>
              </w:tabs>
              <w:ind w:right="-1739"/>
              <w:jc w:val="both"/>
              <w:rPr>
                <w:b/>
                <w:sz w:val="20"/>
                <w:lang w:val="de-DE"/>
              </w:rPr>
            </w:pPr>
          </w:p>
          <w:p w:rsidR="005E24C5" w:rsidRPr="005E24C5" w:rsidRDefault="005E24C5"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4E09F0" w:rsidRPr="00CE59B4" w:rsidRDefault="004E09F0" w:rsidP="0069244E">
            <w:pPr>
              <w:ind w:right="1317"/>
              <w:jc w:val="both"/>
              <w:rPr>
                <w:lang w:val="de-DE"/>
              </w:rPr>
            </w:pPr>
          </w:p>
        </w:tc>
      </w:tr>
      <w:tr w:rsidR="004E09F0" w:rsidRPr="009222CC" w:rsidTr="002747E6">
        <w:trPr>
          <w:gridAfter w:val="1"/>
          <w:wAfter w:w="14" w:type="dxa"/>
        </w:trPr>
        <w:tc>
          <w:tcPr>
            <w:tcW w:w="392" w:type="dxa"/>
            <w:tcBorders>
              <w:left w:val="single" w:sz="4" w:space="0" w:color="auto"/>
            </w:tcBorders>
          </w:tcPr>
          <w:p w:rsidR="004E09F0" w:rsidRPr="009222CC" w:rsidRDefault="004E09F0" w:rsidP="0069244E">
            <w:pPr>
              <w:ind w:right="1317"/>
              <w:jc w:val="both"/>
              <w:rPr>
                <w:b/>
                <w:sz w:val="20"/>
                <w:lang w:val="de-DE"/>
              </w:rPr>
            </w:pPr>
          </w:p>
        </w:tc>
        <w:tc>
          <w:tcPr>
            <w:tcW w:w="3118" w:type="dxa"/>
            <w:tcBorders>
              <w:right w:val="single" w:sz="4" w:space="0" w:color="auto"/>
            </w:tcBorders>
          </w:tcPr>
          <w:p w:rsidR="004E09F0" w:rsidRPr="009222CC" w:rsidRDefault="004E09F0"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4E09F0" w:rsidRPr="00CE59B4" w:rsidRDefault="004E09F0" w:rsidP="0069244E">
            <w:pPr>
              <w:ind w:right="1317"/>
              <w:jc w:val="both"/>
              <w:rPr>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p>
        </w:tc>
        <w:tc>
          <w:tcPr>
            <w:tcW w:w="5798" w:type="dxa"/>
            <w:tcBorders>
              <w:right w:val="single" w:sz="4" w:space="0" w:color="auto"/>
            </w:tcBorders>
          </w:tcPr>
          <w:p w:rsidR="006643E5" w:rsidRPr="00CE59B4" w:rsidRDefault="006643E5" w:rsidP="0069244E">
            <w:pPr>
              <w:tabs>
                <w:tab w:val="left" w:pos="1697"/>
              </w:tabs>
              <w:ind w:right="-1739"/>
              <w:jc w:val="both"/>
              <w:rPr>
                <w:sz w:val="20"/>
                <w:lang w:val="de-DE"/>
              </w:rPr>
            </w:pP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left w:val="nil"/>
              <w:right w:val="single" w:sz="4" w:space="0" w:color="auto"/>
            </w:tcBorders>
          </w:tcPr>
          <w:p w:rsidR="006643E5" w:rsidRPr="009222CC" w:rsidRDefault="00CC152B" w:rsidP="0069244E">
            <w:pPr>
              <w:tabs>
                <w:tab w:val="left" w:pos="1697"/>
              </w:tabs>
              <w:ind w:right="-1739"/>
              <w:jc w:val="both"/>
              <w:rPr>
                <w:lang w:val="de-DE"/>
              </w:rPr>
            </w:pPr>
            <w:r>
              <w:rPr>
                <w:b/>
                <w:sz w:val="20"/>
                <w:lang w:val="de-DE"/>
              </w:rPr>
              <w:t>Anz</w:t>
            </w:r>
            <w:r w:rsidR="006643E5" w:rsidRPr="009222CC">
              <w:rPr>
                <w:b/>
                <w:sz w:val="20"/>
                <w:lang w:val="de-DE"/>
              </w:rPr>
              <w:t>ahl der zu besetzenden Stellen:</w:t>
            </w:r>
          </w:p>
        </w:tc>
        <w:tc>
          <w:tcPr>
            <w:tcW w:w="5798" w:type="dxa"/>
            <w:tcBorders>
              <w:left w:val="single" w:sz="4" w:space="0" w:color="auto"/>
              <w:right w:val="single" w:sz="4" w:space="0" w:color="auto"/>
            </w:tcBorders>
          </w:tcPr>
          <w:p w:rsidR="006643E5" w:rsidRPr="009222CC" w:rsidRDefault="003C1856" w:rsidP="0069244E">
            <w:pPr>
              <w:ind w:left="34" w:right="1317"/>
              <w:jc w:val="both"/>
              <w:rPr>
                <w:b/>
                <w:sz w:val="20"/>
                <w:lang w:val="de-DE"/>
              </w:rPr>
            </w:pPr>
            <w:r>
              <w:rPr>
                <w:b/>
                <w:sz w:val="20"/>
                <w:lang w:val="de-DE"/>
              </w:rPr>
              <w:t>1</w:t>
            </w:r>
          </w:p>
        </w:tc>
      </w:tr>
      <w:tr w:rsidR="006643E5" w:rsidRPr="009222CC" w:rsidTr="002747E6">
        <w:trPr>
          <w:gridAfter w:val="1"/>
          <w:wAfter w:w="14" w:type="dxa"/>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3118" w:type="dxa"/>
            <w:tcBorders>
              <w:right w:val="single" w:sz="4" w:space="0" w:color="auto"/>
            </w:tcBorders>
          </w:tcPr>
          <w:p w:rsidR="006643E5" w:rsidRPr="009222CC" w:rsidRDefault="006643E5" w:rsidP="0069244E">
            <w:pPr>
              <w:tabs>
                <w:tab w:val="left" w:pos="1697"/>
              </w:tabs>
              <w:ind w:right="-1739"/>
              <w:jc w:val="both"/>
              <w:rPr>
                <w:b/>
                <w:sz w:val="20"/>
                <w:lang w:val="de-DE"/>
              </w:rPr>
            </w:pPr>
            <w:r w:rsidRPr="009222CC">
              <w:rPr>
                <w:b/>
                <w:sz w:val="20"/>
                <w:lang w:val="de-DE"/>
              </w:rPr>
              <w:t>Kategorie:</w:t>
            </w:r>
          </w:p>
          <w:p w:rsidR="006643E5" w:rsidRPr="009222CC" w:rsidRDefault="006643E5" w:rsidP="0069244E">
            <w:pPr>
              <w:tabs>
                <w:tab w:val="left" w:pos="1697"/>
              </w:tabs>
              <w:ind w:right="-1739"/>
              <w:jc w:val="both"/>
              <w:rPr>
                <w:b/>
                <w:sz w:val="20"/>
                <w:lang w:val="de-DE"/>
              </w:rPr>
            </w:pPr>
            <w:r w:rsidRPr="009222CC">
              <w:rPr>
                <w:b/>
                <w:sz w:val="20"/>
                <w:lang w:val="de-DE"/>
              </w:rPr>
              <w:t>Gewünschter Dienstantritt:</w:t>
            </w:r>
          </w:p>
          <w:p w:rsidR="002747E6" w:rsidRDefault="0069244E" w:rsidP="0069244E">
            <w:pPr>
              <w:tabs>
                <w:tab w:val="left" w:pos="1697"/>
              </w:tabs>
              <w:ind w:right="-1739"/>
              <w:jc w:val="both"/>
              <w:rPr>
                <w:b/>
                <w:sz w:val="20"/>
                <w:lang w:val="de-DE"/>
              </w:rPr>
            </w:pPr>
            <w:r w:rsidRPr="009222CC">
              <w:rPr>
                <w:b/>
                <w:sz w:val="20"/>
                <w:lang w:val="de-DE"/>
              </w:rPr>
              <w:t>Gewünschte Dauer der</w:t>
            </w:r>
          </w:p>
          <w:p w:rsidR="006643E5" w:rsidRPr="009222CC" w:rsidRDefault="0069244E" w:rsidP="0069244E">
            <w:pPr>
              <w:tabs>
                <w:tab w:val="left" w:pos="1697"/>
              </w:tabs>
              <w:ind w:right="-1739"/>
              <w:jc w:val="both"/>
              <w:rPr>
                <w:lang w:val="de-DE"/>
              </w:rPr>
            </w:pPr>
            <w:r w:rsidRPr="009222CC">
              <w:rPr>
                <w:b/>
                <w:sz w:val="20"/>
                <w:lang w:val="de-DE"/>
              </w:rPr>
              <w:t>1. Abordnung</w:t>
            </w:r>
            <w:r w:rsidR="00CC152B">
              <w:rPr>
                <w:b/>
                <w:sz w:val="20"/>
                <w:lang w:val="de-DE"/>
              </w:rPr>
              <w:t>:</w:t>
            </w:r>
          </w:p>
        </w:tc>
        <w:tc>
          <w:tcPr>
            <w:tcW w:w="5798" w:type="dxa"/>
            <w:tcBorders>
              <w:left w:val="single" w:sz="4" w:space="0" w:color="auto"/>
              <w:right w:val="single" w:sz="4" w:space="0" w:color="auto"/>
            </w:tcBorders>
          </w:tcPr>
          <w:p w:rsidR="006643E5" w:rsidRPr="009222CC" w:rsidRDefault="00CE59B4" w:rsidP="0069244E">
            <w:pPr>
              <w:ind w:left="34" w:right="1317"/>
              <w:jc w:val="both"/>
              <w:rPr>
                <w:b/>
                <w:sz w:val="20"/>
                <w:lang w:val="de-DE"/>
              </w:rPr>
            </w:pPr>
            <w:r>
              <w:rPr>
                <w:b/>
                <w:sz w:val="20"/>
                <w:lang w:val="de-DE"/>
              </w:rPr>
              <w:t>Administration (AD)</w:t>
            </w:r>
          </w:p>
          <w:p w:rsidR="003C1856" w:rsidRDefault="003C1856" w:rsidP="00B3363A">
            <w:pPr>
              <w:ind w:right="1317"/>
              <w:jc w:val="both"/>
              <w:rPr>
                <w:b/>
                <w:sz w:val="20"/>
                <w:lang w:val="de-DE"/>
              </w:rPr>
            </w:pPr>
            <w:r>
              <w:rPr>
                <w:b/>
                <w:sz w:val="20"/>
                <w:lang w:val="de-DE"/>
              </w:rPr>
              <w:t>3.</w:t>
            </w:r>
            <w:r w:rsidR="006643E5" w:rsidRPr="009222CC">
              <w:rPr>
                <w:b/>
                <w:sz w:val="20"/>
                <w:lang w:val="de-DE"/>
              </w:rPr>
              <w:t xml:space="preserve"> Quartal 20</w:t>
            </w:r>
            <w:r w:rsidR="00B3363A">
              <w:rPr>
                <w:b/>
                <w:sz w:val="20"/>
                <w:lang w:val="de-DE"/>
              </w:rPr>
              <w:t>1</w:t>
            </w:r>
            <w:r>
              <w:rPr>
                <w:b/>
                <w:sz w:val="20"/>
                <w:lang w:val="de-DE"/>
              </w:rPr>
              <w:t>9</w:t>
            </w:r>
            <w:r w:rsidR="006643E5" w:rsidRPr="009222CC">
              <w:rPr>
                <w:rStyle w:val="FootnoteReference"/>
                <w:b/>
                <w:sz w:val="20"/>
                <w:lang w:val="de-DE"/>
              </w:rPr>
              <w:footnoteReference w:id="1"/>
            </w:r>
          </w:p>
          <w:p w:rsidR="006643E5" w:rsidRPr="003C1856" w:rsidRDefault="003C1856" w:rsidP="00913EC4">
            <w:pPr>
              <w:ind w:right="1317"/>
              <w:jc w:val="both"/>
              <w:rPr>
                <w:b/>
                <w:sz w:val="20"/>
                <w:lang w:val="de-DE"/>
              </w:rPr>
            </w:pPr>
            <w:r>
              <w:rPr>
                <w:b/>
                <w:sz w:val="20"/>
                <w:lang w:val="de-DE"/>
              </w:rPr>
              <w:t>2</w:t>
            </w:r>
            <w:r w:rsidR="00CE59B4">
              <w:rPr>
                <w:b/>
                <w:sz w:val="20"/>
                <w:lang w:val="de-DE"/>
              </w:rPr>
              <w:t xml:space="preserve"> </w:t>
            </w:r>
            <w:r w:rsidR="006643E5" w:rsidRPr="009222CC">
              <w:rPr>
                <w:b/>
                <w:sz w:val="20"/>
                <w:lang w:val="de-DE"/>
              </w:rPr>
              <w:t>Jahre</w:t>
            </w:r>
            <w:r w:rsidR="00913EC4">
              <w:rPr>
                <w:b/>
                <w:sz w:val="20"/>
                <w:lang w:val="de-DE"/>
              </w:rPr>
              <w:t>, Verlängerung auf 4 Jahre möglich</w:t>
            </w:r>
            <w:r w:rsidR="006643E5" w:rsidRPr="009222CC">
              <w:rPr>
                <w:rStyle w:val="FootnoteReference"/>
                <w:b/>
                <w:sz w:val="20"/>
                <w:lang w:val="de-DE"/>
              </w:rPr>
              <w:t>1</w:t>
            </w:r>
          </w:p>
        </w:tc>
      </w:tr>
      <w:tr w:rsidR="006643E5" w:rsidRPr="009222CC" w:rsidTr="008F4989">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3118" w:type="dxa"/>
            <w:tcBorders>
              <w:bottom w:val="single" w:sz="4" w:space="0" w:color="auto"/>
              <w:right w:val="single" w:sz="4" w:space="0" w:color="auto"/>
            </w:tcBorders>
          </w:tcPr>
          <w:p w:rsidR="006643E5" w:rsidRPr="009222CC" w:rsidRDefault="006643E5"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2747E6" w:rsidRPr="009222CC" w:rsidRDefault="006643E5" w:rsidP="003C1856">
            <w:pPr>
              <w:ind w:right="1317"/>
              <w:jc w:val="both"/>
              <w:rPr>
                <w:lang w:val="de-DE"/>
              </w:rPr>
            </w:pPr>
            <w:r w:rsidRPr="009222CC">
              <w:rPr>
                <w:b/>
                <w:sz w:val="20"/>
                <w:lang w:val="de-DE"/>
              </w:rPr>
              <w:t>Brüssel</w:t>
            </w:r>
            <w:r w:rsidR="002747E6">
              <w:rPr>
                <w:b/>
                <w:sz w:val="20"/>
                <w:lang w:val="de-DE"/>
              </w:rPr>
              <w:t xml:space="preserve">    </w:t>
            </w:r>
          </w:p>
        </w:tc>
      </w:tr>
      <w:tr w:rsidR="002747E6" w:rsidRPr="00CA54D9" w:rsidTr="008F4989">
        <w:trPr>
          <w:gridAfter w:val="1"/>
          <w:wAfter w:w="14" w:type="dxa"/>
        </w:trPr>
        <w:tc>
          <w:tcPr>
            <w:tcW w:w="392" w:type="dxa"/>
            <w:vMerge w:val="restart"/>
            <w:tcBorders>
              <w:top w:val="single" w:sz="4" w:space="0" w:color="auto"/>
              <w:left w:val="single" w:sz="4" w:space="0" w:color="auto"/>
            </w:tcBorders>
          </w:tcPr>
          <w:p w:rsidR="002747E6" w:rsidRPr="009222CC" w:rsidRDefault="002747E6"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2747E6" w:rsidRPr="009222CC" w:rsidRDefault="002747E6"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E6158B" w:rsidRPr="00EF57C4" w:rsidRDefault="00E6158B" w:rsidP="00E6158B">
            <w:pPr>
              <w:tabs>
                <w:tab w:val="left" w:pos="1697"/>
              </w:tabs>
              <w:ind w:right="-1739"/>
              <w:rPr>
                <w:rFonts w:ascii="Verdana" w:eastAsia="MS Minngs" w:hAnsi="Verdana" w:cs="Verdana"/>
                <w:bCs/>
                <w:sz w:val="18"/>
                <w:szCs w:val="18"/>
                <w:lang w:val="de-DE"/>
              </w:rPr>
            </w:pPr>
          </w:p>
          <w:p w:rsidR="002747E6" w:rsidRDefault="003C1856" w:rsidP="00E6158B">
            <w:pPr>
              <w:tabs>
                <w:tab w:val="left" w:pos="1697"/>
              </w:tabs>
              <w:ind w:right="-1739"/>
              <w:rPr>
                <w:b/>
                <w:sz w:val="20"/>
                <w:lang w:val="de-DE"/>
              </w:rPr>
            </w:pPr>
            <w:r w:rsidRPr="003C1856">
              <w:rPr>
                <w:rFonts w:ascii="Verdana" w:eastAsia="MS Minngs" w:hAnsi="Verdana" w:cs="Verdana"/>
                <w:bCs/>
                <w:sz w:val="18"/>
                <w:szCs w:val="18"/>
                <w:lang w:val="de-DE"/>
              </w:rPr>
              <w:t>X</w:t>
            </w:r>
            <w:r w:rsidR="00A05297">
              <w:rPr>
                <w:rFonts w:ascii="Verdana" w:eastAsia="MS Minngs" w:hAnsi="Verdana" w:cs="Verdana"/>
                <w:bCs/>
                <w:sz w:val="18"/>
                <w:szCs w:val="18"/>
                <w:lang w:val="de-DE"/>
              </w:rPr>
              <w:t xml:space="preserve"> </w:t>
            </w:r>
            <w:r w:rsidR="002747E6" w:rsidRPr="00242830">
              <w:rPr>
                <w:rFonts w:ascii="Verdana" w:eastAsia="MS Minngs" w:hAnsi="Verdana" w:cs="Verdana"/>
                <w:bCs/>
                <w:sz w:val="18"/>
                <w:szCs w:val="18"/>
                <w:lang w:val="de-DE"/>
              </w:rPr>
              <w:t xml:space="preserve"> </w:t>
            </w:r>
            <w:r w:rsidR="001E620D">
              <w:rPr>
                <w:b/>
                <w:sz w:val="20"/>
                <w:lang w:val="de-DE"/>
              </w:rPr>
              <w:t xml:space="preserve">Mit Vergütungen </w:t>
            </w:r>
            <w:r w:rsidR="002747E6">
              <w:rPr>
                <w:b/>
                <w:sz w:val="20"/>
                <w:lang w:val="de-DE"/>
              </w:rPr>
              <w:t xml:space="preserve">    </w:t>
            </w:r>
            <w:r w:rsidR="00EF57C4">
              <w:rPr>
                <w:rFonts w:ascii="Verdana" w:eastAsia="MS Minngs" w:hAnsi="Verdana" w:cs="Verdana"/>
                <w:bCs/>
                <w:sz w:val="18"/>
                <w:szCs w:val="18"/>
                <w:lang w:val="fr-FR"/>
              </w:rPr>
              <w:sym w:font="Wingdings 2" w:char="F0A3"/>
            </w:r>
            <w:r w:rsidR="002747E6" w:rsidRPr="009222CC">
              <w:rPr>
                <w:b/>
                <w:sz w:val="20"/>
                <w:lang w:val="de-DE"/>
              </w:rPr>
              <w:t xml:space="preserve"> </w:t>
            </w:r>
            <w:r w:rsidR="002747E6">
              <w:rPr>
                <w:b/>
                <w:sz w:val="20"/>
                <w:lang w:val="de-DE"/>
              </w:rPr>
              <w:t xml:space="preserve">  U</w:t>
            </w:r>
            <w:r w:rsidR="00EF57C4">
              <w:rPr>
                <w:b/>
                <w:sz w:val="20"/>
                <w:lang w:val="de-DE"/>
              </w:rPr>
              <w:t>nentgeltlich</w:t>
            </w:r>
            <w:r w:rsidR="002747E6">
              <w:rPr>
                <w:b/>
                <w:sz w:val="20"/>
                <w:lang w:val="de-DE"/>
              </w:rPr>
              <w:t xml:space="preserve"> A</w:t>
            </w:r>
            <w:r w:rsidR="00EF57C4">
              <w:rPr>
                <w:b/>
                <w:sz w:val="20"/>
                <w:lang w:val="de-DE"/>
              </w:rPr>
              <w:t>bgeordnet</w:t>
            </w:r>
          </w:p>
          <w:p w:rsidR="00E6158B" w:rsidRPr="00CA54D9" w:rsidRDefault="00E6158B" w:rsidP="00E6158B">
            <w:pPr>
              <w:tabs>
                <w:tab w:val="left" w:pos="1697"/>
              </w:tabs>
              <w:ind w:right="-1739"/>
              <w:rPr>
                <w:b/>
                <w:sz w:val="20"/>
                <w:lang w:val="de-DE"/>
              </w:rPr>
            </w:pPr>
          </w:p>
        </w:tc>
      </w:tr>
      <w:tr w:rsidR="002747E6" w:rsidRPr="00C34249" w:rsidTr="002747E6">
        <w:trPr>
          <w:gridAfter w:val="1"/>
          <w:wAfter w:w="14" w:type="dxa"/>
          <w:trHeight w:val="701"/>
        </w:trPr>
        <w:tc>
          <w:tcPr>
            <w:tcW w:w="392" w:type="dxa"/>
            <w:vMerge/>
            <w:tcBorders>
              <w:left w:val="single" w:sz="4" w:space="0" w:color="auto"/>
              <w:bottom w:val="single" w:sz="4" w:space="0" w:color="auto"/>
            </w:tcBorders>
          </w:tcPr>
          <w:p w:rsidR="002747E6" w:rsidRPr="009222CC" w:rsidRDefault="002747E6" w:rsidP="0069244E">
            <w:pPr>
              <w:ind w:right="1317"/>
              <w:jc w:val="both"/>
              <w:rPr>
                <w:b/>
                <w:sz w:val="20"/>
                <w:lang w:val="de-DE"/>
              </w:rPr>
            </w:pPr>
          </w:p>
        </w:tc>
        <w:tc>
          <w:tcPr>
            <w:tcW w:w="3118" w:type="dxa"/>
            <w:vMerge/>
            <w:tcBorders>
              <w:bottom w:val="single" w:sz="4" w:space="0" w:color="auto"/>
              <w:right w:val="single" w:sz="4" w:space="0" w:color="auto"/>
            </w:tcBorders>
          </w:tcPr>
          <w:p w:rsidR="002747E6" w:rsidRPr="009222CC" w:rsidRDefault="002747E6"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2747E6" w:rsidRDefault="002747E6" w:rsidP="002747E6">
            <w:pPr>
              <w:rPr>
                <w:b/>
                <w:sz w:val="20"/>
                <w:lang w:val="de-DE"/>
              </w:rPr>
            </w:pPr>
            <w:r w:rsidRPr="00CA54D9">
              <w:rPr>
                <w:b/>
                <w:sz w:val="20"/>
                <w:lang w:val="de-DE"/>
              </w:rPr>
              <w:t xml:space="preserve">Auf diese Stellenausschreibung können </w:t>
            </w:r>
            <w:r>
              <w:rPr>
                <w:b/>
                <w:sz w:val="20"/>
                <w:lang w:val="de-DE"/>
              </w:rPr>
              <w:t>sich auch</w:t>
            </w:r>
          </w:p>
          <w:p w:rsidR="002747E6" w:rsidRPr="00233CBE" w:rsidRDefault="002747E6"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w:t>
            </w:r>
            <w:r w:rsidR="00233CBE">
              <w:rPr>
                <w:rStyle w:val="Strong"/>
                <w:sz w:val="20"/>
                <w:lang w:val="de-DE"/>
              </w:rPr>
              <w:t>-</w:t>
            </w:r>
            <w:r w:rsidR="00CA6E5F">
              <w:rPr>
                <w:rStyle w:val="Strong"/>
                <w:sz w:val="20"/>
                <w:lang w:val="de-DE"/>
              </w:rPr>
              <w:t>Staaten</w:t>
            </w:r>
            <w:r w:rsidRPr="00CA54D9">
              <w:rPr>
                <w:rStyle w:val="Strong"/>
                <w:sz w:val="20"/>
                <w:lang w:val="de-DE"/>
              </w:rPr>
              <w:t xml:space="preserve"> bewerben:</w:t>
            </w:r>
            <w:r w:rsidR="00233CBE" w:rsidRPr="00233CBE">
              <w:rPr>
                <w:b/>
                <w:sz w:val="20"/>
                <w:lang w:val="de-DE"/>
              </w:rPr>
              <w:br/>
            </w:r>
            <w:r w:rsidR="00233CBE" w:rsidRPr="00233CBE">
              <w:rPr>
                <w:b/>
                <w:sz w:val="20"/>
                <w:lang w:val="de-DE"/>
              </w:rPr>
              <w:tab/>
            </w:r>
            <w:r w:rsidR="00233CBE" w:rsidRPr="00CA6E5F">
              <w:rPr>
                <w:sz w:val="20"/>
              </w:rPr>
              <w:sym w:font="Wingdings 2" w:char="F0A3"/>
            </w:r>
            <w:r w:rsidR="00233CBE" w:rsidRPr="00CA6E5F">
              <w:rPr>
                <w:sz w:val="20"/>
                <w:lang w:val="de-DE"/>
              </w:rPr>
              <w:t xml:space="preserve"> </w:t>
            </w:r>
            <w:r w:rsidR="00233CBE" w:rsidRPr="00CA6E5F">
              <w:rPr>
                <w:b/>
                <w:sz w:val="20"/>
                <w:lang w:val="de-DE"/>
              </w:rPr>
              <w:t>Is</w:t>
            </w:r>
            <w:r w:rsidR="00233CBE">
              <w:rPr>
                <w:b/>
                <w:sz w:val="20"/>
                <w:lang w:val="de-DE"/>
              </w:rPr>
              <w:t xml:space="preserve">land </w:t>
            </w:r>
            <w:r w:rsidR="00233CBE" w:rsidRPr="00CA6E5F">
              <w:rPr>
                <w:sz w:val="20"/>
              </w:rPr>
              <w:sym w:font="Wingdings 2" w:char="F0A3"/>
            </w:r>
            <w:r w:rsidR="00233CBE" w:rsidRPr="00CA6E5F">
              <w:rPr>
                <w:sz w:val="20"/>
                <w:lang w:val="de-DE"/>
              </w:rPr>
              <w:t xml:space="preserve"> </w:t>
            </w:r>
            <w:r w:rsidR="00233CBE">
              <w:rPr>
                <w:b/>
                <w:sz w:val="20"/>
                <w:lang w:val="de-DE"/>
              </w:rPr>
              <w:t xml:space="preserve">Liechtenstein </w:t>
            </w:r>
            <w:r w:rsidR="00233CBE" w:rsidRPr="00CA6E5F">
              <w:rPr>
                <w:sz w:val="20"/>
              </w:rPr>
              <w:sym w:font="Wingdings 2" w:char="F0A3"/>
            </w:r>
            <w:r w:rsidR="00233CBE">
              <w:rPr>
                <w:b/>
                <w:sz w:val="20"/>
                <w:lang w:val="de-DE"/>
              </w:rPr>
              <w:t xml:space="preserve"> Norwegen </w:t>
            </w:r>
            <w:r w:rsidR="00233CBE" w:rsidRPr="00CA6E5F">
              <w:rPr>
                <w:sz w:val="20"/>
              </w:rPr>
              <w:sym w:font="Wingdings 2" w:char="F0A3"/>
            </w:r>
            <w:r w:rsidR="00233CBE" w:rsidRPr="00CA6E5F">
              <w:rPr>
                <w:sz w:val="20"/>
                <w:lang w:val="de-DE"/>
              </w:rPr>
              <w:t xml:space="preserve"> </w:t>
            </w:r>
            <w:r w:rsidR="00233CBE" w:rsidRPr="00CA6E5F">
              <w:rPr>
                <w:b/>
                <w:sz w:val="20"/>
                <w:lang w:val="de-DE"/>
              </w:rPr>
              <w:t>die Schweiz</w:t>
            </w:r>
            <w:r w:rsidR="00233CBE" w:rsidRPr="00233CBE">
              <w:rPr>
                <w:b/>
                <w:sz w:val="20"/>
                <w:lang w:val="de-DE"/>
              </w:rPr>
              <w:br/>
            </w:r>
            <w:r w:rsidR="00233CBE" w:rsidRPr="00233CBE">
              <w:rPr>
                <w:b/>
                <w:sz w:val="20"/>
                <w:lang w:val="de-DE"/>
              </w:rPr>
              <w:tab/>
            </w:r>
            <w:r w:rsidR="00233CBE" w:rsidRPr="00233CBE">
              <w:rPr>
                <w:sz w:val="20"/>
              </w:rPr>
              <w:sym w:font="Wingdings 2" w:char="F0A3"/>
            </w:r>
            <w:r w:rsidR="00233CBE" w:rsidRPr="00233CBE">
              <w:rPr>
                <w:b/>
                <w:sz w:val="20"/>
                <w:lang w:val="de-DE"/>
              </w:rPr>
              <w:t xml:space="preserve"> EFTA-EEA in Kind Abkommen</w:t>
            </w:r>
            <w:r w:rsidR="00233CBE" w:rsidRPr="00233CBE">
              <w:rPr>
                <w:b/>
                <w:sz w:val="20"/>
                <w:lang w:val="de-DE"/>
              </w:rPr>
              <w:br/>
            </w:r>
            <w:r w:rsidR="00233CBE" w:rsidRPr="00233CBE">
              <w:rPr>
                <w:b/>
                <w:sz w:val="20"/>
                <w:lang w:val="de-DE"/>
              </w:rPr>
              <w:tab/>
              <w:t xml:space="preserve">        (Island, Liechtenstein, Norwegen)</w:t>
            </w:r>
            <w:r w:rsidR="00CA6E5F">
              <w:rPr>
                <w:b/>
                <w:sz w:val="20"/>
                <w:lang w:val="de-DE"/>
              </w:rPr>
              <w:tab/>
              <w:t xml:space="preserve">    </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2747E6" w:rsidRPr="00CA54D9" w:rsidRDefault="002747E6"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2747E6" w:rsidRPr="00CA6E5F" w:rsidRDefault="002747E6" w:rsidP="0069244E">
            <w:pPr>
              <w:tabs>
                <w:tab w:val="left" w:pos="1697"/>
              </w:tabs>
              <w:ind w:right="-1739"/>
              <w:jc w:val="both"/>
              <w:rPr>
                <w:rFonts w:ascii="Verdana" w:eastAsia="MS Minngs" w:hAnsi="Verdana" w:cs="Verdana"/>
                <w:bCs/>
                <w:sz w:val="18"/>
                <w:szCs w:val="18"/>
                <w:lang w:val="de-DE"/>
              </w:rPr>
            </w:pPr>
          </w:p>
        </w:tc>
      </w:tr>
      <w:tr w:rsidR="006643E5" w:rsidRPr="00C34249" w:rsidTr="006643E5">
        <w:trPr>
          <w:gridAfter w:val="1"/>
          <w:wAfter w:w="14" w:type="dxa"/>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CA54D9"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Art der Tätigkeit:</w:t>
            </w:r>
          </w:p>
        </w:tc>
      </w:tr>
      <w:tr w:rsidR="006643E5" w:rsidRPr="00C34249"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6643E5" w:rsidRPr="00913EC4" w:rsidRDefault="006643E5" w:rsidP="0069244E">
            <w:pPr>
              <w:ind w:right="1317"/>
              <w:jc w:val="both"/>
              <w:rPr>
                <w:sz w:val="20"/>
                <w:lang w:val="de-DE"/>
              </w:rPr>
            </w:pPr>
          </w:p>
          <w:p w:rsidR="003C1856" w:rsidRPr="00913EC4" w:rsidRDefault="003C1856" w:rsidP="003C1856">
            <w:pPr>
              <w:suppressAutoHyphens/>
              <w:jc w:val="both"/>
              <w:rPr>
                <w:sz w:val="20"/>
                <w:lang w:val="de-DE"/>
              </w:rPr>
            </w:pPr>
            <w:r w:rsidRPr="00913EC4">
              <w:rPr>
                <w:sz w:val="20"/>
                <w:lang w:val="de-DE"/>
              </w:rPr>
              <w:t>Der Dienst für außenpolitische Instrumente (FPI) ist eine Dienststelle der EU Kommission, welcher direkt der Kommissionsvizepräsidentin/</w:t>
            </w:r>
            <w:r w:rsidR="00B21089" w:rsidRPr="00913EC4">
              <w:rPr>
                <w:sz w:val="20"/>
                <w:lang w:val="de-DE"/>
              </w:rPr>
              <w:t xml:space="preserve">Hohen </w:t>
            </w:r>
            <w:proofErr w:type="spellStart"/>
            <w:r w:rsidRPr="00913EC4">
              <w:rPr>
                <w:sz w:val="20"/>
                <w:lang w:val="de-DE"/>
              </w:rPr>
              <w:t>Vertreterin</w:t>
            </w:r>
            <w:proofErr w:type="spellEnd"/>
            <w:r w:rsidRPr="00913EC4">
              <w:rPr>
                <w:sz w:val="20"/>
                <w:lang w:val="de-DE"/>
              </w:rPr>
              <w:t xml:space="preserve"> der Union für Außen- und Sicherheitspolitik, </w:t>
            </w:r>
            <w:r w:rsidR="00A93F62" w:rsidRPr="00913EC4">
              <w:rPr>
                <w:sz w:val="20"/>
                <w:lang w:val="de-DE"/>
              </w:rPr>
              <w:t>F</w:t>
            </w:r>
            <w:r w:rsidR="00A93F62">
              <w:rPr>
                <w:sz w:val="20"/>
                <w:lang w:val="de-DE"/>
              </w:rPr>
              <w:t xml:space="preserve">ederica </w:t>
            </w:r>
            <w:proofErr w:type="spellStart"/>
            <w:r w:rsidRPr="00913EC4">
              <w:rPr>
                <w:sz w:val="20"/>
                <w:lang w:val="de-DE"/>
              </w:rPr>
              <w:t>Mogherini</w:t>
            </w:r>
            <w:proofErr w:type="spellEnd"/>
            <w:r w:rsidRPr="00913EC4">
              <w:rPr>
                <w:sz w:val="20"/>
                <w:lang w:val="de-DE"/>
              </w:rPr>
              <w:t>, unterstellt ist. Das Referat FPI.3 nimmt eine besondere Rolle ein, indem es sowohl mit dem Europ</w:t>
            </w:r>
            <w:r w:rsidR="00B21089" w:rsidRPr="00913EC4">
              <w:rPr>
                <w:sz w:val="20"/>
                <w:lang w:val="de-DE"/>
              </w:rPr>
              <w:t>äischen Auswärtigen Dienst (EAD</w:t>
            </w:r>
            <w:r w:rsidRPr="00913EC4">
              <w:rPr>
                <w:sz w:val="20"/>
                <w:lang w:val="de-DE"/>
              </w:rPr>
              <w:t>) also auch mit den anderen Dienststellen der Kommission eng zusammenarbeitet.</w:t>
            </w:r>
          </w:p>
          <w:p w:rsidR="003C1856" w:rsidRPr="00913EC4" w:rsidRDefault="003C1856" w:rsidP="003C1856">
            <w:pPr>
              <w:suppressAutoHyphens/>
              <w:jc w:val="both"/>
              <w:rPr>
                <w:sz w:val="20"/>
                <w:lang w:val="de-DE"/>
              </w:rPr>
            </w:pPr>
          </w:p>
          <w:p w:rsidR="003C1856" w:rsidRPr="00913EC4" w:rsidRDefault="003C1856" w:rsidP="003C1856">
            <w:pPr>
              <w:suppressAutoHyphens/>
              <w:jc w:val="both"/>
              <w:rPr>
                <w:sz w:val="20"/>
                <w:lang w:val="de-DE"/>
              </w:rPr>
            </w:pPr>
            <w:r w:rsidRPr="00913EC4">
              <w:rPr>
                <w:sz w:val="20"/>
                <w:lang w:val="de-DE"/>
              </w:rPr>
              <w:t>Das Referat FPI.3. “</w:t>
            </w:r>
            <w:r w:rsidR="00913EC4" w:rsidRPr="00913EC4">
              <w:rPr>
                <w:sz w:val="20"/>
                <w:lang w:val="de-DE"/>
              </w:rPr>
              <w:t>Gemeinsame Außen- und Sicherheitspolitik (GASP) – Operationen &amp; Wahlbeobachtung</w:t>
            </w:r>
            <w:r w:rsidR="00A93F62" w:rsidRPr="00913EC4">
              <w:rPr>
                <w:sz w:val="20"/>
                <w:lang w:val="de-DE"/>
              </w:rPr>
              <w:t>”</w:t>
            </w:r>
            <w:r w:rsidRPr="00913EC4">
              <w:rPr>
                <w:sz w:val="20"/>
                <w:lang w:val="de-DE"/>
              </w:rPr>
              <w:t xml:space="preserve"> ist zuständig für die Planung, Steuerung und Aufsicht von zivilen Krisenmanagementeinsätzen im Bereich GASP und GSVP, wie beispielsweise die Beobachtermissionen in Georgien und am Grenzübergang </w:t>
            </w:r>
            <w:proofErr w:type="spellStart"/>
            <w:r w:rsidRPr="00913EC4">
              <w:rPr>
                <w:sz w:val="20"/>
                <w:lang w:val="de-DE"/>
              </w:rPr>
              <w:t>Rafah</w:t>
            </w:r>
            <w:proofErr w:type="spellEnd"/>
            <w:r w:rsidRPr="00913EC4">
              <w:rPr>
                <w:sz w:val="20"/>
                <w:lang w:val="de-DE"/>
              </w:rPr>
              <w:t xml:space="preserve"> in Gaza, den Polizeimissionen in den Palästinensischen Gebieten, </w:t>
            </w:r>
            <w:r w:rsidRPr="00913EC4">
              <w:rPr>
                <w:sz w:val="20"/>
                <w:lang w:val="de-DE"/>
              </w:rPr>
              <w:lastRenderedPageBreak/>
              <w:t xml:space="preserve">die Rechtsstaatlichkeitsmissionen im Kosovo und die neue Beratermission im Irak. Die Umsetzung der Nichtverbreitung von Massenvernichtungswaffen und </w:t>
            </w:r>
            <w:r w:rsidR="00F356A4" w:rsidRPr="00913EC4">
              <w:rPr>
                <w:sz w:val="20"/>
                <w:lang w:val="de-DE"/>
              </w:rPr>
              <w:t xml:space="preserve">von </w:t>
            </w:r>
            <w:r w:rsidRPr="00913EC4">
              <w:rPr>
                <w:sz w:val="20"/>
                <w:lang w:val="de-DE"/>
              </w:rPr>
              <w:t xml:space="preserve">“Kleinwaffen und leichter Waffen (SALW)“ ist eine weitere Aufgabe des Referates.  Ebenso gehört die Durchführung von Vergabeverfahren und Unterstützung der vom Rat ernannten Sonderbeauftragten der Europäischen Union dazu. FPI.3 </w:t>
            </w:r>
            <w:r w:rsidR="00F356A4" w:rsidRPr="00913EC4">
              <w:rPr>
                <w:sz w:val="20"/>
                <w:lang w:val="de-DE"/>
              </w:rPr>
              <w:t xml:space="preserve">ist </w:t>
            </w:r>
            <w:r w:rsidRPr="00913EC4">
              <w:rPr>
                <w:sz w:val="20"/>
                <w:lang w:val="de-DE"/>
              </w:rPr>
              <w:t xml:space="preserve">außerdem </w:t>
            </w:r>
            <w:r w:rsidR="00F356A4" w:rsidRPr="00913EC4">
              <w:rPr>
                <w:sz w:val="20"/>
                <w:lang w:val="de-DE"/>
              </w:rPr>
              <w:t xml:space="preserve">zuständig für </w:t>
            </w:r>
            <w:r w:rsidRPr="00913EC4">
              <w:rPr>
                <w:sz w:val="20"/>
                <w:lang w:val="de-DE"/>
              </w:rPr>
              <w:t>die EU Wahlbeobachter*innen-Missionen (EU EOMs).</w:t>
            </w:r>
          </w:p>
          <w:p w:rsidR="003C1856" w:rsidRPr="00913EC4" w:rsidRDefault="003C1856" w:rsidP="003C1856">
            <w:pPr>
              <w:suppressAutoHyphens/>
              <w:jc w:val="both"/>
              <w:rPr>
                <w:sz w:val="20"/>
                <w:lang w:val="de-DE"/>
              </w:rPr>
            </w:pPr>
          </w:p>
          <w:p w:rsidR="003C1856" w:rsidRPr="00913EC4" w:rsidRDefault="003C1856" w:rsidP="003C1856">
            <w:pPr>
              <w:suppressAutoHyphens/>
              <w:jc w:val="both"/>
              <w:rPr>
                <w:sz w:val="20"/>
                <w:lang w:val="de-DE"/>
              </w:rPr>
            </w:pPr>
            <w:r w:rsidRPr="00913EC4">
              <w:rPr>
                <w:sz w:val="20"/>
                <w:lang w:val="de-DE"/>
              </w:rPr>
              <w:t xml:space="preserve">Das Referat spielt eine Schlüsselrolle sowohl in der </w:t>
            </w:r>
            <w:r w:rsidR="00F356A4" w:rsidRPr="00913EC4">
              <w:rPr>
                <w:sz w:val="20"/>
                <w:lang w:val="de-DE"/>
              </w:rPr>
              <w:t xml:space="preserve">Ratsarbeitsgruppe </w:t>
            </w:r>
            <w:r w:rsidRPr="00913EC4">
              <w:rPr>
                <w:sz w:val="20"/>
                <w:lang w:val="de-DE"/>
              </w:rPr>
              <w:t xml:space="preserve">für Außenbeziehungen. (RELEX </w:t>
            </w:r>
            <w:proofErr w:type="spellStart"/>
            <w:r w:rsidRPr="00913EC4">
              <w:rPr>
                <w:sz w:val="20"/>
                <w:lang w:val="de-DE"/>
              </w:rPr>
              <w:t>Counsellors</w:t>
            </w:r>
            <w:proofErr w:type="spellEnd"/>
            <w:r w:rsidRPr="00913EC4">
              <w:rPr>
                <w:sz w:val="20"/>
                <w:lang w:val="de-DE"/>
              </w:rPr>
              <w:t xml:space="preserve">), also auch </w:t>
            </w:r>
            <w:r w:rsidR="00F356A4" w:rsidRPr="00913EC4">
              <w:rPr>
                <w:sz w:val="20"/>
                <w:lang w:val="de-DE"/>
              </w:rPr>
              <w:t xml:space="preserve">in der Ratsarbeitsgruppe für </w:t>
            </w:r>
            <w:r w:rsidRPr="00913EC4">
              <w:rPr>
                <w:sz w:val="20"/>
                <w:lang w:val="de-DE"/>
              </w:rPr>
              <w:t>Krisenbewältigung (CIVCOM), da es in beiden Organis</w:t>
            </w:r>
            <w:r w:rsidR="00F356A4" w:rsidRPr="00913EC4">
              <w:rPr>
                <w:sz w:val="20"/>
                <w:lang w:val="de-DE"/>
              </w:rPr>
              <w:t xml:space="preserve">men die Europäische Kommission als Institution </w:t>
            </w:r>
            <w:r w:rsidRPr="00913EC4">
              <w:rPr>
                <w:sz w:val="20"/>
                <w:lang w:val="de-DE"/>
              </w:rPr>
              <w:t>vertritt.</w:t>
            </w:r>
          </w:p>
          <w:p w:rsidR="003C1856" w:rsidRPr="00913EC4" w:rsidRDefault="003C1856" w:rsidP="003C1856">
            <w:pPr>
              <w:suppressAutoHyphens/>
              <w:jc w:val="both"/>
              <w:rPr>
                <w:sz w:val="20"/>
                <w:lang w:val="de-DE"/>
              </w:rPr>
            </w:pPr>
            <w:r w:rsidRPr="00913EC4">
              <w:rPr>
                <w:sz w:val="20"/>
                <w:lang w:val="de-DE"/>
              </w:rPr>
              <w:t>.</w:t>
            </w:r>
          </w:p>
          <w:p w:rsidR="003C1856" w:rsidRPr="00913EC4" w:rsidRDefault="003C1856" w:rsidP="003C1856">
            <w:pPr>
              <w:suppressAutoHyphens/>
              <w:jc w:val="both"/>
              <w:rPr>
                <w:sz w:val="20"/>
                <w:lang w:val="de-DE"/>
              </w:rPr>
            </w:pPr>
            <w:r w:rsidRPr="00913EC4">
              <w:rPr>
                <w:sz w:val="20"/>
                <w:lang w:val="de-DE"/>
              </w:rPr>
              <w:t>Wir bieten eine attraktive Stelle für ein/n abgeordnete/r nationale/r Sachverständige/n, der/die besonders interessiert ist an strategischer und konzeptioneller Arbeit, sowie dem Erstellen von Vermerken und Besprechungsunterlagen.</w:t>
            </w:r>
          </w:p>
          <w:p w:rsidR="003C1856" w:rsidRPr="00913EC4" w:rsidRDefault="003C1856" w:rsidP="003C1856">
            <w:pPr>
              <w:suppressAutoHyphens/>
              <w:jc w:val="both"/>
              <w:rPr>
                <w:sz w:val="20"/>
                <w:lang w:val="de-DE"/>
              </w:rPr>
            </w:pPr>
          </w:p>
          <w:p w:rsidR="003C1856" w:rsidRPr="00913EC4" w:rsidRDefault="003C1856" w:rsidP="003C1856">
            <w:pPr>
              <w:suppressAutoHyphens/>
              <w:jc w:val="both"/>
              <w:rPr>
                <w:sz w:val="20"/>
                <w:lang w:val="de-DE"/>
              </w:rPr>
            </w:pPr>
            <w:r w:rsidRPr="00913EC4">
              <w:rPr>
                <w:sz w:val="20"/>
                <w:lang w:val="de-DE"/>
              </w:rPr>
              <w:t xml:space="preserve">Vom/von </w:t>
            </w:r>
            <w:proofErr w:type="gramStart"/>
            <w:r w:rsidRPr="00913EC4">
              <w:rPr>
                <w:sz w:val="20"/>
                <w:lang w:val="de-DE"/>
              </w:rPr>
              <w:t>der Bewerber</w:t>
            </w:r>
            <w:proofErr w:type="gramEnd"/>
            <w:r w:rsidRPr="00913EC4">
              <w:rPr>
                <w:sz w:val="20"/>
                <w:lang w:val="de-DE"/>
              </w:rPr>
              <w:t xml:space="preserve">/in wird erwartet, dass sie/er zur Umsetzung von Schlüsselaufgaben in der der GASP in den Bereichen der Nichtverbreitung </w:t>
            </w:r>
            <w:r w:rsidR="00B21089" w:rsidRPr="00913EC4">
              <w:rPr>
                <w:sz w:val="20"/>
                <w:lang w:val="de-DE"/>
              </w:rPr>
              <w:t xml:space="preserve">von Waffen </w:t>
            </w:r>
            <w:r w:rsidRPr="00913EC4">
              <w:rPr>
                <w:sz w:val="20"/>
                <w:lang w:val="de-DE"/>
              </w:rPr>
              <w:t>und Abrüstung, sowie den verschiedenen CSDP Missionen in Afrika, dem Mittleren Osten und den Län</w:t>
            </w:r>
            <w:r w:rsidR="00B21089" w:rsidRPr="00913EC4">
              <w:rPr>
                <w:sz w:val="20"/>
                <w:lang w:val="de-DE"/>
              </w:rPr>
              <w:t>dern der östlichen Nachbarschaft</w:t>
            </w:r>
            <w:r w:rsidRPr="00913EC4">
              <w:rPr>
                <w:sz w:val="20"/>
                <w:lang w:val="de-DE"/>
              </w:rPr>
              <w:t xml:space="preserve"> beiträgt.</w:t>
            </w:r>
          </w:p>
          <w:p w:rsidR="003C1856" w:rsidRPr="00913EC4" w:rsidRDefault="003C1856" w:rsidP="003C1856">
            <w:pPr>
              <w:suppressAutoHyphens/>
              <w:jc w:val="both"/>
              <w:rPr>
                <w:sz w:val="20"/>
                <w:lang w:val="de-DE"/>
              </w:rPr>
            </w:pPr>
          </w:p>
          <w:p w:rsidR="003C1856" w:rsidRPr="00913EC4" w:rsidRDefault="003C1856" w:rsidP="003C1856">
            <w:pPr>
              <w:suppressAutoHyphens/>
              <w:jc w:val="both"/>
              <w:rPr>
                <w:sz w:val="20"/>
                <w:lang w:val="de-DE"/>
              </w:rPr>
            </w:pPr>
            <w:r w:rsidRPr="00913EC4">
              <w:rPr>
                <w:sz w:val="20"/>
                <w:lang w:val="de-DE"/>
              </w:rPr>
              <w:t xml:space="preserve">Der (erfolgreiche) Bewerber wird die Gestaltung, Planung und Durchführung von Missionen im Rahmen des GASP Budgets unterstützen. </w:t>
            </w:r>
          </w:p>
          <w:p w:rsidR="003C1856" w:rsidRPr="00913EC4" w:rsidRDefault="003C1856" w:rsidP="003C1856">
            <w:pPr>
              <w:suppressAutoHyphens/>
              <w:jc w:val="both"/>
              <w:rPr>
                <w:sz w:val="20"/>
                <w:lang w:val="de-DE"/>
              </w:rPr>
            </w:pPr>
          </w:p>
          <w:p w:rsidR="003C1856" w:rsidRPr="003C1856" w:rsidRDefault="003C1856" w:rsidP="003C1856">
            <w:pPr>
              <w:suppressAutoHyphens/>
              <w:jc w:val="both"/>
              <w:rPr>
                <w:b/>
                <w:sz w:val="20"/>
                <w:lang w:val="de-DE"/>
              </w:rPr>
            </w:pPr>
            <w:r w:rsidRPr="00913EC4">
              <w:rPr>
                <w:sz w:val="20"/>
                <w:lang w:val="de-DE"/>
              </w:rPr>
              <w:t xml:space="preserve">Die(se) Aufgaben </w:t>
            </w:r>
            <w:r w:rsidR="00B21089" w:rsidRPr="00913EC4">
              <w:rPr>
                <w:sz w:val="20"/>
                <w:lang w:val="de-DE"/>
              </w:rPr>
              <w:t xml:space="preserve">erfordern </w:t>
            </w:r>
            <w:r w:rsidRPr="00913EC4">
              <w:rPr>
                <w:sz w:val="20"/>
                <w:lang w:val="de-DE"/>
              </w:rPr>
              <w:t>en</w:t>
            </w:r>
            <w:r w:rsidR="00B21089" w:rsidRPr="00913EC4">
              <w:rPr>
                <w:sz w:val="20"/>
                <w:lang w:val="de-DE"/>
              </w:rPr>
              <w:t>ge</w:t>
            </w:r>
            <w:r w:rsidRPr="00913EC4">
              <w:rPr>
                <w:sz w:val="20"/>
                <w:lang w:val="de-DE"/>
              </w:rPr>
              <w:t xml:space="preserve"> Abstimmung mit Stellen innerhalb des Dienstes für außenpolitische Instrumente als </w:t>
            </w:r>
            <w:r w:rsidR="00B21089" w:rsidRPr="00913EC4">
              <w:rPr>
                <w:sz w:val="20"/>
                <w:lang w:val="de-DE"/>
              </w:rPr>
              <w:t xml:space="preserve">auch </w:t>
            </w:r>
            <w:r w:rsidRPr="00913EC4">
              <w:rPr>
                <w:sz w:val="20"/>
                <w:lang w:val="de-DE"/>
              </w:rPr>
              <w:t>mit anderen Dienststellen der Europäischen Komm</w:t>
            </w:r>
            <w:r w:rsidR="00B21089" w:rsidRPr="00913EC4">
              <w:rPr>
                <w:sz w:val="20"/>
                <w:lang w:val="de-DE"/>
              </w:rPr>
              <w:t xml:space="preserve">ission (Generalsekretariat, Juristischer Dienst, </w:t>
            </w:r>
            <w:r w:rsidRPr="00913EC4">
              <w:rPr>
                <w:sz w:val="20"/>
                <w:lang w:val="de-DE"/>
              </w:rPr>
              <w:t>Gener</w:t>
            </w:r>
            <w:r w:rsidR="00B21089" w:rsidRPr="00913EC4">
              <w:rPr>
                <w:sz w:val="20"/>
                <w:lang w:val="de-DE"/>
              </w:rPr>
              <w:t>aldirektion Haushalt et al), dem EAD</w:t>
            </w:r>
            <w:r w:rsidRPr="00913EC4">
              <w:rPr>
                <w:sz w:val="20"/>
                <w:lang w:val="de-DE"/>
              </w:rPr>
              <w:t xml:space="preserve"> und mit Organen der Vereinten Nationen</w:t>
            </w:r>
            <w:r w:rsidR="00913EC4" w:rsidRPr="00913EC4">
              <w:rPr>
                <w:sz w:val="20"/>
                <w:lang w:val="de-DE"/>
              </w:rPr>
              <w:t>.</w:t>
            </w:r>
          </w:p>
          <w:p w:rsidR="00EF57C4" w:rsidRDefault="00EF57C4" w:rsidP="00EF57C4">
            <w:pPr>
              <w:suppressAutoHyphens/>
              <w:jc w:val="both"/>
              <w:rPr>
                <w:b/>
                <w:sz w:val="20"/>
                <w:lang w:val="de-DE"/>
              </w:rPr>
            </w:pPr>
          </w:p>
          <w:p w:rsidR="00EF57C4" w:rsidRPr="009222CC" w:rsidRDefault="00EF57C4" w:rsidP="00EF57C4">
            <w:pPr>
              <w:suppressAutoHyphens/>
              <w:jc w:val="both"/>
              <w:rPr>
                <w:b/>
                <w:sz w:val="20"/>
                <w:lang w:val="de-DE"/>
              </w:rPr>
            </w:pPr>
          </w:p>
        </w:tc>
      </w:tr>
      <w:tr w:rsidR="006643E5" w:rsidRPr="00C34249" w:rsidTr="006643E5">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Erforderliche Qualifikationen:</w:t>
            </w:r>
          </w:p>
        </w:tc>
      </w:tr>
      <w:tr w:rsidR="006643E5" w:rsidRPr="009222CC"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643E5" w:rsidP="0069244E">
            <w:pPr>
              <w:ind w:right="1317"/>
              <w:jc w:val="both"/>
              <w:rPr>
                <w:sz w:val="20"/>
                <w:lang w:val="de-DE"/>
              </w:rPr>
            </w:pPr>
          </w:p>
          <w:p w:rsidR="006643E5" w:rsidRPr="009222CC" w:rsidRDefault="006643E5" w:rsidP="0069244E">
            <w:pPr>
              <w:ind w:right="1317"/>
              <w:jc w:val="both"/>
              <w:rPr>
                <w:lang w:val="de-DE"/>
              </w:rPr>
            </w:pPr>
            <w:r w:rsidRPr="009222CC">
              <w:rPr>
                <w:sz w:val="20"/>
                <w:lang w:val="de-DE"/>
              </w:rPr>
              <w:t>a) Zulassungskriterien</w:t>
            </w: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C34249"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Dienstalter: Bewerberinnen und Bewerber müssen ein Dienstalter von mindestens eine</w:t>
            </w:r>
            <w:r w:rsidR="0069244E" w:rsidRPr="009222CC">
              <w:rPr>
                <w:sz w:val="20"/>
                <w:lang w:val="de-DE"/>
              </w:rPr>
              <w:t>m Jahr bei ihrem Arbeitgeber nach</w:t>
            </w:r>
            <w:r w:rsidRPr="009222CC">
              <w:rPr>
                <w:sz w:val="20"/>
                <w:lang w:val="de-DE"/>
              </w:rPr>
              <w:t xml:space="preserve">weisen, das heißt seit mindestens einem Jahr in einem dienst- oder vertragsrechtlichen Verhältnis mit einem Arbeitgeber im Sinne von Artikel 1 des ANS-Beschlusses stehen. </w:t>
            </w:r>
          </w:p>
          <w:p w:rsidR="006643E5" w:rsidRPr="009222CC" w:rsidRDefault="006643E5" w:rsidP="0069244E">
            <w:pPr>
              <w:ind w:left="473" w:right="161" w:hanging="473"/>
              <w:jc w:val="both"/>
              <w:rPr>
                <w:sz w:val="20"/>
                <w:lang w:val="de-DE"/>
              </w:rPr>
            </w:pPr>
          </w:p>
          <w:p w:rsidR="006643E5" w:rsidRPr="009222CC" w:rsidRDefault="006643E5"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C34249"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317"/>
              <w:jc w:val="both"/>
              <w:rPr>
                <w:b/>
                <w:lang w:val="de-DE"/>
              </w:rPr>
            </w:pPr>
          </w:p>
        </w:tc>
      </w:tr>
      <w:tr w:rsidR="006643E5" w:rsidRPr="009222CC"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1317"/>
              <w:jc w:val="both"/>
              <w:rPr>
                <w:sz w:val="20"/>
                <w:lang w:val="de-DE"/>
              </w:rPr>
            </w:pPr>
            <w:r>
              <w:rPr>
                <w:sz w:val="20"/>
                <w:lang w:val="de-DE"/>
              </w:rPr>
              <w:t>b)</w:t>
            </w:r>
            <w:r>
              <w:rPr>
                <w:sz w:val="20"/>
                <w:lang w:val="de-DE"/>
              </w:rPr>
              <w:tab/>
            </w:r>
            <w:r w:rsidR="006643E5" w:rsidRPr="009222CC">
              <w:rPr>
                <w:sz w:val="20"/>
                <w:lang w:val="de-DE"/>
              </w:rPr>
              <w:t>Auswahlkriterien</w:t>
            </w:r>
          </w:p>
          <w:p w:rsidR="00B3363A" w:rsidRPr="009222CC" w:rsidRDefault="00B3363A" w:rsidP="0069244E">
            <w:pPr>
              <w:ind w:right="1317"/>
              <w:jc w:val="both"/>
              <w:rPr>
                <w:lang w:val="de-DE"/>
              </w:rPr>
            </w:pPr>
          </w:p>
        </w:tc>
      </w:tr>
      <w:tr w:rsidR="006643E5" w:rsidRPr="00C34249"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E14E5A" w:rsidP="00E14E5A">
            <w:pPr>
              <w:tabs>
                <w:tab w:val="left" w:pos="317"/>
              </w:tabs>
              <w:ind w:right="212"/>
              <w:jc w:val="both"/>
              <w:rPr>
                <w:sz w:val="20"/>
                <w:lang w:val="de-DE"/>
              </w:rPr>
            </w:pPr>
            <w:r>
              <w:rPr>
                <w:sz w:val="20"/>
                <w:lang w:val="de-DE"/>
              </w:rPr>
              <w:tab/>
            </w:r>
            <w:r w:rsidR="006643E5" w:rsidRPr="009222CC">
              <w:rPr>
                <w:sz w:val="20"/>
                <w:lang w:val="de-DE"/>
              </w:rPr>
              <w:t>Bildungsabschluss</w:t>
            </w:r>
            <w:r w:rsidR="0039306A">
              <w:rPr>
                <w:sz w:val="20"/>
                <w:lang w:val="de-DE"/>
              </w:rPr>
              <w:t>:</w:t>
            </w:r>
          </w:p>
          <w:p w:rsidR="00E14E5A" w:rsidRDefault="00E14E5A" w:rsidP="00E14E5A">
            <w:pPr>
              <w:tabs>
                <w:tab w:val="left" w:pos="317"/>
              </w:tabs>
              <w:ind w:right="212"/>
              <w:jc w:val="both"/>
              <w:rPr>
                <w:sz w:val="20"/>
                <w:lang w:val="de-DE"/>
              </w:rPr>
            </w:pPr>
            <w:r>
              <w:rPr>
                <w:sz w:val="20"/>
                <w:lang w:val="de-DE"/>
              </w:rPr>
              <w:tab/>
            </w:r>
            <w:r w:rsidRPr="00E14E5A">
              <w:rPr>
                <w:sz w:val="20"/>
                <w:lang w:val="de-DE"/>
              </w:rPr>
              <w:t>- ein Universitätsabschluss oder</w:t>
            </w:r>
          </w:p>
          <w:p w:rsidR="006643E5" w:rsidRDefault="00E14E5A" w:rsidP="00E14E5A">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E14E5A" w:rsidRDefault="00E14E5A" w:rsidP="00E14E5A">
            <w:pPr>
              <w:tabs>
                <w:tab w:val="left" w:pos="317"/>
              </w:tabs>
              <w:ind w:right="212"/>
              <w:jc w:val="both"/>
              <w:rPr>
                <w:sz w:val="20"/>
                <w:lang w:val="de-DE"/>
              </w:rPr>
            </w:pPr>
          </w:p>
          <w:p w:rsidR="00E14E5A" w:rsidRDefault="00E14E5A" w:rsidP="00E14E5A">
            <w:pPr>
              <w:tabs>
                <w:tab w:val="left" w:pos="317"/>
              </w:tabs>
              <w:ind w:right="212"/>
              <w:jc w:val="both"/>
              <w:rPr>
                <w:sz w:val="20"/>
                <w:lang w:val="de-DE"/>
              </w:rPr>
            </w:pPr>
            <w:r>
              <w:rPr>
                <w:sz w:val="20"/>
                <w:lang w:val="de-DE"/>
              </w:rPr>
              <w:lastRenderedPageBreak/>
              <w:tab/>
            </w:r>
            <w:r w:rsidRPr="00E14E5A">
              <w:rPr>
                <w:sz w:val="20"/>
                <w:lang w:val="de-DE"/>
              </w:rPr>
              <w:t>im Bereich</w:t>
            </w:r>
            <w:r w:rsidR="00B21089">
              <w:rPr>
                <w:sz w:val="20"/>
                <w:lang w:val="de-DE"/>
              </w:rPr>
              <w:t xml:space="preserve"> einer nationalen und/oder internationalen Verwaltung</w:t>
            </w:r>
            <w:r>
              <w:rPr>
                <w:sz w:val="20"/>
                <w:lang w:val="de-DE"/>
              </w:rPr>
              <w:t xml:space="preserve">           </w:t>
            </w:r>
          </w:p>
          <w:p w:rsidR="00B3363A" w:rsidRPr="009222CC" w:rsidRDefault="00B3363A" w:rsidP="00B3363A">
            <w:pPr>
              <w:ind w:right="212"/>
              <w:jc w:val="both"/>
              <w:rPr>
                <w:sz w:val="20"/>
                <w:lang w:val="de-DE"/>
              </w:rPr>
            </w:pPr>
          </w:p>
        </w:tc>
      </w:tr>
      <w:tr w:rsidR="006643E5" w:rsidRPr="00C34249" w:rsidTr="006643E5">
        <w:trPr>
          <w:gridAfter w:val="1"/>
          <w:wAfter w:w="14" w:type="dxa"/>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913EC4">
            <w:pPr>
              <w:tabs>
                <w:tab w:val="left" w:pos="317"/>
              </w:tabs>
              <w:ind w:left="317" w:right="212" w:hanging="317"/>
              <w:jc w:val="both"/>
              <w:rPr>
                <w:sz w:val="20"/>
                <w:lang w:val="de-DE"/>
              </w:rPr>
            </w:pPr>
            <w:r>
              <w:rPr>
                <w:sz w:val="20"/>
                <w:lang w:val="de-DE"/>
              </w:rPr>
              <w:tab/>
            </w:r>
            <w:r w:rsidR="006643E5" w:rsidRPr="009222CC">
              <w:rPr>
                <w:sz w:val="20"/>
                <w:lang w:val="de-DE"/>
              </w:rPr>
              <w:t>Berufserfahrung</w:t>
            </w:r>
            <w:r w:rsidR="0039306A">
              <w:rPr>
                <w:sz w:val="20"/>
                <w:lang w:val="de-DE"/>
              </w:rPr>
              <w:t>:</w:t>
            </w:r>
            <w:r w:rsidR="00B21089">
              <w:rPr>
                <w:sz w:val="20"/>
                <w:lang w:val="de-DE"/>
              </w:rPr>
              <w:t xml:space="preserve"> Beschäftigung in den Bereichen politische/strategische Entwicklung und/oder Finanzwesen und/oder Verwaltung.  </w:t>
            </w:r>
          </w:p>
          <w:p w:rsidR="00B21089" w:rsidRDefault="00B21089" w:rsidP="00E14E5A">
            <w:pPr>
              <w:tabs>
                <w:tab w:val="left" w:pos="317"/>
              </w:tabs>
              <w:ind w:right="212"/>
              <w:jc w:val="both"/>
              <w:rPr>
                <w:sz w:val="20"/>
                <w:lang w:val="de-DE"/>
              </w:rPr>
            </w:pPr>
          </w:p>
          <w:p w:rsidR="006643E5" w:rsidRPr="009222CC" w:rsidRDefault="006643E5" w:rsidP="00B3363A">
            <w:pPr>
              <w:ind w:right="212"/>
              <w:jc w:val="both"/>
              <w:rPr>
                <w:sz w:val="20"/>
                <w:lang w:val="de-DE"/>
              </w:rPr>
            </w:pPr>
          </w:p>
        </w:tc>
      </w:tr>
      <w:tr w:rsidR="006643E5" w:rsidRPr="00C34249"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B3363A">
            <w:pPr>
              <w:ind w:right="212"/>
              <w:jc w:val="both"/>
              <w:rPr>
                <w:lang w:val="de-DE"/>
              </w:rPr>
            </w:pPr>
          </w:p>
        </w:tc>
      </w:tr>
      <w:tr w:rsidR="006643E5" w:rsidRPr="00C34249"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0"/>
                <w:lang w:val="de-DE"/>
              </w:rPr>
            </w:pPr>
            <w:r>
              <w:rPr>
                <w:sz w:val="20"/>
                <w:lang w:val="de-DE"/>
              </w:rPr>
              <w:tab/>
            </w:r>
            <w:r w:rsidR="0039306A">
              <w:rPr>
                <w:sz w:val="20"/>
                <w:lang w:val="de-DE"/>
              </w:rPr>
              <w:t>Zur Ausübung d</w:t>
            </w:r>
            <w:r w:rsidR="0039306A" w:rsidRPr="0039306A">
              <w:rPr>
                <w:sz w:val="20"/>
                <w:lang w:val="de-DE"/>
              </w:rPr>
              <w:t>er Tätigkeit erforderliche</w:t>
            </w:r>
            <w:r w:rsidR="0039306A">
              <w:rPr>
                <w:sz w:val="20"/>
                <w:lang w:val="de-DE"/>
              </w:rPr>
              <w:t xml:space="preserve"> </w:t>
            </w:r>
            <w:r w:rsidR="006643E5" w:rsidRPr="009222CC">
              <w:rPr>
                <w:sz w:val="20"/>
                <w:lang w:val="de-DE"/>
              </w:rPr>
              <w:t>Sprachkenntnisse:</w:t>
            </w:r>
            <w:r w:rsidR="00B21089">
              <w:rPr>
                <w:sz w:val="20"/>
                <w:lang w:val="de-DE"/>
              </w:rPr>
              <w:t xml:space="preserve"> Englisch (C1)</w:t>
            </w:r>
          </w:p>
          <w:p w:rsidR="00B3363A" w:rsidRPr="009222CC" w:rsidRDefault="00B3363A" w:rsidP="00B3363A">
            <w:pPr>
              <w:ind w:right="212"/>
              <w:jc w:val="both"/>
              <w:rPr>
                <w:lang w:val="de-DE"/>
              </w:rPr>
            </w:pPr>
          </w:p>
        </w:tc>
      </w:tr>
      <w:tr w:rsidR="006643E5" w:rsidRPr="00C34249" w:rsidTr="006643E5">
        <w:trPr>
          <w:gridAfter w:val="1"/>
          <w:wAfter w:w="14" w:type="dxa"/>
          <w:trHeight w:val="95"/>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9222CC" w:rsidRDefault="006643E5" w:rsidP="0069244E">
            <w:pPr>
              <w:ind w:right="161"/>
              <w:jc w:val="both"/>
              <w:rPr>
                <w:lang w:val="de-DE"/>
              </w:rPr>
            </w:pPr>
          </w:p>
        </w:tc>
      </w:tr>
      <w:tr w:rsidR="006643E5" w:rsidRPr="00C34249"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317"/>
              <w:jc w:val="both"/>
              <w:rPr>
                <w:b/>
                <w:sz w:val="20"/>
                <w:lang w:val="de-DE"/>
              </w:rPr>
            </w:pPr>
          </w:p>
        </w:tc>
      </w:tr>
      <w:tr w:rsidR="006643E5" w:rsidRPr="00C34249"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317"/>
              <w:jc w:val="both"/>
              <w:rPr>
                <w:b/>
                <w:sz w:val="20"/>
                <w:lang w:val="de-DE"/>
              </w:rPr>
            </w:pPr>
          </w:p>
        </w:tc>
      </w:tr>
      <w:tr w:rsidR="006643E5"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lang w:val="de-DE"/>
              </w:rPr>
            </w:pPr>
            <w:r w:rsidRPr="009222CC">
              <w:rPr>
                <w:b/>
                <w:sz w:val="20"/>
                <w:lang w:val="de-DE"/>
              </w:rPr>
              <w:t>Bewerbung und Auswahlverfahren</w:t>
            </w:r>
          </w:p>
        </w:tc>
      </w:tr>
      <w:tr w:rsidR="006643E5" w:rsidRPr="00C34249" w:rsidTr="006643E5">
        <w:trPr>
          <w:gridAfter w:val="1"/>
          <w:wAfter w:w="14" w:type="dxa"/>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6643E5" w:rsidRPr="009222CC" w:rsidRDefault="006A4737" w:rsidP="00EA222B">
            <w:pPr>
              <w:ind w:right="175"/>
              <w:jc w:val="both"/>
              <w:rPr>
                <w:lang w:val="de-DE"/>
              </w:rPr>
            </w:pPr>
            <w:bookmarkStart w:id="1" w:name="_Hlt340069415"/>
            <w:bookmarkStart w:id="2" w:name="_Hlt340069416"/>
            <w:r>
              <w:rPr>
                <w:sz w:val="20"/>
                <w:lang w:val="de-DE"/>
              </w:rPr>
              <w:br/>
            </w:r>
            <w:r w:rsidR="006643E5" w:rsidRPr="006A4737">
              <w:rPr>
                <w:sz w:val="20"/>
                <w:lang w:val="de-DE"/>
              </w:rPr>
              <w:t>Die Bewerberinnen und Bewerber senden ihren</w:t>
            </w:r>
            <w:r w:rsidR="006643E5" w:rsidRPr="009222CC">
              <w:rPr>
                <w:b/>
                <w:sz w:val="20"/>
                <w:lang w:val="de-DE"/>
              </w:rPr>
              <w:t xml:space="preserve"> Lebenslauf im Europass-Format </w:t>
            </w:r>
            <w:r w:rsidR="006643E5" w:rsidRPr="006A4737">
              <w:rPr>
                <w:sz w:val="20"/>
                <w:lang w:val="de-DE"/>
              </w:rPr>
              <w:t>(</w:t>
            </w:r>
            <w:hyperlink r:id="rId8" w:history="1">
              <w:r w:rsidR="006643E5" w:rsidRPr="006A4737">
                <w:rPr>
                  <w:rStyle w:val="Hyperlink"/>
                  <w:color w:val="auto"/>
                  <w:sz w:val="20"/>
                  <w:lang w:val="de-DE"/>
                </w:rPr>
                <w:t>http://europass.cedefop.europa.eu/de/documents/curriculum-vitae</w:t>
              </w:r>
            </w:hyperlink>
            <w:r w:rsidR="006643E5" w:rsidRPr="006A4737">
              <w:rPr>
                <w:sz w:val="20"/>
                <w:lang w:val="de-DE"/>
              </w:rPr>
              <w:t>)</w:t>
            </w:r>
            <w:r w:rsidR="006643E5" w:rsidRPr="009222CC">
              <w:rPr>
                <w:b/>
                <w:sz w:val="20"/>
                <w:lang w:val="de-DE"/>
              </w:rPr>
              <w:t xml:space="preserve"> </w:t>
            </w:r>
            <w:r w:rsidR="00B921A3" w:rsidRPr="00B921A3">
              <w:rPr>
                <w:sz w:val="20"/>
                <w:lang w:val="de-DE"/>
              </w:rPr>
              <w:t xml:space="preserve">auf deutsch, englisch od. </w:t>
            </w:r>
            <w:r w:rsidR="00EA222B" w:rsidRPr="00B921A3">
              <w:rPr>
                <w:sz w:val="20"/>
                <w:lang w:val="de-DE"/>
              </w:rPr>
              <w:t>französisch</w:t>
            </w:r>
            <w:r w:rsidR="00B921A3">
              <w:rPr>
                <w:b/>
                <w:sz w:val="20"/>
                <w:lang w:val="de-DE"/>
              </w:rPr>
              <w:t xml:space="preserve"> </w:t>
            </w:r>
            <w:r w:rsidR="006643E5" w:rsidRPr="00B921A3">
              <w:rPr>
                <w:b/>
                <w:sz w:val="20"/>
                <w:u w:val="single"/>
                <w:lang w:val="de-DE"/>
              </w:rPr>
              <w:t>ausschließlich a</w:t>
            </w:r>
            <w:r w:rsidR="006643E5" w:rsidRPr="006A4737">
              <w:rPr>
                <w:b/>
                <w:sz w:val="20"/>
                <w:u w:val="single"/>
                <w:lang w:val="de-DE"/>
              </w:rPr>
              <w:t>n die Ständige Vertretung</w:t>
            </w:r>
            <w:r w:rsidR="00B921A3">
              <w:rPr>
                <w:b/>
                <w:sz w:val="20"/>
                <w:u w:val="single"/>
                <w:lang w:val="de-DE"/>
              </w:rPr>
              <w:t xml:space="preserve"> / diplomatische </w:t>
            </w:r>
            <w:r w:rsidR="00B921A3" w:rsidRPr="00B921A3">
              <w:rPr>
                <w:b/>
                <w:sz w:val="20"/>
                <w:u w:val="single"/>
                <w:lang w:val="de-DE"/>
              </w:rPr>
              <w:t>Mission</w:t>
            </w:r>
            <w:r w:rsidR="006643E5" w:rsidRPr="00B921A3">
              <w:rPr>
                <w:b/>
                <w:sz w:val="20"/>
                <w:u w:val="single"/>
                <w:lang w:val="de-DE"/>
              </w:rPr>
              <w:t xml:space="preserve"> ihres Landes bei der </w:t>
            </w:r>
            <w:r w:rsidR="00EA222B">
              <w:rPr>
                <w:b/>
                <w:sz w:val="20"/>
                <w:u w:val="single"/>
                <w:lang w:val="de-DE"/>
              </w:rPr>
              <w:t>EU</w:t>
            </w:r>
            <w:r w:rsidR="006643E5" w:rsidRPr="006A4737">
              <w:rPr>
                <w:sz w:val="20"/>
                <w:lang w:val="de-DE"/>
              </w:rPr>
              <w:t>. Diese leitet die Bewerbungen innerhalb der Fristen für das Auswahlverfahren an die zuständigen Kommissionsdienststellen weiter.</w:t>
            </w:r>
            <w:r w:rsidR="006643E5" w:rsidRPr="009222CC">
              <w:rPr>
                <w:b/>
                <w:sz w:val="20"/>
                <w:lang w:val="de-DE"/>
              </w:rPr>
              <w:t xml:space="preserve"> Bei Nichteinhaltung dieses Verfahrens oder der Fristen wird die Bewerbung automatisch ungültig. Die Bewerberinnen und Bewerber werden gebeten, ihrer B</w:t>
            </w:r>
            <w:r w:rsidR="0069244E" w:rsidRPr="009222CC">
              <w:rPr>
                <w:b/>
                <w:sz w:val="20"/>
                <w:lang w:val="de-DE"/>
              </w:rPr>
              <w:t>ewerbung keine anderen</w:t>
            </w:r>
            <w:r w:rsidR="006643E5" w:rsidRPr="009222CC">
              <w:rPr>
                <w:b/>
                <w:sz w:val="20"/>
                <w:lang w:val="de-DE"/>
              </w:rPr>
              <w:t xml:space="preserve"> Dokumente</w:t>
            </w:r>
            <w:r w:rsidR="006643E5" w:rsidRPr="009222CC">
              <w:rPr>
                <w:sz w:val="20"/>
                <w:lang w:val="de-DE"/>
              </w:rPr>
              <w:t xml:space="preserve"> (wie Kopien des Personalausweises, Kopien von Abschlusszeugnissen, Nachweise der Berufserfahrung usw.) </w:t>
            </w:r>
            <w:r w:rsidR="006643E5" w:rsidRPr="006A4737">
              <w:rPr>
                <w:sz w:val="20"/>
                <w:lang w:val="de-DE"/>
              </w:rPr>
              <w:t>beizufügen</w:t>
            </w:r>
            <w:r w:rsidR="006643E5" w:rsidRPr="009222CC">
              <w:rPr>
                <w:sz w:val="20"/>
                <w:lang w:val="de-DE"/>
              </w:rPr>
              <w:t>. Diese Dokumente sind gegebenenfalls in einem späteren Stadium des Auswahlverfahrens vorzulegen.</w:t>
            </w:r>
            <w:bookmarkEnd w:id="1"/>
            <w:bookmarkEnd w:id="2"/>
          </w:p>
        </w:tc>
      </w:tr>
      <w:tr w:rsidR="006643E5" w:rsidRPr="00C34249" w:rsidTr="006643E5">
        <w:trPr>
          <w:gridAfter w:val="1"/>
          <w:wAfter w:w="14" w:type="dxa"/>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9222CC" w:rsidRDefault="006643E5" w:rsidP="0069244E">
            <w:pPr>
              <w:ind w:right="175"/>
              <w:jc w:val="both"/>
              <w:rPr>
                <w:lang w:val="de-DE"/>
              </w:rPr>
            </w:pPr>
            <w:r w:rsidRPr="009222CC">
              <w:rPr>
                <w:sz w:val="20"/>
                <w:lang w:val="de-DE"/>
              </w:rPr>
              <w:t>Die Bewerberinnen und Bewerber werden von dem einstellenden Referat über den Stand ihrer Bewerbung informiert.</w:t>
            </w:r>
            <w:r w:rsidR="006A4737">
              <w:rPr>
                <w:sz w:val="20"/>
                <w:lang w:val="de-DE"/>
              </w:rPr>
              <w:br/>
            </w:r>
          </w:p>
        </w:tc>
      </w:tr>
      <w:tr w:rsidR="006643E5" w:rsidRPr="00C34249" w:rsidTr="008C30A2">
        <w:trPr>
          <w:gridAfter w:val="1"/>
          <w:wAfter w:w="14" w:type="dxa"/>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9222CC" w:rsidRDefault="006643E5" w:rsidP="0069244E">
            <w:pPr>
              <w:ind w:right="175"/>
              <w:jc w:val="both"/>
              <w:rPr>
                <w:b/>
                <w:sz w:val="20"/>
                <w:lang w:val="de-DE"/>
              </w:rPr>
            </w:pPr>
          </w:p>
        </w:tc>
      </w:tr>
      <w:tr w:rsidR="006643E5" w:rsidRPr="00C34249"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75"/>
              <w:jc w:val="both"/>
              <w:rPr>
                <w:lang w:val="de-DE"/>
              </w:rPr>
            </w:pPr>
            <w:r w:rsidRPr="009222CC">
              <w:rPr>
                <w:b/>
                <w:sz w:val="20"/>
                <w:lang w:val="de-DE"/>
              </w:rPr>
              <w:t>Bedingungen für die Abordnung nationaler Sachverständiger</w:t>
            </w:r>
          </w:p>
        </w:tc>
      </w:tr>
      <w:tr w:rsidR="006643E5" w:rsidRPr="00C34249" w:rsidTr="006643E5">
        <w:trPr>
          <w:gridAfter w:val="1"/>
          <w:wAfter w:w="14" w:type="dxa"/>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6643E5" w:rsidRPr="001212A2" w:rsidRDefault="006A4737" w:rsidP="0069244E">
            <w:pPr>
              <w:ind w:right="175"/>
              <w:jc w:val="both"/>
              <w:rPr>
                <w:sz w:val="20"/>
                <w:lang w:val="de-DE"/>
              </w:rPr>
            </w:pPr>
            <w:bookmarkStart w:id="3" w:name="_Hlt340069984"/>
            <w:bookmarkStart w:id="4" w:name="_Hlt340069985"/>
            <w:bookmarkStart w:id="5" w:name="_Hlt340128808"/>
            <w:bookmarkStart w:id="6" w:name="_Hlt340128809"/>
            <w:r>
              <w:rPr>
                <w:sz w:val="20"/>
                <w:lang w:val="de-DE"/>
              </w:rPr>
              <w:br/>
            </w:r>
            <w:r w:rsidR="006643E5" w:rsidRPr="009222CC">
              <w:rPr>
                <w:sz w:val="20"/>
                <w:lang w:val="de-DE"/>
              </w:rPr>
              <w:t xml:space="preserve">Abordnungen fallen unter den </w:t>
            </w:r>
            <w:r w:rsidR="006643E5" w:rsidRPr="006A4737">
              <w:rPr>
                <w:b/>
                <w:sz w:val="20"/>
                <w:lang w:val="de-DE"/>
              </w:rPr>
              <w:t xml:space="preserve">Beschluss </w:t>
            </w:r>
            <w:proofErr w:type="gramStart"/>
            <w:r w:rsidR="006674F0" w:rsidRPr="006A4737">
              <w:rPr>
                <w:b/>
                <w:sz w:val="20"/>
                <w:lang w:val="de-DE"/>
              </w:rPr>
              <w:t>C</w:t>
            </w:r>
            <w:r w:rsidR="006643E5" w:rsidRPr="006A4737">
              <w:rPr>
                <w:b/>
                <w:sz w:val="20"/>
                <w:lang w:val="de-DE"/>
              </w:rPr>
              <w:t>(</w:t>
            </w:r>
            <w:proofErr w:type="gramEnd"/>
            <w:r w:rsidR="006643E5" w:rsidRPr="006A4737">
              <w:rPr>
                <w:b/>
                <w:sz w:val="20"/>
                <w:lang w:val="de-DE"/>
              </w:rPr>
              <w:t>2008) 6866 der Kommission vom 12.11.2008</w:t>
            </w:r>
            <w:r w:rsidR="006643E5"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9" w:history="1">
              <w:r w:rsidR="006643E5" w:rsidRPr="001212A2">
                <w:rPr>
                  <w:rStyle w:val="Hyperlink"/>
                  <w:color w:val="auto"/>
                  <w:sz w:val="20"/>
                  <w:lang w:val="de-DE"/>
                </w:rPr>
                <w:t>http://ec.europa.eu/civil_service/job/sne/index_de.htm</w:t>
              </w:r>
            </w:hyperlink>
            <w:r w:rsidR="006643E5" w:rsidRPr="009222CC">
              <w:rPr>
                <w:sz w:val="20"/>
                <w:lang w:val="de-DE"/>
              </w:rPr>
              <w:t>.</w:t>
            </w:r>
          </w:p>
          <w:bookmarkEnd w:id="3"/>
          <w:bookmarkEnd w:id="4"/>
          <w:bookmarkEnd w:id="5"/>
          <w:bookmarkEnd w:id="6"/>
          <w:p w:rsidR="006643E5" w:rsidRPr="009222CC" w:rsidRDefault="006643E5"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9222CC" w:rsidRDefault="006643E5"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6643E5" w:rsidRDefault="006643E5"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3838EB" w:rsidRPr="003838EB" w:rsidRDefault="003838EB"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6643E5" w:rsidRPr="009222CC" w:rsidRDefault="006643E5" w:rsidP="0069244E">
            <w:pPr>
              <w:ind w:right="175"/>
              <w:jc w:val="both"/>
              <w:rPr>
                <w:sz w:val="20"/>
                <w:lang w:val="de-DE"/>
              </w:rPr>
            </w:pPr>
          </w:p>
        </w:tc>
      </w:tr>
      <w:tr w:rsidR="006643E5" w:rsidRPr="00C34249" w:rsidTr="008C30A2">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tcBorders>
          </w:tcPr>
          <w:p w:rsidR="006643E5" w:rsidRPr="009222CC" w:rsidRDefault="006643E5" w:rsidP="0069244E">
            <w:pPr>
              <w:ind w:left="473"/>
              <w:jc w:val="both"/>
              <w:rPr>
                <w:sz w:val="20"/>
                <w:lang w:val="de-DE"/>
              </w:rPr>
            </w:pPr>
          </w:p>
        </w:tc>
      </w:tr>
      <w:tr w:rsidR="006643E5" w:rsidRPr="009222CC" w:rsidTr="008C30A2">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9222CC" w:rsidRDefault="006643E5" w:rsidP="0069244E">
            <w:pPr>
              <w:pStyle w:val="Footer"/>
              <w:rPr>
                <w:szCs w:val="24"/>
                <w:lang w:val="de-DE"/>
              </w:rPr>
            </w:pPr>
            <w:r w:rsidRPr="009222CC">
              <w:rPr>
                <w:b/>
                <w:sz w:val="20"/>
                <w:szCs w:val="24"/>
                <w:lang w:val="de-DE"/>
              </w:rPr>
              <w:t>Verarbeitung personenbezogener Daten:</w:t>
            </w:r>
          </w:p>
        </w:tc>
      </w:tr>
      <w:tr w:rsidR="006643E5" w:rsidRPr="009222CC" w:rsidTr="008C30A2">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30" w:type="dxa"/>
            <w:gridSpan w:val="3"/>
            <w:tcBorders>
              <w:top w:val="single" w:sz="4" w:space="0" w:color="auto"/>
              <w:right w:val="single" w:sz="4" w:space="0" w:color="auto"/>
            </w:tcBorders>
          </w:tcPr>
          <w:p w:rsidR="006643E5" w:rsidRPr="001212A2" w:rsidRDefault="006643E5" w:rsidP="001212A2">
            <w:pPr>
              <w:ind w:right="175"/>
              <w:jc w:val="both"/>
              <w:rPr>
                <w:sz w:val="20"/>
                <w:lang w:val="de-DE"/>
              </w:rPr>
            </w:pPr>
          </w:p>
        </w:tc>
      </w:tr>
      <w:tr w:rsidR="006643E5" w:rsidRPr="00C34249" w:rsidTr="008C30A2">
        <w:trPr>
          <w:trHeight w:val="473"/>
        </w:trPr>
        <w:tc>
          <w:tcPr>
            <w:tcW w:w="392" w:type="dxa"/>
            <w:vMerge w:val="restart"/>
            <w:tcBorders>
              <w:left w:val="single" w:sz="4" w:space="0" w:color="auto"/>
            </w:tcBorders>
          </w:tcPr>
          <w:p w:rsidR="006643E5" w:rsidRPr="009222CC" w:rsidRDefault="006643E5" w:rsidP="0069244E">
            <w:pPr>
              <w:ind w:right="1317"/>
              <w:jc w:val="both"/>
              <w:rPr>
                <w:b/>
                <w:sz w:val="20"/>
                <w:lang w:val="de-DE"/>
              </w:rPr>
            </w:pPr>
          </w:p>
        </w:tc>
        <w:tc>
          <w:tcPr>
            <w:tcW w:w="8930" w:type="dxa"/>
            <w:gridSpan w:val="3"/>
            <w:tcBorders>
              <w:right w:val="single" w:sz="4" w:space="0" w:color="auto"/>
            </w:tcBorders>
          </w:tcPr>
          <w:p w:rsidR="00DC2968" w:rsidRPr="00DC2968" w:rsidRDefault="00DC2968" w:rsidP="00DC2968">
            <w:pPr>
              <w:ind w:right="175"/>
              <w:jc w:val="both"/>
              <w:rPr>
                <w:sz w:val="20"/>
                <w:lang w:val="de-DE"/>
              </w:rPr>
            </w:pPr>
          </w:p>
          <w:p w:rsidR="00DC2968" w:rsidRPr="00DC2968" w:rsidRDefault="00DC2968" w:rsidP="00DC2968">
            <w:pPr>
              <w:ind w:right="175"/>
              <w:jc w:val="both"/>
              <w:rPr>
                <w:sz w:val="20"/>
                <w:lang w:val="de-DE"/>
              </w:rPr>
            </w:pPr>
            <w:r w:rsidRPr="00DC2968">
              <w:rPr>
                <w:sz w:val="20"/>
                <w:lang w:val="de-DE"/>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w:t>
            </w:r>
            <w:proofErr w:type="gramStart"/>
            <w:r w:rsidRPr="00DC2968">
              <w:rPr>
                <w:sz w:val="20"/>
                <w:lang w:val="de-DE"/>
              </w:rPr>
              <w:t>HR.B</w:t>
            </w:r>
            <w:proofErr w:type="gramEnd"/>
            <w:r w:rsidRPr="00DC2968">
              <w:rPr>
                <w:sz w:val="20"/>
                <w:lang w:val="de-DE"/>
              </w:rPr>
              <w:t>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DC2968" w:rsidRPr="00DC2968" w:rsidRDefault="00DC2968"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DC2968" w:rsidRPr="00DC2968" w:rsidRDefault="00DC2968" w:rsidP="00DC2968">
            <w:pPr>
              <w:ind w:right="175"/>
              <w:jc w:val="both"/>
              <w:rPr>
                <w:sz w:val="20"/>
                <w:lang w:val="de-DE"/>
              </w:rPr>
            </w:pPr>
            <w:r w:rsidRPr="00DC2968">
              <w:rPr>
                <w:sz w:val="20"/>
                <w:lang w:val="de-DE"/>
              </w:rPr>
              <w:t xml:space="preserve">Gemäß Artikel 13 der Verordnung zum Schutz natürlicher Personen bei der Verarbeitung </w:t>
            </w:r>
            <w:r w:rsidRPr="00DC2968">
              <w:rPr>
                <w:sz w:val="20"/>
                <w:lang w:val="de-DE"/>
              </w:rPr>
              <w:lastRenderedPageBreak/>
              <w:t>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DC2968" w:rsidRPr="00DC2968" w:rsidRDefault="00DC2968"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w:t>
            </w:r>
            <w:r w:rsidR="00CA7D91" w:rsidRPr="00CA7D91">
              <w:rPr>
                <w:lang w:val="de-DE"/>
              </w:rPr>
              <w:t xml:space="preserve"> </w:t>
            </w:r>
            <w:hyperlink r:id="rId10" w:history="1">
              <w:r w:rsidR="00CA7D91" w:rsidRPr="00647B9C">
                <w:rPr>
                  <w:rStyle w:val="Hyperlink"/>
                  <w:sz w:val="20"/>
                  <w:lang w:val="de-DE"/>
                </w:rPr>
                <w:t>https://ec.europa.eu/info/departments/human-resources-and-security_de</w:t>
              </w:r>
            </w:hyperlink>
            <w:r w:rsidR="00CA7D91">
              <w:rPr>
                <w:sz w:val="20"/>
                <w:lang w:val="de-DE"/>
              </w:rPr>
              <w:t xml:space="preserve"> </w:t>
            </w:r>
            <w:r w:rsidRPr="00DC2968">
              <w:rPr>
                <w:sz w:val="20"/>
                <w:lang w:val="de-DE"/>
              </w:rPr>
              <w:t>.</w:t>
            </w:r>
            <w:r w:rsidRPr="00DC2968">
              <w:rPr>
                <w:sz w:val="20"/>
                <w:lang w:val="de-DE"/>
              </w:rPr>
              <w:cr/>
            </w:r>
          </w:p>
          <w:p w:rsidR="00DC2968" w:rsidRPr="00DC2968" w:rsidRDefault="00DC2968"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DC2968" w:rsidRPr="00DC2968" w:rsidRDefault="00DC2968" w:rsidP="00DC2968">
            <w:pPr>
              <w:ind w:right="175"/>
              <w:jc w:val="both"/>
              <w:rPr>
                <w:sz w:val="20"/>
                <w:lang w:val="de-DE"/>
              </w:rPr>
            </w:pPr>
            <w:r w:rsidRPr="00DC2968">
              <w:rPr>
                <w:sz w:val="20"/>
                <w:lang w:val="de-DE"/>
              </w:rPr>
              <w:t>http://ec.europa.eu/dgs/jrc/index.cfm?id=6270.</w:t>
            </w:r>
          </w:p>
          <w:p w:rsidR="006643E5" w:rsidRPr="009222CC" w:rsidRDefault="006643E5" w:rsidP="001212A2">
            <w:pPr>
              <w:ind w:right="175"/>
              <w:jc w:val="both"/>
              <w:rPr>
                <w:sz w:val="20"/>
                <w:lang w:val="de-DE"/>
              </w:rPr>
            </w:pPr>
          </w:p>
        </w:tc>
      </w:tr>
      <w:tr w:rsidR="006643E5" w:rsidRPr="00C34249" w:rsidTr="008C30A2">
        <w:trPr>
          <w:trHeight w:val="472"/>
        </w:trPr>
        <w:tc>
          <w:tcPr>
            <w:tcW w:w="392" w:type="dxa"/>
            <w:vMerge/>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30" w:type="dxa"/>
            <w:gridSpan w:val="3"/>
            <w:tcBorders>
              <w:bottom w:val="single" w:sz="4" w:space="0" w:color="auto"/>
              <w:right w:val="single" w:sz="4" w:space="0" w:color="auto"/>
            </w:tcBorders>
          </w:tcPr>
          <w:p w:rsidR="006643E5" w:rsidRPr="009222CC" w:rsidRDefault="006643E5" w:rsidP="0069244E">
            <w:pPr>
              <w:tabs>
                <w:tab w:val="left" w:pos="540"/>
              </w:tabs>
              <w:autoSpaceDE w:val="0"/>
              <w:autoSpaceDN w:val="0"/>
              <w:adjustRightInd w:val="0"/>
              <w:jc w:val="both"/>
              <w:rPr>
                <w:sz w:val="20"/>
                <w:lang w:val="de-DE"/>
              </w:rPr>
            </w:pP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C44E7E">
      <w:headerReference w:type="default" r:id="rId11"/>
      <w:footerReference w:type="default" r:id="rId12"/>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EE8" w:rsidRDefault="009E5EE8">
      <w:r>
        <w:separator/>
      </w:r>
    </w:p>
  </w:endnote>
  <w:endnote w:type="continuationSeparator" w:id="0">
    <w:p w:rsidR="009E5EE8" w:rsidRDefault="009E5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w:t>
    </w:r>
    <w:proofErr w:type="gramStart"/>
    <w:r>
      <w:rPr>
        <w:sz w:val="20"/>
      </w:rPr>
      <w:t xml:space="preserve">  .</w:t>
    </w:r>
    <w:proofErr w:type="gramEnd"/>
    <w:r>
      <w:rPr>
        <w:sz w:val="20"/>
      </w:rPr>
      <w:t xml:space="preserve">    </w:t>
    </w:r>
    <w:r w:rsidRPr="00F67BF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EE8" w:rsidRDefault="009E5EE8">
      <w:r>
        <w:separator/>
      </w:r>
    </w:p>
  </w:footnote>
  <w:footnote w:type="continuationSeparator" w:id="0">
    <w:p w:rsidR="009E5EE8" w:rsidRDefault="009E5EE8">
      <w:r>
        <w:continuationSeparator/>
      </w:r>
    </w:p>
  </w:footnote>
  <w:footnote w:id="1">
    <w:p w:rsidR="006643E5" w:rsidRPr="008C30A2" w:rsidRDefault="006643E5"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 xml:space="preserve">Die Angaben zum Datum des Dienstantritts und zur Dauer der Abordnung </w:t>
      </w:r>
      <w:r w:rsidR="008C30A2">
        <w:rPr>
          <w:szCs w:val="24"/>
          <w:lang w:val="de-DE"/>
        </w:rPr>
        <w:t>sind unverbindlich (Art. 4</w:t>
      </w:r>
      <w:r w:rsidR="0039306A">
        <w:rPr>
          <w:szCs w:val="24"/>
          <w:lang w:val="de-DE"/>
        </w:rPr>
        <w:t xml:space="preserve">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7"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230DA"/>
    <w:rsid w:val="00046778"/>
    <w:rsid w:val="000548FD"/>
    <w:rsid w:val="000B160F"/>
    <w:rsid w:val="000B389B"/>
    <w:rsid w:val="000D13C7"/>
    <w:rsid w:val="000E6B9E"/>
    <w:rsid w:val="001212A2"/>
    <w:rsid w:val="001420A3"/>
    <w:rsid w:val="00146FE7"/>
    <w:rsid w:val="0016470B"/>
    <w:rsid w:val="0017416F"/>
    <w:rsid w:val="00184229"/>
    <w:rsid w:val="00184D0D"/>
    <w:rsid w:val="00184FC0"/>
    <w:rsid w:val="00185847"/>
    <w:rsid w:val="00185A6E"/>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7E0A"/>
    <w:rsid w:val="002D73AA"/>
    <w:rsid w:val="002F757B"/>
    <w:rsid w:val="00300579"/>
    <w:rsid w:val="003528B3"/>
    <w:rsid w:val="00353449"/>
    <w:rsid w:val="003639FD"/>
    <w:rsid w:val="003776E4"/>
    <w:rsid w:val="00377B88"/>
    <w:rsid w:val="00377F18"/>
    <w:rsid w:val="003831AE"/>
    <w:rsid w:val="003838EB"/>
    <w:rsid w:val="0039306A"/>
    <w:rsid w:val="003A2E0D"/>
    <w:rsid w:val="003C1856"/>
    <w:rsid w:val="003C6950"/>
    <w:rsid w:val="003D484D"/>
    <w:rsid w:val="003E7309"/>
    <w:rsid w:val="00410120"/>
    <w:rsid w:val="00427BE2"/>
    <w:rsid w:val="00446C9F"/>
    <w:rsid w:val="00451932"/>
    <w:rsid w:val="0045400E"/>
    <w:rsid w:val="00467742"/>
    <w:rsid w:val="00491FE7"/>
    <w:rsid w:val="004B33C2"/>
    <w:rsid w:val="004B7487"/>
    <w:rsid w:val="004C1CF4"/>
    <w:rsid w:val="004E09F0"/>
    <w:rsid w:val="004E6DBB"/>
    <w:rsid w:val="004F2F80"/>
    <w:rsid w:val="0050188B"/>
    <w:rsid w:val="00506CDC"/>
    <w:rsid w:val="00520353"/>
    <w:rsid w:val="00525AB3"/>
    <w:rsid w:val="0053797D"/>
    <w:rsid w:val="005459ED"/>
    <w:rsid w:val="0055386D"/>
    <w:rsid w:val="0056395F"/>
    <w:rsid w:val="005762AD"/>
    <w:rsid w:val="00577BDC"/>
    <w:rsid w:val="00587D6A"/>
    <w:rsid w:val="00594DAE"/>
    <w:rsid w:val="005974DA"/>
    <w:rsid w:val="00597574"/>
    <w:rsid w:val="0059779D"/>
    <w:rsid w:val="005B2A8B"/>
    <w:rsid w:val="005C2FEA"/>
    <w:rsid w:val="005D3035"/>
    <w:rsid w:val="005D4B86"/>
    <w:rsid w:val="005E24C5"/>
    <w:rsid w:val="005E4918"/>
    <w:rsid w:val="005E6E65"/>
    <w:rsid w:val="00611D55"/>
    <w:rsid w:val="00616EED"/>
    <w:rsid w:val="00625DED"/>
    <w:rsid w:val="00630D64"/>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F2068"/>
    <w:rsid w:val="00807D4A"/>
    <w:rsid w:val="00811432"/>
    <w:rsid w:val="00820556"/>
    <w:rsid w:val="00821156"/>
    <w:rsid w:val="00836C74"/>
    <w:rsid w:val="00844D7B"/>
    <w:rsid w:val="00856CF1"/>
    <w:rsid w:val="008650B6"/>
    <w:rsid w:val="00874F01"/>
    <w:rsid w:val="008A67BB"/>
    <w:rsid w:val="008B38B2"/>
    <w:rsid w:val="008B7181"/>
    <w:rsid w:val="008B7F0F"/>
    <w:rsid w:val="008C30A2"/>
    <w:rsid w:val="008D3E5C"/>
    <w:rsid w:val="008F299E"/>
    <w:rsid w:val="008F3666"/>
    <w:rsid w:val="008F4989"/>
    <w:rsid w:val="008F4E36"/>
    <w:rsid w:val="008F5099"/>
    <w:rsid w:val="009049EA"/>
    <w:rsid w:val="00913EC4"/>
    <w:rsid w:val="009222CC"/>
    <w:rsid w:val="00951939"/>
    <w:rsid w:val="00952714"/>
    <w:rsid w:val="009555C7"/>
    <w:rsid w:val="00980819"/>
    <w:rsid w:val="009B1D54"/>
    <w:rsid w:val="009E0D7B"/>
    <w:rsid w:val="009E1B29"/>
    <w:rsid w:val="009E5EE8"/>
    <w:rsid w:val="009F27F5"/>
    <w:rsid w:val="00A05297"/>
    <w:rsid w:val="00A12B5B"/>
    <w:rsid w:val="00A45D46"/>
    <w:rsid w:val="00A462B8"/>
    <w:rsid w:val="00A5232F"/>
    <w:rsid w:val="00A93F62"/>
    <w:rsid w:val="00AA6F9C"/>
    <w:rsid w:val="00AA7C72"/>
    <w:rsid w:val="00AB04D7"/>
    <w:rsid w:val="00AF4B90"/>
    <w:rsid w:val="00B07C01"/>
    <w:rsid w:val="00B21089"/>
    <w:rsid w:val="00B24C07"/>
    <w:rsid w:val="00B3363A"/>
    <w:rsid w:val="00B51D63"/>
    <w:rsid w:val="00B57F47"/>
    <w:rsid w:val="00B70174"/>
    <w:rsid w:val="00B82E62"/>
    <w:rsid w:val="00B90296"/>
    <w:rsid w:val="00B921A3"/>
    <w:rsid w:val="00BA1CA5"/>
    <w:rsid w:val="00BC732B"/>
    <w:rsid w:val="00BD6207"/>
    <w:rsid w:val="00C0285B"/>
    <w:rsid w:val="00C31CDD"/>
    <w:rsid w:val="00C34249"/>
    <w:rsid w:val="00C41FD8"/>
    <w:rsid w:val="00C44237"/>
    <w:rsid w:val="00C44E7E"/>
    <w:rsid w:val="00C47260"/>
    <w:rsid w:val="00C6355A"/>
    <w:rsid w:val="00C66CCE"/>
    <w:rsid w:val="00C67062"/>
    <w:rsid w:val="00C72A05"/>
    <w:rsid w:val="00C96848"/>
    <w:rsid w:val="00CA2B78"/>
    <w:rsid w:val="00CA477A"/>
    <w:rsid w:val="00CA54D9"/>
    <w:rsid w:val="00CA6E5F"/>
    <w:rsid w:val="00CA7D91"/>
    <w:rsid w:val="00CB525C"/>
    <w:rsid w:val="00CC0DBE"/>
    <w:rsid w:val="00CC152B"/>
    <w:rsid w:val="00CC78EA"/>
    <w:rsid w:val="00CD0164"/>
    <w:rsid w:val="00CD3F1B"/>
    <w:rsid w:val="00CD6C77"/>
    <w:rsid w:val="00CE59B4"/>
    <w:rsid w:val="00CF55F6"/>
    <w:rsid w:val="00CF75BB"/>
    <w:rsid w:val="00D17D0C"/>
    <w:rsid w:val="00D338E2"/>
    <w:rsid w:val="00D411C5"/>
    <w:rsid w:val="00D74235"/>
    <w:rsid w:val="00D743B0"/>
    <w:rsid w:val="00D80B04"/>
    <w:rsid w:val="00D847F9"/>
    <w:rsid w:val="00DA0196"/>
    <w:rsid w:val="00DB2B95"/>
    <w:rsid w:val="00DB7CF2"/>
    <w:rsid w:val="00DB7D07"/>
    <w:rsid w:val="00DC2968"/>
    <w:rsid w:val="00E14E5A"/>
    <w:rsid w:val="00E2059C"/>
    <w:rsid w:val="00E210AE"/>
    <w:rsid w:val="00E3299F"/>
    <w:rsid w:val="00E3586A"/>
    <w:rsid w:val="00E419BC"/>
    <w:rsid w:val="00E45131"/>
    <w:rsid w:val="00E50AC1"/>
    <w:rsid w:val="00E57961"/>
    <w:rsid w:val="00E6158B"/>
    <w:rsid w:val="00E63EEB"/>
    <w:rsid w:val="00E67CD7"/>
    <w:rsid w:val="00E71C56"/>
    <w:rsid w:val="00E85B5A"/>
    <w:rsid w:val="00EA222B"/>
    <w:rsid w:val="00EB347A"/>
    <w:rsid w:val="00EE2303"/>
    <w:rsid w:val="00EF57C4"/>
    <w:rsid w:val="00EF61D4"/>
    <w:rsid w:val="00EF6B69"/>
    <w:rsid w:val="00F25489"/>
    <w:rsid w:val="00F356A4"/>
    <w:rsid w:val="00F53205"/>
    <w:rsid w:val="00F603CF"/>
    <w:rsid w:val="00F621E1"/>
    <w:rsid w:val="00F63CF0"/>
    <w:rsid w:val="00F67BFE"/>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BBE9D22"/>
  <w15:chartTrackingRefBased/>
  <w15:docId w15:val="{FABCBCF2-6920-4E74-AB6E-09584085D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c.europa.eu/info/departments/human-resources-and-security_de" TargetMode="External"/><Relationship Id="rId4" Type="http://schemas.openxmlformats.org/officeDocument/2006/relationships/webSettings" Target="webSettings.xml"/><Relationship Id="rId9" Type="http://schemas.openxmlformats.org/officeDocument/2006/relationships/hyperlink" Target="http://ec.europa.eu/civil_service/job/sne/index_de.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1151</Words>
  <Characters>8438</Characters>
  <Application>Microsoft Office Word</Application>
  <DocSecurity>0</DocSecurity>
  <Lines>248</Lines>
  <Paragraphs>88</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9501</CharactersWithSpaces>
  <SharedDoc>false</SharedDoc>
  <HLinks>
    <vt:vector size="18" baseType="variant">
      <vt:variant>
        <vt:i4>917614</vt:i4>
      </vt:variant>
      <vt:variant>
        <vt:i4>9</vt:i4>
      </vt:variant>
      <vt:variant>
        <vt:i4>0</vt:i4>
      </vt:variant>
      <vt:variant>
        <vt:i4>5</vt:i4>
      </vt:variant>
      <vt:variant>
        <vt:lpwstr>https://ec.europa.eu/info/departments/human-resources-and-security_de</vt:lpwstr>
      </vt:variant>
      <vt:variant>
        <vt:lpwstr/>
      </vt:variant>
      <vt:variant>
        <vt:i4>6553719</vt:i4>
      </vt:variant>
      <vt:variant>
        <vt:i4>6</vt:i4>
      </vt:variant>
      <vt:variant>
        <vt:i4>0</vt:i4>
      </vt:variant>
      <vt:variant>
        <vt:i4>5</vt:i4>
      </vt:variant>
      <vt:variant>
        <vt:lpwstr>http://ec.europa.eu/civil_service/job/sne/index_de.htm</vt:lpwstr>
      </vt:variant>
      <vt:variant>
        <vt:lpwstr/>
      </vt:variant>
      <vt:variant>
        <vt:i4>3014692</vt:i4>
      </vt:variant>
      <vt:variant>
        <vt:i4>3</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Di Fabio</dc:creator>
  <cp:keywords/>
  <cp:lastModifiedBy>STAGELL Wivica (FPI)</cp:lastModifiedBy>
  <cp:revision>4</cp:revision>
  <cp:lastPrinted>2012-11-13T07:59:00Z</cp:lastPrinted>
  <dcterms:created xsi:type="dcterms:W3CDTF">2019-03-08T15:06:00Z</dcterms:created>
  <dcterms:modified xsi:type="dcterms:W3CDTF">2019-03-08T15:41:00Z</dcterms:modified>
</cp:coreProperties>
</file>