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A76" w:rsidRDefault="00554A76" w:rsidP="001F3C83">
      <w:pPr>
        <w:ind w:right="1317"/>
        <w:jc w:val="center"/>
        <w:rPr>
          <w:b/>
        </w:rPr>
      </w:pPr>
      <w:r>
        <w:rPr>
          <w:b/>
          <w:noProof/>
          <w:lang w:val="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554A76" w:rsidRPr="008F4E36" w:rsidRDefault="00554A76" w:rsidP="00213AC7">
      <w:pPr>
        <w:spacing w:before="240"/>
        <w:ind w:right="1315"/>
        <w:jc w:val="center"/>
        <w:rPr>
          <w:b/>
        </w:rPr>
      </w:pPr>
      <w:r w:rsidRPr="008F4E36">
        <w:rPr>
          <w:b/>
        </w:rPr>
        <w:t>AVIS DE VACANCE</w:t>
      </w:r>
      <w:r>
        <w:rPr>
          <w:b/>
        </w:rPr>
        <w:br/>
      </w:r>
    </w:p>
    <w:p w:rsidR="00554A76" w:rsidRDefault="00554A76" w:rsidP="00EB347A">
      <w:pPr>
        <w:tabs>
          <w:tab w:val="left" w:pos="10065"/>
        </w:tabs>
        <w:ind w:right="1317"/>
        <w:jc w:val="center"/>
        <w:rPr>
          <w:b/>
        </w:rPr>
      </w:pPr>
      <w:r w:rsidRPr="008F4E36">
        <w:rPr>
          <w:b/>
        </w:rPr>
        <w:t>EXPERT NATIONAL DETACHE</w:t>
      </w:r>
      <w:r>
        <w:rPr>
          <w:b/>
        </w:rPr>
        <w:t xml:space="preserve"> A LA COMMISSION EUROPEENNE</w:t>
      </w:r>
    </w:p>
    <w:p w:rsidR="00554A76" w:rsidRDefault="00554A76" w:rsidP="00D17D0C">
      <w:pPr>
        <w:ind w:right="175"/>
        <w:rPr>
          <w:b/>
        </w:rPr>
      </w:pPr>
    </w:p>
    <w:p w:rsidR="00554A76" w:rsidRDefault="00554A76" w:rsidP="001F3C83">
      <w:pPr>
        <w:ind w:right="1317"/>
        <w:jc w:val="center"/>
        <w:rPr>
          <w:b/>
        </w:rPr>
      </w:pPr>
    </w:p>
    <w:tbl>
      <w:tblPr>
        <w:tblW w:w="9180" w:type="dxa"/>
        <w:tblLayout w:type="fixed"/>
        <w:tblLook w:val="01E0" w:firstRow="1" w:lastRow="1" w:firstColumn="1" w:lastColumn="1" w:noHBand="0" w:noVBand="0"/>
      </w:tblPr>
      <w:tblGrid>
        <w:gridCol w:w="250"/>
        <w:gridCol w:w="2679"/>
        <w:gridCol w:w="14"/>
        <w:gridCol w:w="6223"/>
        <w:gridCol w:w="14"/>
      </w:tblGrid>
      <w:tr w:rsidR="00554A76" w:rsidRPr="0059779D" w:rsidTr="004F08B5">
        <w:trPr>
          <w:gridAfter w:val="1"/>
          <w:wAfter w:w="14" w:type="dxa"/>
        </w:trPr>
        <w:tc>
          <w:tcPr>
            <w:tcW w:w="2929" w:type="dxa"/>
            <w:gridSpan w:val="2"/>
            <w:tcBorders>
              <w:top w:val="single" w:sz="4" w:space="0" w:color="auto"/>
              <w:left w:val="single" w:sz="4" w:space="0" w:color="auto"/>
              <w:bottom w:val="single" w:sz="4" w:space="0" w:color="auto"/>
              <w:right w:val="single" w:sz="4" w:space="0" w:color="auto"/>
            </w:tcBorders>
            <w:shd w:val="clear" w:color="auto" w:fill="auto"/>
          </w:tcPr>
          <w:p w:rsidR="00554A76" w:rsidRPr="007F12AE" w:rsidRDefault="00554A76" w:rsidP="007F12AE">
            <w:pPr>
              <w:ind w:right="-1881"/>
              <w:rPr>
                <w:b/>
                <w:szCs w:val="24"/>
              </w:rPr>
            </w:pPr>
            <w:r w:rsidRPr="007F12AE">
              <w:rPr>
                <w:b/>
                <w:szCs w:val="24"/>
              </w:rPr>
              <w:t>Intitulé du poste:</w:t>
            </w:r>
            <w:r w:rsidRPr="007F12AE">
              <w:rPr>
                <w:b/>
                <w:szCs w:val="24"/>
              </w:rPr>
              <w:br/>
            </w:r>
            <w:r w:rsidRPr="007F12AE">
              <w:rPr>
                <w:szCs w:val="24"/>
              </w:rPr>
              <w:t>(DG-DIR-UNITE)</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7B21FB">
            <w:pPr>
              <w:spacing w:before="120"/>
              <w:ind w:right="1315"/>
              <w:jc w:val="both"/>
              <w:rPr>
                <w:b/>
              </w:rPr>
            </w:pPr>
            <w:r w:rsidRPr="00DC4A31">
              <w:rPr>
                <w:b/>
                <w:noProof/>
              </w:rPr>
              <w:t>COMM</w:t>
            </w:r>
            <w:r>
              <w:rPr>
                <w:b/>
              </w:rPr>
              <w:t>-</w:t>
            </w:r>
            <w:r w:rsidRPr="00DC4A31">
              <w:rPr>
                <w:b/>
                <w:noProof/>
              </w:rPr>
              <w:t>B</w:t>
            </w:r>
            <w:r>
              <w:rPr>
                <w:b/>
              </w:rPr>
              <w:t>-</w:t>
            </w:r>
            <w:r w:rsidR="007B21FB">
              <w:rPr>
                <w:b/>
              </w:rPr>
              <w:t>2</w:t>
            </w:r>
          </w:p>
        </w:tc>
      </w:tr>
      <w:tr w:rsidR="00554A76" w:rsidRPr="0059779D" w:rsidTr="004F08B5">
        <w:trPr>
          <w:gridAfter w:val="1"/>
          <w:wAfter w:w="14" w:type="dxa"/>
        </w:trPr>
        <w:tc>
          <w:tcPr>
            <w:tcW w:w="250" w:type="dxa"/>
            <w:tcBorders>
              <w:top w:val="single" w:sz="4" w:space="0" w:color="auto"/>
              <w:left w:val="single" w:sz="4" w:space="0" w:color="auto"/>
            </w:tcBorders>
            <w:shd w:val="clear" w:color="auto" w:fill="auto"/>
          </w:tcPr>
          <w:p w:rsidR="00554A76" w:rsidRPr="0059779D" w:rsidRDefault="00554A76" w:rsidP="0059779D">
            <w:pPr>
              <w:ind w:right="1317"/>
              <w:jc w:val="both"/>
              <w:rPr>
                <w:b/>
                <w:sz w:val="20"/>
              </w:rPr>
            </w:pPr>
          </w:p>
        </w:tc>
        <w:tc>
          <w:tcPr>
            <w:tcW w:w="2679" w:type="dxa"/>
            <w:tcBorders>
              <w:top w:val="single" w:sz="4" w:space="0" w:color="auto"/>
              <w:right w:val="single" w:sz="4" w:space="0" w:color="auto"/>
            </w:tcBorders>
            <w:shd w:val="clear" w:color="auto" w:fill="auto"/>
          </w:tcPr>
          <w:p w:rsidR="00554A76" w:rsidRDefault="00554A76" w:rsidP="0059779D">
            <w:pPr>
              <w:tabs>
                <w:tab w:val="left" w:pos="1697"/>
              </w:tabs>
              <w:ind w:right="-1739"/>
              <w:jc w:val="both"/>
              <w:rPr>
                <w:b/>
                <w:sz w:val="20"/>
              </w:rPr>
            </w:pPr>
            <w:r w:rsidRPr="0059779D">
              <w:rPr>
                <w:b/>
                <w:sz w:val="20"/>
              </w:rPr>
              <w:t>Direction générale :</w:t>
            </w:r>
          </w:p>
          <w:p w:rsidR="00554A76" w:rsidRDefault="00554A76" w:rsidP="0059779D">
            <w:pPr>
              <w:tabs>
                <w:tab w:val="left" w:pos="1697"/>
              </w:tabs>
              <w:ind w:right="-1739"/>
              <w:jc w:val="both"/>
              <w:rPr>
                <w:b/>
                <w:sz w:val="20"/>
              </w:rPr>
            </w:pPr>
            <w:r w:rsidRPr="0059779D">
              <w:rPr>
                <w:b/>
                <w:sz w:val="20"/>
              </w:rPr>
              <w:t>Direction</w:t>
            </w:r>
            <w:r>
              <w:rPr>
                <w:b/>
                <w:sz w:val="20"/>
              </w:rPr>
              <w:t xml:space="preserve"> :</w:t>
            </w:r>
          </w:p>
          <w:p w:rsidR="00554A76" w:rsidRPr="0059779D" w:rsidRDefault="00554A76" w:rsidP="0059779D">
            <w:pPr>
              <w:tabs>
                <w:tab w:val="left" w:pos="1697"/>
              </w:tabs>
              <w:ind w:right="-1739"/>
              <w:jc w:val="both"/>
              <w:rPr>
                <w:b/>
                <w:sz w:val="20"/>
              </w:rPr>
            </w:pPr>
            <w:r w:rsidRPr="0059779D">
              <w:rPr>
                <w:b/>
                <w:sz w:val="20"/>
              </w:rPr>
              <w:t>Unité :</w:t>
            </w:r>
          </w:p>
        </w:tc>
        <w:tc>
          <w:tcPr>
            <w:tcW w:w="6237" w:type="dxa"/>
            <w:gridSpan w:val="2"/>
            <w:vMerge w:val="restart"/>
            <w:tcBorders>
              <w:top w:val="single" w:sz="4" w:space="0" w:color="auto"/>
              <w:left w:val="single" w:sz="4" w:space="0" w:color="auto"/>
              <w:right w:val="single" w:sz="4" w:space="0" w:color="auto"/>
            </w:tcBorders>
            <w:shd w:val="clear" w:color="auto" w:fill="auto"/>
          </w:tcPr>
          <w:p w:rsidR="00554A76" w:rsidRDefault="00554A76" w:rsidP="00C6155B">
            <w:pPr>
              <w:ind w:right="1317"/>
              <w:jc w:val="both"/>
              <w:rPr>
                <w:b/>
                <w:sz w:val="20"/>
              </w:rPr>
            </w:pPr>
            <w:r>
              <w:rPr>
                <w:b/>
                <w:sz w:val="20"/>
              </w:rPr>
              <w:t xml:space="preserve">Communication </w:t>
            </w:r>
          </w:p>
          <w:p w:rsidR="00554A76" w:rsidRPr="00C6155B" w:rsidRDefault="00554A76" w:rsidP="00C6155B">
            <w:pPr>
              <w:ind w:right="1317"/>
              <w:jc w:val="both"/>
              <w:rPr>
                <w:b/>
                <w:sz w:val="20"/>
              </w:rPr>
            </w:pPr>
            <w:r w:rsidRPr="00DC4A31">
              <w:rPr>
                <w:b/>
                <w:noProof/>
                <w:sz w:val="20"/>
              </w:rPr>
              <w:t>B</w:t>
            </w:r>
            <w:r w:rsidRPr="00C6155B">
              <w:rPr>
                <w:b/>
                <w:sz w:val="20"/>
              </w:rPr>
              <w:t xml:space="preserve"> - </w:t>
            </w:r>
            <w:r w:rsidR="000663D1" w:rsidRPr="000663D1">
              <w:rPr>
                <w:b/>
                <w:sz w:val="20"/>
              </w:rPr>
              <w:t>Stratégie et communication corporate</w:t>
            </w:r>
            <w:bookmarkStart w:id="0" w:name="_GoBack"/>
            <w:bookmarkEnd w:id="0"/>
          </w:p>
          <w:p w:rsidR="004F08B5" w:rsidRPr="004F08B5" w:rsidRDefault="00554A76" w:rsidP="004F08B5">
            <w:pPr>
              <w:rPr>
                <w:b/>
                <w:noProof/>
                <w:sz w:val="20"/>
              </w:rPr>
            </w:pPr>
            <w:r w:rsidRPr="00206B85">
              <w:rPr>
                <w:b/>
                <w:noProof/>
                <w:sz w:val="20"/>
              </w:rPr>
              <w:t>B.</w:t>
            </w:r>
            <w:r w:rsidR="007B21FB">
              <w:rPr>
                <w:b/>
                <w:noProof/>
                <w:sz w:val="20"/>
              </w:rPr>
              <w:t>2</w:t>
            </w:r>
            <w:r w:rsidR="004F08B5">
              <w:rPr>
                <w:b/>
                <w:noProof/>
                <w:sz w:val="20"/>
              </w:rPr>
              <w:t xml:space="preserve"> - </w:t>
            </w:r>
            <w:r w:rsidR="00FE3522" w:rsidRPr="00FE3522">
              <w:rPr>
                <w:b/>
                <w:noProof/>
                <w:sz w:val="20"/>
              </w:rPr>
              <w:t>Relations interinstitutionnelles, contrats institutionnels et CCED</w:t>
            </w:r>
            <w:r w:rsidR="004F08B5" w:rsidRPr="004F08B5">
              <w:rPr>
                <w:b/>
                <w:noProof/>
                <w:sz w:val="20"/>
              </w:rPr>
              <w:t xml:space="preserve"> </w:t>
            </w:r>
          </w:p>
          <w:p w:rsidR="00554A76" w:rsidRPr="00554A76" w:rsidRDefault="00554A76" w:rsidP="00C6155B">
            <w:pPr>
              <w:ind w:right="1317"/>
              <w:jc w:val="both"/>
              <w:rPr>
                <w:b/>
                <w:noProof/>
                <w:sz w:val="20"/>
                <w:lang w:val="fr-FR"/>
              </w:rPr>
            </w:pPr>
            <w:r w:rsidRPr="00554A76">
              <w:rPr>
                <w:b/>
                <w:noProof/>
                <w:sz w:val="20"/>
                <w:lang w:val="fr-FR"/>
              </w:rPr>
              <w:t xml:space="preserve">M. </w:t>
            </w:r>
            <w:r w:rsidR="004F08B5">
              <w:rPr>
                <w:b/>
                <w:noProof/>
                <w:sz w:val="20"/>
                <w:lang w:val="fr-FR"/>
              </w:rPr>
              <w:t>Jens MESTER</w:t>
            </w:r>
          </w:p>
          <w:p w:rsidR="00554A76" w:rsidRPr="00206B85" w:rsidRDefault="000663D1" w:rsidP="002D71AF">
            <w:pPr>
              <w:ind w:right="1317"/>
              <w:jc w:val="both"/>
              <w:rPr>
                <w:b/>
                <w:noProof/>
                <w:sz w:val="20"/>
                <w:lang w:val="fr-FR"/>
              </w:rPr>
            </w:pPr>
            <w:hyperlink r:id="rId10" w:history="1">
              <w:r w:rsidR="004F08B5" w:rsidRPr="00CC6147">
                <w:rPr>
                  <w:rStyle w:val="Hyperlink"/>
                  <w:b/>
                  <w:noProof/>
                  <w:sz w:val="20"/>
                  <w:lang w:val="fr-FR"/>
                </w:rPr>
                <w:t>Jens.Mester@ec.europa.eu</w:t>
              </w:r>
            </w:hyperlink>
            <w:r w:rsidR="004F08B5">
              <w:rPr>
                <w:b/>
                <w:noProof/>
                <w:sz w:val="20"/>
                <w:lang w:val="fr-FR"/>
              </w:rPr>
              <w:t xml:space="preserve"> </w:t>
            </w:r>
            <w:r w:rsidR="00554A76" w:rsidRPr="00206B85">
              <w:rPr>
                <w:b/>
                <w:noProof/>
                <w:sz w:val="20"/>
                <w:lang w:val="fr-FR"/>
              </w:rPr>
              <w:t xml:space="preserve"> </w:t>
            </w:r>
          </w:p>
          <w:p w:rsidR="00554A76" w:rsidRPr="0059779D" w:rsidRDefault="00554A76" w:rsidP="007B21FB">
            <w:pPr>
              <w:ind w:right="1317"/>
              <w:jc w:val="both"/>
              <w:rPr>
                <w:b/>
              </w:rPr>
            </w:pPr>
            <w:r w:rsidRPr="00C6155B">
              <w:rPr>
                <w:b/>
                <w:noProof/>
                <w:sz w:val="20"/>
              </w:rPr>
              <w:t xml:space="preserve">+32 2 </w:t>
            </w:r>
            <w:r>
              <w:rPr>
                <w:b/>
                <w:noProof/>
                <w:sz w:val="20"/>
              </w:rPr>
              <w:t xml:space="preserve">29 </w:t>
            </w:r>
            <w:r w:rsidR="007B21FB">
              <w:rPr>
                <w:b/>
                <w:noProof/>
                <w:sz w:val="20"/>
              </w:rPr>
              <w:t>63973</w:t>
            </w: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sz w:val="20"/>
              </w:rPr>
            </w:pPr>
          </w:p>
        </w:tc>
        <w:tc>
          <w:tcPr>
            <w:tcW w:w="2679" w:type="dxa"/>
            <w:tcBorders>
              <w:right w:val="single" w:sz="4" w:space="0" w:color="auto"/>
            </w:tcBorders>
            <w:shd w:val="clear" w:color="auto" w:fill="auto"/>
          </w:tcPr>
          <w:p w:rsidR="00554A76" w:rsidRDefault="00554A76" w:rsidP="0059779D">
            <w:pPr>
              <w:tabs>
                <w:tab w:val="left" w:pos="1697"/>
              </w:tabs>
              <w:ind w:right="-1739"/>
              <w:jc w:val="both"/>
              <w:rPr>
                <w:b/>
                <w:sz w:val="20"/>
              </w:rPr>
            </w:pPr>
            <w:r w:rsidRPr="0059779D">
              <w:rPr>
                <w:b/>
                <w:sz w:val="20"/>
              </w:rPr>
              <w:t>Chef d’unité :</w:t>
            </w:r>
          </w:p>
          <w:p w:rsidR="00554A76" w:rsidRPr="0059779D" w:rsidRDefault="00554A76" w:rsidP="0059779D">
            <w:pPr>
              <w:tabs>
                <w:tab w:val="left" w:pos="1697"/>
              </w:tabs>
              <w:ind w:right="-1739"/>
              <w:jc w:val="both"/>
              <w:rPr>
                <w:b/>
                <w:sz w:val="20"/>
              </w:rPr>
            </w:pPr>
            <w:r>
              <w:rPr>
                <w:b/>
                <w:sz w:val="20"/>
              </w:rPr>
              <w:t>Adresse e-mail :</w:t>
            </w:r>
          </w:p>
        </w:tc>
        <w:tc>
          <w:tcPr>
            <w:tcW w:w="6237" w:type="dxa"/>
            <w:gridSpan w:val="2"/>
            <w:vMerge/>
            <w:tcBorders>
              <w:left w:val="single" w:sz="4" w:space="0" w:color="auto"/>
              <w:right w:val="single" w:sz="4" w:space="0" w:color="auto"/>
            </w:tcBorders>
            <w:shd w:val="clear" w:color="auto" w:fill="auto"/>
          </w:tcPr>
          <w:p w:rsidR="00554A76" w:rsidRPr="0059779D" w:rsidRDefault="00554A76" w:rsidP="0059779D">
            <w:pPr>
              <w:ind w:right="1317"/>
              <w:jc w:val="both"/>
              <w:rPr>
                <w:b/>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sz w:val="20"/>
              </w:rPr>
            </w:pPr>
          </w:p>
        </w:tc>
        <w:tc>
          <w:tcPr>
            <w:tcW w:w="2679" w:type="dxa"/>
            <w:tcBorders>
              <w:right w:val="single" w:sz="4" w:space="0" w:color="auto"/>
            </w:tcBorders>
            <w:shd w:val="clear" w:color="auto" w:fill="auto"/>
          </w:tcPr>
          <w:p w:rsidR="00554A76" w:rsidRPr="0059779D" w:rsidRDefault="00554A76" w:rsidP="0059779D">
            <w:pPr>
              <w:tabs>
                <w:tab w:val="left" w:pos="1697"/>
              </w:tabs>
              <w:ind w:right="-1739"/>
              <w:jc w:val="both"/>
              <w:rPr>
                <w:b/>
                <w:sz w:val="20"/>
              </w:rPr>
            </w:pPr>
            <w:r w:rsidRPr="0059779D">
              <w:rPr>
                <w:b/>
                <w:sz w:val="20"/>
              </w:rPr>
              <w:t>Téléphone :</w:t>
            </w:r>
          </w:p>
        </w:tc>
        <w:tc>
          <w:tcPr>
            <w:tcW w:w="6237" w:type="dxa"/>
            <w:gridSpan w:val="2"/>
            <w:vMerge/>
            <w:tcBorders>
              <w:left w:val="single" w:sz="4" w:space="0" w:color="auto"/>
              <w:right w:val="single" w:sz="4" w:space="0" w:color="auto"/>
            </w:tcBorders>
            <w:shd w:val="clear" w:color="auto" w:fill="auto"/>
          </w:tcPr>
          <w:p w:rsidR="00554A76" w:rsidRPr="0059779D" w:rsidRDefault="00554A76" w:rsidP="0059779D">
            <w:pPr>
              <w:ind w:right="1317"/>
              <w:jc w:val="both"/>
              <w:rPr>
                <w:b/>
                <w:sz w:val="20"/>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sz w:val="20"/>
              </w:rPr>
            </w:pPr>
          </w:p>
        </w:tc>
        <w:tc>
          <w:tcPr>
            <w:tcW w:w="2693" w:type="dxa"/>
            <w:gridSpan w:val="2"/>
            <w:tcBorders>
              <w:right w:val="single" w:sz="4" w:space="0" w:color="auto"/>
            </w:tcBorders>
            <w:shd w:val="clear" w:color="auto" w:fill="auto"/>
          </w:tcPr>
          <w:p w:rsidR="00554A76" w:rsidRPr="0059779D" w:rsidRDefault="00554A76" w:rsidP="0059779D">
            <w:pPr>
              <w:tabs>
                <w:tab w:val="left" w:pos="1697"/>
              </w:tabs>
              <w:ind w:right="-1739"/>
              <w:jc w:val="both"/>
              <w:rPr>
                <w:b/>
                <w:sz w:val="20"/>
              </w:rPr>
            </w:pPr>
          </w:p>
        </w:tc>
        <w:tc>
          <w:tcPr>
            <w:tcW w:w="6223" w:type="dxa"/>
            <w:tcBorders>
              <w:right w:val="single" w:sz="4" w:space="0" w:color="auto"/>
            </w:tcBorders>
            <w:shd w:val="clear" w:color="auto" w:fill="auto"/>
          </w:tcPr>
          <w:p w:rsidR="00554A76" w:rsidRPr="0059779D" w:rsidRDefault="00554A76" w:rsidP="0059779D">
            <w:pPr>
              <w:tabs>
                <w:tab w:val="left" w:pos="1697"/>
              </w:tabs>
              <w:ind w:right="-1739"/>
              <w:jc w:val="both"/>
              <w:rPr>
                <w:b/>
                <w:sz w:val="20"/>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sz w:val="20"/>
              </w:rPr>
            </w:pPr>
          </w:p>
        </w:tc>
        <w:tc>
          <w:tcPr>
            <w:tcW w:w="2679" w:type="dxa"/>
            <w:tcBorders>
              <w:left w:val="nil"/>
              <w:right w:val="single" w:sz="4" w:space="0" w:color="auto"/>
            </w:tcBorders>
            <w:shd w:val="clear" w:color="auto" w:fill="auto"/>
          </w:tcPr>
          <w:p w:rsidR="00554A76" w:rsidRPr="0059779D" w:rsidRDefault="00554A76" w:rsidP="0059779D">
            <w:pPr>
              <w:tabs>
                <w:tab w:val="left" w:pos="1697"/>
              </w:tabs>
              <w:ind w:right="-1739"/>
              <w:jc w:val="both"/>
              <w:rPr>
                <w:b/>
                <w:sz w:val="20"/>
              </w:rPr>
            </w:pPr>
            <w:r w:rsidRPr="0059779D">
              <w:rPr>
                <w:b/>
                <w:sz w:val="20"/>
              </w:rPr>
              <w:t>Nombre de postes disponibles:</w:t>
            </w:r>
          </w:p>
        </w:tc>
        <w:tc>
          <w:tcPr>
            <w:tcW w:w="6237" w:type="dxa"/>
            <w:gridSpan w:val="2"/>
            <w:tcBorders>
              <w:left w:val="single" w:sz="4" w:space="0" w:color="auto"/>
              <w:right w:val="single" w:sz="4" w:space="0" w:color="auto"/>
            </w:tcBorders>
            <w:shd w:val="clear" w:color="auto" w:fill="auto"/>
          </w:tcPr>
          <w:p w:rsidR="00554A76" w:rsidRPr="0059779D" w:rsidRDefault="007B21FB" w:rsidP="007B21FB">
            <w:pPr>
              <w:ind w:right="1317"/>
              <w:jc w:val="both"/>
              <w:rPr>
                <w:b/>
                <w:sz w:val="20"/>
              </w:rPr>
            </w:pPr>
            <w:r>
              <w:rPr>
                <w:b/>
                <w:sz w:val="20"/>
              </w:rPr>
              <w:t>1</w:t>
            </w:r>
          </w:p>
        </w:tc>
      </w:tr>
      <w:tr w:rsidR="00554A76" w:rsidRPr="00C21F2B"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sz w:val="20"/>
              </w:rPr>
            </w:pPr>
          </w:p>
        </w:tc>
        <w:tc>
          <w:tcPr>
            <w:tcW w:w="2679" w:type="dxa"/>
            <w:tcBorders>
              <w:right w:val="single" w:sz="4" w:space="0" w:color="auto"/>
            </w:tcBorders>
            <w:shd w:val="clear" w:color="auto" w:fill="auto"/>
          </w:tcPr>
          <w:p w:rsidR="00554A76" w:rsidRDefault="00554A76" w:rsidP="0059779D">
            <w:pPr>
              <w:tabs>
                <w:tab w:val="left" w:pos="1697"/>
              </w:tabs>
              <w:ind w:right="-1739"/>
              <w:jc w:val="both"/>
              <w:rPr>
                <w:b/>
                <w:sz w:val="20"/>
              </w:rPr>
            </w:pPr>
            <w:r>
              <w:rPr>
                <w:b/>
                <w:sz w:val="20"/>
              </w:rPr>
              <w:t>Catégorie</w:t>
            </w:r>
          </w:p>
          <w:p w:rsidR="00554A76" w:rsidRDefault="00554A76" w:rsidP="0059779D">
            <w:pPr>
              <w:tabs>
                <w:tab w:val="left" w:pos="1697"/>
              </w:tabs>
              <w:ind w:right="-1739"/>
              <w:jc w:val="both"/>
              <w:rPr>
                <w:b/>
                <w:sz w:val="20"/>
              </w:rPr>
            </w:pPr>
            <w:r w:rsidRPr="0059779D">
              <w:rPr>
                <w:b/>
                <w:sz w:val="20"/>
              </w:rPr>
              <w:t>Prise de fonction souhaitée :</w:t>
            </w:r>
          </w:p>
          <w:p w:rsidR="00554A76" w:rsidRPr="0059779D" w:rsidRDefault="00554A76" w:rsidP="0059779D">
            <w:pPr>
              <w:tabs>
                <w:tab w:val="left" w:pos="1697"/>
              </w:tabs>
              <w:ind w:right="-1739"/>
              <w:jc w:val="both"/>
              <w:rPr>
                <w:b/>
                <w:sz w:val="20"/>
              </w:rPr>
            </w:pPr>
            <w:r>
              <w:rPr>
                <w:b/>
                <w:sz w:val="20"/>
              </w:rPr>
              <w:t>Durée initiale souhaitée</w:t>
            </w:r>
          </w:p>
        </w:tc>
        <w:tc>
          <w:tcPr>
            <w:tcW w:w="6237" w:type="dxa"/>
            <w:gridSpan w:val="2"/>
            <w:tcBorders>
              <w:left w:val="single" w:sz="4" w:space="0" w:color="auto"/>
              <w:right w:val="single" w:sz="4" w:space="0" w:color="auto"/>
            </w:tcBorders>
            <w:shd w:val="clear" w:color="auto" w:fill="auto"/>
          </w:tcPr>
          <w:p w:rsidR="00554A76" w:rsidRPr="00DD20D9" w:rsidRDefault="00554A76" w:rsidP="00143AB5">
            <w:pPr>
              <w:ind w:right="1317"/>
              <w:jc w:val="both"/>
              <w:rPr>
                <w:b/>
                <w:sz w:val="20"/>
              </w:rPr>
            </w:pPr>
            <w:r>
              <w:rPr>
                <w:b/>
                <w:sz w:val="20"/>
              </w:rPr>
              <w:t>Administrateur (AD)</w:t>
            </w:r>
          </w:p>
          <w:p w:rsidR="00554A76" w:rsidRPr="00C21F2B" w:rsidRDefault="00554A76" w:rsidP="00143AB5">
            <w:pPr>
              <w:ind w:right="1317"/>
              <w:jc w:val="both"/>
              <w:rPr>
                <w:b/>
                <w:sz w:val="20"/>
                <w:lang w:val="fr-FR"/>
              </w:rPr>
            </w:pPr>
            <w:r>
              <w:rPr>
                <w:b/>
                <w:sz w:val="20"/>
              </w:rPr>
              <w:t>2ème/3ème trimestre 2019</w:t>
            </w:r>
            <w:r w:rsidRPr="00C21F2B">
              <w:rPr>
                <w:b/>
                <w:sz w:val="20"/>
                <w:lang w:val="fr-FR"/>
              </w:rPr>
              <w:t xml:space="preserve"> </w:t>
            </w:r>
            <w:r w:rsidRPr="00DD20D9">
              <w:rPr>
                <w:rStyle w:val="FootnoteReference"/>
                <w:b/>
                <w:sz w:val="20"/>
              </w:rPr>
              <w:footnoteReference w:id="1"/>
            </w:r>
          </w:p>
          <w:p w:rsidR="00554A76" w:rsidRPr="00C21F2B" w:rsidRDefault="00554A76" w:rsidP="001653AB">
            <w:pPr>
              <w:ind w:right="1317"/>
              <w:jc w:val="both"/>
              <w:rPr>
                <w:b/>
                <w:sz w:val="20"/>
                <w:lang w:val="fr-FR"/>
              </w:rPr>
            </w:pPr>
            <w:r w:rsidRPr="00554A76">
              <w:rPr>
                <w:b/>
                <w:sz w:val="20"/>
              </w:rPr>
              <w:t xml:space="preserve">1 </w:t>
            </w:r>
            <w:r w:rsidRPr="00554A76">
              <w:rPr>
                <w:rStyle w:val="FootnoteReference"/>
                <w:b/>
                <w:sz w:val="20"/>
                <w:vertAlign w:val="baseline"/>
                <w:lang w:val="fr-FR"/>
              </w:rPr>
              <w:t>a</w:t>
            </w:r>
            <w:r w:rsidRPr="00C21F2B">
              <w:rPr>
                <w:rStyle w:val="FootnoteReference"/>
                <w:b/>
                <w:sz w:val="20"/>
                <w:vertAlign w:val="baseline"/>
                <w:lang w:val="fr-FR"/>
              </w:rPr>
              <w:t>n</w:t>
            </w:r>
            <w:r w:rsidRPr="00C21F2B">
              <w:rPr>
                <w:rStyle w:val="FootnoteReference"/>
                <w:b/>
                <w:sz w:val="20"/>
                <w:lang w:val="fr-FR"/>
              </w:rPr>
              <w:t>1</w:t>
            </w:r>
          </w:p>
        </w:tc>
      </w:tr>
      <w:tr w:rsidR="00554A76" w:rsidRPr="0059779D" w:rsidTr="004F08B5">
        <w:trPr>
          <w:gridAfter w:val="1"/>
          <w:wAfter w:w="14" w:type="dxa"/>
        </w:trPr>
        <w:tc>
          <w:tcPr>
            <w:tcW w:w="250" w:type="dxa"/>
            <w:tcBorders>
              <w:left w:val="single" w:sz="4" w:space="0" w:color="auto"/>
              <w:bottom w:val="single" w:sz="4" w:space="0" w:color="auto"/>
            </w:tcBorders>
            <w:shd w:val="clear" w:color="auto" w:fill="auto"/>
          </w:tcPr>
          <w:p w:rsidR="00554A76" w:rsidRPr="00C21F2B" w:rsidRDefault="00554A76" w:rsidP="0059779D">
            <w:pPr>
              <w:ind w:right="1317"/>
              <w:jc w:val="both"/>
              <w:rPr>
                <w:b/>
                <w:sz w:val="20"/>
                <w:lang w:val="fr-FR"/>
              </w:rPr>
            </w:pPr>
          </w:p>
        </w:tc>
        <w:tc>
          <w:tcPr>
            <w:tcW w:w="2679" w:type="dxa"/>
            <w:tcBorders>
              <w:bottom w:val="single" w:sz="4" w:space="0" w:color="auto"/>
              <w:right w:val="single" w:sz="4" w:space="0" w:color="auto"/>
            </w:tcBorders>
            <w:shd w:val="clear" w:color="auto" w:fill="auto"/>
          </w:tcPr>
          <w:p w:rsidR="00554A76" w:rsidRPr="0059779D" w:rsidRDefault="00554A76" w:rsidP="0059779D">
            <w:pPr>
              <w:tabs>
                <w:tab w:val="left" w:pos="1697"/>
              </w:tabs>
              <w:ind w:right="-1739"/>
              <w:jc w:val="both"/>
              <w:rPr>
                <w:b/>
                <w:sz w:val="20"/>
              </w:rPr>
            </w:pPr>
            <w:r w:rsidRPr="0059779D">
              <w:rPr>
                <w:b/>
                <w:sz w:val="20"/>
              </w:rPr>
              <w:t>Lieu d’affectation :</w:t>
            </w:r>
          </w:p>
        </w:tc>
        <w:tc>
          <w:tcPr>
            <w:tcW w:w="6237" w:type="dxa"/>
            <w:gridSpan w:val="2"/>
            <w:tcBorders>
              <w:left w:val="single" w:sz="4" w:space="0" w:color="auto"/>
              <w:bottom w:val="single" w:sz="4" w:space="0" w:color="auto"/>
              <w:right w:val="single" w:sz="4" w:space="0" w:color="auto"/>
            </w:tcBorders>
            <w:shd w:val="clear" w:color="auto" w:fill="auto"/>
          </w:tcPr>
          <w:p w:rsidR="00554A76" w:rsidRDefault="00554A76" w:rsidP="00277C58">
            <w:pPr>
              <w:ind w:right="1317"/>
              <w:jc w:val="both"/>
              <w:rPr>
                <w:b/>
                <w:sz w:val="20"/>
              </w:rPr>
            </w:pPr>
            <w:r>
              <w:rPr>
                <w:rFonts w:ascii="Verdana" w:eastAsia="MS Minngs" w:hAnsi="Verdana" w:cs="Verdana"/>
                <w:bCs/>
                <w:sz w:val="18"/>
                <w:szCs w:val="18"/>
                <w:lang w:val="fr-FR"/>
              </w:rPr>
              <w:sym w:font="Wingdings" w:char="F0FD"/>
            </w:r>
            <w:r>
              <w:rPr>
                <w:rFonts w:ascii="Verdana" w:eastAsia="MS Minngs" w:hAnsi="Verdana" w:cs="Verdana"/>
                <w:bCs/>
                <w:sz w:val="18"/>
                <w:szCs w:val="18"/>
                <w:lang w:val="fr-FR"/>
              </w:rPr>
              <w:t xml:space="preserve"> </w:t>
            </w:r>
            <w:r w:rsidRPr="00DD20D9">
              <w:rPr>
                <w:b/>
                <w:sz w:val="20"/>
              </w:rPr>
              <w:t>Bruxelles</w:t>
            </w:r>
            <w:r>
              <w:rPr>
                <w:b/>
                <w:sz w:val="20"/>
              </w:rPr>
              <w:tab/>
            </w:r>
            <w:r w:rsidRPr="00DD20D9">
              <w:rPr>
                <w:rFonts w:ascii="Verdana" w:eastAsia="MS Minngs" w:hAnsi="Verdana" w:cs="Verdana"/>
                <w:bCs/>
                <w:sz w:val="18"/>
                <w:szCs w:val="18"/>
                <w:lang w:val="fr-FR"/>
              </w:rPr>
              <w:sym w:font="Wingdings 2" w:char="F0A3"/>
            </w:r>
            <w:r>
              <w:rPr>
                <w:rFonts w:ascii="Verdana" w:eastAsia="MS Minngs" w:hAnsi="Verdana" w:cs="Verdana"/>
                <w:bCs/>
                <w:sz w:val="18"/>
                <w:szCs w:val="18"/>
                <w:lang w:val="fr-FR"/>
              </w:rPr>
              <w:t xml:space="preserve"> </w:t>
            </w:r>
            <w:r>
              <w:rPr>
                <w:b/>
                <w:sz w:val="20"/>
              </w:rPr>
              <w:t>Luxembourg</w:t>
            </w:r>
            <w:r>
              <w:rPr>
                <w:b/>
                <w:sz w:val="20"/>
              </w:rPr>
              <w:tab/>
              <w:t xml:space="preserve">       </w:t>
            </w:r>
            <w:r w:rsidRPr="00DD20D9">
              <w:rPr>
                <w:rFonts w:ascii="Verdana" w:eastAsia="MS Minngs" w:hAnsi="Verdana" w:cs="Verdana"/>
                <w:bCs/>
                <w:sz w:val="18"/>
                <w:szCs w:val="18"/>
                <w:lang w:val="fr-FR"/>
              </w:rPr>
              <w:sym w:font="Wingdings 2" w:char="F0A3"/>
            </w:r>
            <w:r>
              <w:rPr>
                <w:rFonts w:ascii="Verdana" w:eastAsia="MS Minngs" w:hAnsi="Verdana" w:cs="Verdana"/>
                <w:bCs/>
                <w:sz w:val="18"/>
                <w:szCs w:val="18"/>
                <w:lang w:val="fr-FR"/>
              </w:rPr>
              <w:t xml:space="preserve"> </w:t>
            </w:r>
            <w:r w:rsidRPr="00DD20D9">
              <w:rPr>
                <w:b/>
                <w:sz w:val="20"/>
              </w:rPr>
              <w:t>Autre</w:t>
            </w:r>
            <w:r>
              <w:rPr>
                <w:b/>
                <w:sz w:val="20"/>
              </w:rPr>
              <w:t xml:space="preserve"> : </w:t>
            </w:r>
            <w:r w:rsidRPr="00DD20D9">
              <w:rPr>
                <w:b/>
                <w:sz w:val="20"/>
              </w:rPr>
              <w:t>…….</w:t>
            </w:r>
          </w:p>
          <w:p w:rsidR="00554A76" w:rsidRPr="00DD20D9" w:rsidRDefault="00554A76" w:rsidP="00277C58">
            <w:pPr>
              <w:ind w:right="1317"/>
              <w:jc w:val="both"/>
              <w:rPr>
                <w:b/>
                <w:sz w:val="20"/>
              </w:rPr>
            </w:pPr>
          </w:p>
        </w:tc>
      </w:tr>
      <w:tr w:rsidR="00554A76" w:rsidRPr="0059779D" w:rsidTr="004F08B5">
        <w:trPr>
          <w:gridAfter w:val="1"/>
          <w:wAfter w:w="14" w:type="dxa"/>
          <w:trHeight w:val="439"/>
        </w:trPr>
        <w:tc>
          <w:tcPr>
            <w:tcW w:w="250" w:type="dxa"/>
            <w:vMerge w:val="restart"/>
            <w:tcBorders>
              <w:top w:val="single" w:sz="4" w:space="0" w:color="auto"/>
              <w:left w:val="single" w:sz="4" w:space="0" w:color="auto"/>
            </w:tcBorders>
            <w:shd w:val="clear" w:color="auto" w:fill="auto"/>
          </w:tcPr>
          <w:p w:rsidR="00554A76" w:rsidRPr="0059779D" w:rsidRDefault="00554A76" w:rsidP="0059779D">
            <w:pPr>
              <w:ind w:right="1317"/>
              <w:jc w:val="both"/>
              <w:rPr>
                <w:b/>
                <w:sz w:val="20"/>
              </w:rPr>
            </w:pPr>
          </w:p>
        </w:tc>
        <w:tc>
          <w:tcPr>
            <w:tcW w:w="2679" w:type="dxa"/>
            <w:vMerge w:val="restart"/>
            <w:tcBorders>
              <w:top w:val="single" w:sz="4" w:space="0" w:color="auto"/>
              <w:right w:val="single" w:sz="4" w:space="0" w:color="auto"/>
            </w:tcBorders>
            <w:shd w:val="clear" w:color="auto" w:fill="auto"/>
          </w:tcPr>
          <w:p w:rsidR="00554A76" w:rsidRPr="0059779D" w:rsidRDefault="00554A76"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4A76" w:rsidRPr="000860A3" w:rsidRDefault="00554A76" w:rsidP="00C21F2B">
            <w:pPr>
              <w:rPr>
                <w:szCs w:val="24"/>
              </w:rPr>
            </w:pPr>
            <w:r>
              <w:rPr>
                <w:rFonts w:ascii="Verdana" w:eastAsia="MS Minngs" w:hAnsi="Verdana" w:cs="Verdana"/>
                <w:bCs/>
                <w:sz w:val="18"/>
                <w:szCs w:val="18"/>
                <w:lang w:val="fr-FR"/>
              </w:rPr>
              <w:sym w:font="Wingdings" w:char="F0FD"/>
            </w:r>
            <w:r w:rsidRPr="00DD20D9">
              <w:rPr>
                <w:rStyle w:val="Strong"/>
                <w:sz w:val="20"/>
              </w:rPr>
              <w:t> </w:t>
            </w:r>
            <w:r>
              <w:rPr>
                <w:rStyle w:val="Strong"/>
                <w:sz w:val="20"/>
              </w:rPr>
              <w:t xml:space="preserve">   </w:t>
            </w:r>
            <w:r>
              <w:rPr>
                <w:b/>
                <w:sz w:val="20"/>
              </w:rPr>
              <w:t xml:space="preserve">Avec indemnités  </w:t>
            </w:r>
            <w:r w:rsidRPr="00DD20D9">
              <w:rPr>
                <w:b/>
                <w:sz w:val="20"/>
              </w:rPr>
              <w:t xml:space="preserve"> </w:t>
            </w:r>
            <w:r>
              <w:rPr>
                <w:b/>
                <w:sz w:val="20"/>
              </w:rPr>
              <w:tab/>
            </w:r>
            <w:r w:rsidRPr="00836F84">
              <w:rPr>
                <w:rFonts w:ascii="Verdana" w:eastAsia="MS Minngs" w:hAnsi="Verdana" w:cs="Verdana"/>
                <w:bCs/>
                <w:sz w:val="18"/>
                <w:szCs w:val="18"/>
              </w:rPr>
              <w:t></w:t>
            </w:r>
            <w:r w:rsidRPr="00DD20D9">
              <w:rPr>
                <w:rStyle w:val="Strong"/>
                <w:sz w:val="20"/>
              </w:rPr>
              <w:t> </w:t>
            </w:r>
            <w:r w:rsidRPr="00DD20D9">
              <w:rPr>
                <w:rFonts w:ascii="Verdana" w:eastAsia="MS Minngs" w:hAnsi="Verdana" w:cs="Verdana"/>
                <w:bCs/>
                <w:sz w:val="18"/>
                <w:szCs w:val="18"/>
                <w:lang w:val="fr-FR"/>
              </w:rPr>
              <w:t xml:space="preserve"> </w:t>
            </w:r>
            <w:r>
              <w:rPr>
                <w:b/>
                <w:sz w:val="20"/>
              </w:rPr>
              <w:t>Sans frais</w:t>
            </w:r>
          </w:p>
        </w:tc>
      </w:tr>
      <w:tr w:rsidR="00554A76" w:rsidRPr="0059779D" w:rsidTr="004F08B5">
        <w:trPr>
          <w:gridAfter w:val="1"/>
          <w:wAfter w:w="14" w:type="dxa"/>
          <w:trHeight w:val="581"/>
        </w:trPr>
        <w:tc>
          <w:tcPr>
            <w:tcW w:w="250" w:type="dxa"/>
            <w:vMerge/>
            <w:tcBorders>
              <w:left w:val="single" w:sz="4" w:space="0" w:color="auto"/>
            </w:tcBorders>
            <w:shd w:val="clear" w:color="auto" w:fill="auto"/>
          </w:tcPr>
          <w:p w:rsidR="00554A76" w:rsidRPr="0059779D" w:rsidRDefault="00554A76" w:rsidP="0059779D">
            <w:pPr>
              <w:ind w:right="1317"/>
              <w:jc w:val="both"/>
              <w:rPr>
                <w:b/>
                <w:sz w:val="20"/>
              </w:rPr>
            </w:pPr>
          </w:p>
        </w:tc>
        <w:tc>
          <w:tcPr>
            <w:tcW w:w="2679" w:type="dxa"/>
            <w:vMerge/>
            <w:tcBorders>
              <w:right w:val="single" w:sz="4" w:space="0" w:color="auto"/>
            </w:tcBorders>
            <w:shd w:val="clear" w:color="auto" w:fill="auto"/>
          </w:tcPr>
          <w:p w:rsidR="00554A76" w:rsidRPr="0059779D" w:rsidRDefault="00554A76" w:rsidP="0059779D">
            <w:pPr>
              <w:tabs>
                <w:tab w:val="left" w:pos="1697"/>
              </w:tabs>
              <w:ind w:right="-1739"/>
              <w:jc w:val="both"/>
              <w:rPr>
                <w:b/>
                <w:sz w:val="20"/>
              </w:rPr>
            </w:pPr>
          </w:p>
        </w:tc>
        <w:tc>
          <w:tcPr>
            <w:tcW w:w="6237" w:type="dxa"/>
            <w:gridSpan w:val="2"/>
            <w:tcBorders>
              <w:left w:val="single" w:sz="4" w:space="0" w:color="auto"/>
              <w:bottom w:val="single" w:sz="4" w:space="0" w:color="auto"/>
              <w:right w:val="single" w:sz="4" w:space="0" w:color="auto"/>
            </w:tcBorders>
            <w:shd w:val="clear" w:color="auto" w:fill="auto"/>
            <w:vAlign w:val="center"/>
          </w:tcPr>
          <w:p w:rsidR="00554A76" w:rsidRDefault="00554A76" w:rsidP="007E36DE">
            <w:pPr>
              <w:rPr>
                <w:b/>
                <w:sz w:val="20"/>
              </w:rPr>
            </w:pPr>
            <w:r w:rsidRPr="00DD20D9">
              <w:rPr>
                <w:b/>
                <w:sz w:val="20"/>
              </w:rPr>
              <w:t xml:space="preserve">Cet </w:t>
            </w:r>
            <w:r>
              <w:rPr>
                <w:b/>
                <w:sz w:val="20"/>
              </w:rPr>
              <w:t xml:space="preserve">avis </w:t>
            </w:r>
            <w:r w:rsidRPr="00DD20D9">
              <w:rPr>
                <w:b/>
                <w:sz w:val="20"/>
              </w:rPr>
              <w:t xml:space="preserve">est </w:t>
            </w:r>
            <w:r>
              <w:rPr>
                <w:b/>
                <w:sz w:val="20"/>
              </w:rPr>
              <w:t>également ouvert</w:t>
            </w:r>
          </w:p>
          <w:p w:rsidR="00554A76" w:rsidRDefault="00554A76" w:rsidP="007E36DE">
            <w:pPr>
              <w:rPr>
                <w:rStyle w:val="Strong"/>
                <w:sz w:val="20"/>
              </w:rPr>
            </w:pPr>
            <w:r w:rsidRPr="00DD20D9">
              <w:rPr>
                <w:rFonts w:ascii="Verdana" w:eastAsia="MS Minngs" w:hAnsi="Verdana" w:cs="Verdana"/>
                <w:bCs/>
                <w:sz w:val="18"/>
                <w:szCs w:val="18"/>
                <w:lang w:val="fr-FR"/>
              </w:rPr>
              <w:sym w:font="Wingdings 2" w:char="F0A3"/>
            </w:r>
            <w:r>
              <w:rPr>
                <w:rStyle w:val="Strong"/>
                <w:sz w:val="20"/>
              </w:rPr>
              <w:t>    aux</w:t>
            </w:r>
            <w:r w:rsidRPr="00DD20D9">
              <w:rPr>
                <w:rStyle w:val="Strong"/>
                <w:sz w:val="20"/>
              </w:rPr>
              <w:t xml:space="preserve"> pays </w:t>
            </w:r>
            <w:r>
              <w:rPr>
                <w:rStyle w:val="Strong"/>
                <w:sz w:val="20"/>
              </w:rPr>
              <w:t>AELE</w:t>
            </w:r>
            <w:r w:rsidRPr="00DD20D9">
              <w:rPr>
                <w:rStyle w:val="Strong"/>
                <w:sz w:val="20"/>
              </w:rPr>
              <w:t xml:space="preserve"> suivants</w:t>
            </w:r>
            <w:r>
              <w:rPr>
                <w:rStyle w:val="Strong"/>
                <w:sz w:val="20"/>
              </w:rPr>
              <w:t xml:space="preserve"> </w:t>
            </w:r>
            <w:r w:rsidRPr="00DD20D9">
              <w:rPr>
                <w:rStyle w:val="Strong"/>
                <w:sz w:val="20"/>
              </w:rPr>
              <w:t>:</w:t>
            </w:r>
          </w:p>
          <w:p w:rsidR="00554A76" w:rsidRPr="00ED15A0" w:rsidRDefault="00554A76" w:rsidP="007E36DE">
            <w:pPr>
              <w:tabs>
                <w:tab w:val="left" w:pos="1182"/>
              </w:tabs>
              <w:ind w:right="-1739"/>
              <w:rPr>
                <w:sz w:val="20"/>
              </w:rPr>
            </w:pPr>
            <w:r>
              <w:rPr>
                <w:b/>
                <w:sz w:val="20"/>
              </w:rPr>
              <w:tab/>
            </w:r>
            <w:r w:rsidRPr="007E36DE">
              <w:rPr>
                <w:sz w:val="20"/>
              </w:rPr>
              <w:sym w:font="Wingdings 2" w:char="F0A3"/>
            </w:r>
            <w:r w:rsidRPr="007E36DE">
              <w:rPr>
                <w:b/>
                <w:sz w:val="20"/>
              </w:rPr>
              <w:t xml:space="preserve"> Islande </w:t>
            </w:r>
            <w:r w:rsidRPr="007E36DE">
              <w:rPr>
                <w:sz w:val="20"/>
              </w:rPr>
              <w:sym w:font="Wingdings 2" w:char="F0A3"/>
            </w:r>
            <w:r w:rsidRPr="007E36DE">
              <w:rPr>
                <w:b/>
                <w:sz w:val="20"/>
              </w:rPr>
              <w:t xml:space="preserve"> Liechtenstein </w:t>
            </w:r>
            <w:r w:rsidRPr="007E36DE">
              <w:rPr>
                <w:sz w:val="20"/>
              </w:rPr>
              <w:sym w:font="Wingdings 2" w:char="F0A3"/>
            </w:r>
            <w:r w:rsidRPr="007E36DE">
              <w:rPr>
                <w:b/>
                <w:sz w:val="20"/>
              </w:rPr>
              <w:t xml:space="preserve"> Norvège </w:t>
            </w:r>
            <w:r w:rsidRPr="007E36DE">
              <w:rPr>
                <w:sz w:val="20"/>
              </w:rPr>
              <w:sym w:font="Wingdings 2" w:char="F0A3"/>
            </w:r>
            <w:r>
              <w:rPr>
                <w:b/>
                <w:sz w:val="20"/>
              </w:rPr>
              <w:t xml:space="preserve"> Suisse</w:t>
            </w:r>
            <w:r w:rsidRPr="007E36DE">
              <w:rPr>
                <w:sz w:val="20"/>
              </w:rPr>
              <w:t xml:space="preserve"> </w:t>
            </w:r>
          </w:p>
          <w:p w:rsidR="00554A76" w:rsidRPr="00AA431A" w:rsidRDefault="00554A76" w:rsidP="007E36DE">
            <w:pPr>
              <w:tabs>
                <w:tab w:val="left" w:pos="1182"/>
              </w:tabs>
              <w:ind w:right="-1739"/>
              <w:rPr>
                <w:b/>
                <w:sz w:val="20"/>
              </w:rPr>
            </w:pPr>
            <w:r w:rsidRPr="00ED15A0">
              <w:rPr>
                <w:b/>
                <w:sz w:val="20"/>
              </w:rPr>
              <w:tab/>
            </w:r>
            <w:r w:rsidRPr="007E36DE">
              <w:rPr>
                <w:sz w:val="20"/>
              </w:rPr>
              <w:sym w:font="Wingdings 2" w:char="F0A3"/>
            </w:r>
            <w:r w:rsidRPr="001653AB">
              <w:rPr>
                <w:b/>
                <w:sz w:val="20"/>
              </w:rPr>
              <w:t xml:space="preserve"> Accord AELE-EEE </w:t>
            </w:r>
            <w:r w:rsidRPr="00AA431A">
              <w:rPr>
                <w:b/>
                <w:sz w:val="20"/>
              </w:rPr>
              <w:t>in-</w:t>
            </w:r>
            <w:proofErr w:type="spellStart"/>
            <w:r w:rsidRPr="00AA431A">
              <w:rPr>
                <w:b/>
                <w:sz w:val="20"/>
              </w:rPr>
              <w:t>Kind</w:t>
            </w:r>
            <w:proofErr w:type="spellEnd"/>
          </w:p>
          <w:p w:rsidR="00554A76" w:rsidRPr="000860A3" w:rsidRDefault="00554A76" w:rsidP="007E36DE">
            <w:pPr>
              <w:tabs>
                <w:tab w:val="left" w:pos="1697"/>
              </w:tabs>
              <w:ind w:right="-1739"/>
              <w:rPr>
                <w:b/>
                <w:sz w:val="20"/>
              </w:rPr>
            </w:pPr>
            <w:r w:rsidRPr="00AA431A">
              <w:rPr>
                <w:b/>
                <w:sz w:val="20"/>
              </w:rPr>
              <w:t xml:space="preserve">                                </w:t>
            </w:r>
            <w:r w:rsidRPr="00ED15A0">
              <w:rPr>
                <w:b/>
                <w:sz w:val="20"/>
              </w:rPr>
              <w:t>(Islande, Liechtenstein, Norvège)</w:t>
            </w:r>
            <w:r>
              <w:rPr>
                <w:b/>
                <w:sz w:val="20"/>
              </w:rPr>
              <w:t xml:space="preserve"> </w:t>
            </w:r>
            <w:r w:rsidRPr="00C3694E">
              <w:rPr>
                <w:b/>
                <w:sz w:val="20"/>
              </w:rPr>
              <w:br/>
            </w:r>
            <w:r w:rsidRPr="00DD20D9">
              <w:rPr>
                <w:rFonts w:ascii="Verdana" w:eastAsia="MS Minngs" w:hAnsi="Verdana" w:cs="Verdana"/>
                <w:bCs/>
                <w:sz w:val="18"/>
                <w:szCs w:val="18"/>
                <w:lang w:val="fr-FR"/>
              </w:rPr>
              <w:sym w:font="Wingdings 2" w:char="F0A3"/>
            </w:r>
            <w:r>
              <w:rPr>
                <w:rStyle w:val="Strong"/>
                <w:sz w:val="20"/>
              </w:rPr>
              <w:t>    aux</w:t>
            </w:r>
            <w:r w:rsidRPr="00DD20D9">
              <w:rPr>
                <w:rStyle w:val="Strong"/>
                <w:sz w:val="20"/>
              </w:rPr>
              <w:t xml:space="preserve"> pays tiers suivants:</w:t>
            </w:r>
            <w:r>
              <w:rPr>
                <w:rStyle w:val="Strong"/>
                <w:sz w:val="20"/>
              </w:rPr>
              <w:t xml:space="preserve"> </w:t>
            </w:r>
          </w:p>
          <w:p w:rsidR="00554A76" w:rsidRDefault="00554A76" w:rsidP="007E36DE">
            <w:pPr>
              <w:rPr>
                <w:rFonts w:ascii="Arial" w:hAnsi="Arial" w:cs="Arial"/>
                <w:szCs w:val="24"/>
              </w:rPr>
            </w:pPr>
            <w:r w:rsidRPr="00DD20D9">
              <w:rPr>
                <w:rFonts w:ascii="Verdana" w:eastAsia="MS Minngs" w:hAnsi="Verdana" w:cs="Verdana"/>
                <w:bCs/>
                <w:sz w:val="18"/>
                <w:szCs w:val="18"/>
                <w:lang w:val="fr-FR"/>
              </w:rPr>
              <w:sym w:font="Wingdings 2" w:char="F0A3"/>
            </w:r>
            <w:r>
              <w:rPr>
                <w:rStyle w:val="Strong"/>
                <w:sz w:val="20"/>
              </w:rPr>
              <w:t>    aux</w:t>
            </w:r>
            <w:r w:rsidRPr="00DD20D9">
              <w:rPr>
                <w:rStyle w:val="Strong"/>
                <w:sz w:val="20"/>
              </w:rPr>
              <w:t xml:space="preserve"> organisations intergouvernementales suivantes: </w:t>
            </w:r>
          </w:p>
          <w:p w:rsidR="00554A76" w:rsidRPr="007E36DE" w:rsidRDefault="00554A76" w:rsidP="007E36DE">
            <w:pPr>
              <w:rPr>
                <w:rFonts w:ascii="Arial" w:hAnsi="Arial" w:cs="Arial"/>
                <w:szCs w:val="24"/>
              </w:rPr>
            </w:pPr>
          </w:p>
        </w:tc>
      </w:tr>
      <w:tr w:rsidR="00554A76" w:rsidRPr="0059779D" w:rsidTr="004F08B5">
        <w:trPr>
          <w:gridAfter w:val="1"/>
          <w:wAfter w:w="14" w:type="dxa"/>
        </w:trPr>
        <w:tc>
          <w:tcPr>
            <w:tcW w:w="250" w:type="dxa"/>
            <w:tcBorders>
              <w:top w:val="single" w:sz="4" w:space="0" w:color="auto"/>
              <w:bottom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554A76" w:rsidRPr="0059779D" w:rsidRDefault="00554A76" w:rsidP="0059779D">
            <w:pPr>
              <w:ind w:right="1317"/>
              <w:jc w:val="both"/>
              <w:rPr>
                <w:b/>
                <w:sz w:val="20"/>
              </w:rPr>
            </w:pPr>
          </w:p>
        </w:tc>
      </w:tr>
      <w:tr w:rsidR="00554A76" w:rsidRPr="0059779D" w:rsidTr="004F08B5">
        <w:trPr>
          <w:gridAfter w:val="1"/>
          <w:wAfter w:w="14" w:type="dxa"/>
        </w:trPr>
        <w:tc>
          <w:tcPr>
            <w:tcW w:w="250" w:type="dxa"/>
            <w:tcBorders>
              <w:top w:val="single" w:sz="4" w:space="0" w:color="auto"/>
              <w:left w:val="single" w:sz="4" w:space="0" w:color="auto"/>
              <w:bottom w:val="single" w:sz="4" w:space="0" w:color="auto"/>
              <w:right w:val="single" w:sz="4" w:space="0" w:color="auto"/>
            </w:tcBorders>
            <w:shd w:val="clear" w:color="auto" w:fill="auto"/>
          </w:tcPr>
          <w:p w:rsidR="00554A76" w:rsidRPr="007D0494" w:rsidRDefault="00554A76" w:rsidP="0059779D">
            <w:pPr>
              <w:ind w:right="1317"/>
              <w:jc w:val="both"/>
              <w:rPr>
                <w:b/>
                <w:sz w:val="20"/>
              </w:rPr>
            </w:pPr>
            <w:r w:rsidRPr="007D0494">
              <w:rPr>
                <w:b/>
                <w:sz w:val="20"/>
              </w:rPr>
              <w:t>1</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554A76" w:rsidRPr="007D0494" w:rsidRDefault="00554A76" w:rsidP="0059779D">
            <w:pPr>
              <w:ind w:right="1317"/>
              <w:jc w:val="both"/>
              <w:rPr>
                <w:b/>
                <w:sz w:val="20"/>
              </w:rPr>
            </w:pPr>
            <w:r w:rsidRPr="007D0494">
              <w:rPr>
                <w:b/>
                <w:sz w:val="20"/>
              </w:rPr>
              <w:t>Nature des fonctions :</w:t>
            </w:r>
          </w:p>
        </w:tc>
      </w:tr>
      <w:tr w:rsidR="00554A76" w:rsidRPr="0059779D" w:rsidTr="004F08B5">
        <w:trPr>
          <w:gridAfter w:val="1"/>
          <w:wAfter w:w="14" w:type="dxa"/>
        </w:trPr>
        <w:tc>
          <w:tcPr>
            <w:tcW w:w="250" w:type="dxa"/>
            <w:tcBorders>
              <w:top w:val="single" w:sz="4" w:space="0" w:color="auto"/>
              <w:left w:val="single" w:sz="4" w:space="0" w:color="auto"/>
            </w:tcBorders>
            <w:shd w:val="clear" w:color="auto" w:fill="auto"/>
          </w:tcPr>
          <w:p w:rsidR="00554A76" w:rsidRPr="002D71AF" w:rsidRDefault="00554A76" w:rsidP="0059779D">
            <w:pPr>
              <w:ind w:right="1317"/>
              <w:jc w:val="both"/>
              <w:rPr>
                <w:b/>
                <w:sz w:val="20"/>
                <w:highlight w:val="yellow"/>
              </w:rPr>
            </w:pPr>
          </w:p>
        </w:tc>
        <w:tc>
          <w:tcPr>
            <w:tcW w:w="8916" w:type="dxa"/>
            <w:gridSpan w:val="3"/>
            <w:tcBorders>
              <w:top w:val="single" w:sz="4" w:space="0" w:color="auto"/>
              <w:right w:val="single" w:sz="4" w:space="0" w:color="auto"/>
            </w:tcBorders>
            <w:shd w:val="clear" w:color="auto" w:fill="auto"/>
          </w:tcPr>
          <w:p w:rsidR="00554A76" w:rsidRPr="002D71AF" w:rsidRDefault="00554A76" w:rsidP="0059779D">
            <w:pPr>
              <w:ind w:right="1317"/>
              <w:jc w:val="both"/>
              <w:rPr>
                <w:b/>
                <w:sz w:val="20"/>
                <w:highlight w:val="yellow"/>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2D71AF" w:rsidRDefault="00554A76" w:rsidP="0059779D">
            <w:pPr>
              <w:ind w:right="1317"/>
              <w:jc w:val="both"/>
              <w:rPr>
                <w:b/>
                <w:sz w:val="20"/>
                <w:highlight w:val="yellow"/>
              </w:rPr>
            </w:pPr>
          </w:p>
        </w:tc>
        <w:tc>
          <w:tcPr>
            <w:tcW w:w="8916" w:type="dxa"/>
            <w:gridSpan w:val="3"/>
            <w:tcBorders>
              <w:right w:val="single" w:sz="4" w:space="0" w:color="auto"/>
            </w:tcBorders>
            <w:shd w:val="clear" w:color="auto" w:fill="auto"/>
          </w:tcPr>
          <w:p w:rsidR="00206B85" w:rsidRDefault="00206B85" w:rsidP="004F08B5">
            <w:pPr>
              <w:ind w:left="-108" w:right="20"/>
              <w:rPr>
                <w:rStyle w:val="tlid-translation"/>
                <w:rFonts w:ascii="Roboto" w:hAnsi="Roboto"/>
                <w:sz w:val="20"/>
                <w:lang w:val="fr-FR"/>
              </w:rPr>
            </w:pPr>
            <w:r w:rsidRPr="007B21FB">
              <w:rPr>
                <w:rStyle w:val="tlid-translation"/>
                <w:b/>
                <w:color w:val="000000" w:themeColor="text1"/>
                <w:sz w:val="20"/>
                <w:lang w:val="fr-FR"/>
              </w:rPr>
              <w:t>Spécialiste en communication</w:t>
            </w:r>
            <w:r w:rsidRPr="003131D4">
              <w:rPr>
                <w:rStyle w:val="tlid-translation"/>
                <w:color w:val="000000" w:themeColor="text1"/>
                <w:sz w:val="20"/>
                <w:lang w:val="fr-FR"/>
              </w:rPr>
              <w:t xml:space="preserve">: </w:t>
            </w:r>
            <w:r w:rsidR="00CF1E30">
              <w:rPr>
                <w:rStyle w:val="tlid-translation"/>
                <w:color w:val="000000" w:themeColor="text1"/>
                <w:sz w:val="20"/>
                <w:lang w:val="fr-FR"/>
              </w:rPr>
              <w:t>A</w:t>
            </w:r>
            <w:r w:rsidRPr="003131D4">
              <w:rPr>
                <w:rStyle w:val="tlid-translation"/>
                <w:color w:val="000000" w:themeColor="text1"/>
                <w:sz w:val="20"/>
                <w:lang w:val="fr-FR"/>
              </w:rPr>
              <w:t>ider la Direction-Générale de la Communication à définir, a</w:t>
            </w:r>
            <w:r w:rsidR="007B21FB">
              <w:rPr>
                <w:rStyle w:val="tlid-translation"/>
                <w:color w:val="000000" w:themeColor="text1"/>
                <w:sz w:val="20"/>
                <w:lang w:val="fr-FR"/>
              </w:rPr>
              <w:t>ffiner</w:t>
            </w:r>
            <w:r w:rsidRPr="003131D4">
              <w:rPr>
                <w:rStyle w:val="tlid-translation"/>
                <w:color w:val="000000" w:themeColor="text1"/>
                <w:sz w:val="20"/>
                <w:lang w:val="fr-FR"/>
              </w:rPr>
              <w:t xml:space="preserve"> et mettre en œuvre sa</w:t>
            </w:r>
            <w:r w:rsidR="007B21FB">
              <w:rPr>
                <w:rStyle w:val="tlid-translation"/>
                <w:color w:val="000000" w:themeColor="text1"/>
                <w:sz w:val="20"/>
                <w:lang w:val="fr-FR"/>
              </w:rPr>
              <w:t xml:space="preserve"> stratégie et </w:t>
            </w:r>
            <w:r w:rsidR="007B21FB" w:rsidRPr="00240C19">
              <w:rPr>
                <w:sz w:val="20"/>
              </w:rPr>
              <w:t>communication</w:t>
            </w:r>
            <w:r w:rsidR="007B21FB">
              <w:rPr>
                <w:sz w:val="20"/>
              </w:rPr>
              <w:t xml:space="preserve"> corporate</w:t>
            </w:r>
            <w:r w:rsidRPr="003131D4">
              <w:rPr>
                <w:rStyle w:val="tlid-translation"/>
                <w:color w:val="000000" w:themeColor="text1"/>
                <w:sz w:val="20"/>
                <w:lang w:val="fr-FR"/>
              </w:rPr>
              <w:t xml:space="preserve">, en mettant l’accent sur l’harmonisation des messages entre les différents domaines de compétence, en recherchant les synergies les plus fortes possibles entre </w:t>
            </w:r>
            <w:r w:rsidR="007B21FB">
              <w:rPr>
                <w:rStyle w:val="tlid-translation"/>
                <w:color w:val="000000" w:themeColor="text1"/>
                <w:sz w:val="20"/>
                <w:lang w:val="fr-FR"/>
              </w:rPr>
              <w:t xml:space="preserve">les </w:t>
            </w:r>
            <w:r w:rsidRPr="003131D4">
              <w:rPr>
                <w:rStyle w:val="tlid-translation"/>
                <w:color w:val="000000" w:themeColor="text1"/>
                <w:sz w:val="20"/>
                <w:lang w:val="fr-FR"/>
              </w:rPr>
              <w:t>différents acteurs et en veillant à assurer une prestation de services efficace et efficiente, à assurer le suivi et l’évaluation des acti</w:t>
            </w:r>
            <w:r w:rsidR="007B21FB">
              <w:rPr>
                <w:rStyle w:val="tlid-translation"/>
                <w:color w:val="000000" w:themeColor="text1"/>
                <w:sz w:val="20"/>
                <w:lang w:val="fr-FR"/>
              </w:rPr>
              <w:t>vités</w:t>
            </w:r>
            <w:r>
              <w:rPr>
                <w:rStyle w:val="tlid-translation"/>
                <w:rFonts w:ascii="Roboto" w:hAnsi="Roboto"/>
                <w:color w:val="777777"/>
                <w:lang w:val="fr-FR"/>
              </w:rPr>
              <w:t>.</w:t>
            </w:r>
            <w:r>
              <w:rPr>
                <w:rFonts w:ascii="Roboto" w:hAnsi="Roboto"/>
                <w:color w:val="777777"/>
                <w:lang w:val="fr-FR"/>
              </w:rPr>
              <w:br/>
            </w:r>
            <w:r>
              <w:rPr>
                <w:rFonts w:ascii="Roboto" w:hAnsi="Roboto"/>
                <w:color w:val="777777"/>
                <w:lang w:val="fr-FR"/>
              </w:rPr>
              <w:br/>
            </w:r>
            <w:r w:rsidRPr="003131D4">
              <w:rPr>
                <w:rStyle w:val="tlid-translation"/>
                <w:sz w:val="20"/>
                <w:lang w:val="fr-FR"/>
              </w:rPr>
              <w:t>L'expert national détaché sera rattaché à l'</w:t>
            </w:r>
            <w:r w:rsidR="007B21FB">
              <w:rPr>
                <w:rStyle w:val="tlid-translation"/>
                <w:sz w:val="20"/>
                <w:lang w:val="fr-FR"/>
              </w:rPr>
              <w:t>U</w:t>
            </w:r>
            <w:r w:rsidRPr="003131D4">
              <w:rPr>
                <w:rStyle w:val="tlid-translation"/>
                <w:sz w:val="20"/>
                <w:lang w:val="fr-FR"/>
              </w:rPr>
              <w:t xml:space="preserve">nité COMM.B.2 - Relations interinstitutionnelles, </w:t>
            </w:r>
            <w:r w:rsidR="007B21FB">
              <w:rPr>
                <w:rStyle w:val="tlid-translation"/>
                <w:sz w:val="20"/>
                <w:lang w:val="fr-FR"/>
              </w:rPr>
              <w:t>C</w:t>
            </w:r>
            <w:r w:rsidRPr="003131D4">
              <w:rPr>
                <w:rStyle w:val="tlid-translation"/>
                <w:sz w:val="20"/>
                <w:lang w:val="fr-FR"/>
              </w:rPr>
              <w:t>o</w:t>
            </w:r>
            <w:r w:rsidR="00CF1E30">
              <w:rPr>
                <w:rStyle w:val="tlid-translation"/>
                <w:sz w:val="20"/>
                <w:lang w:val="fr-FR"/>
              </w:rPr>
              <w:t>rporate Contracts</w:t>
            </w:r>
            <w:r w:rsidR="007B21FB">
              <w:rPr>
                <w:rStyle w:val="tlid-translation"/>
                <w:sz w:val="20"/>
                <w:lang w:val="fr-FR"/>
              </w:rPr>
              <w:t xml:space="preserve"> </w:t>
            </w:r>
            <w:r w:rsidRPr="003131D4">
              <w:rPr>
                <w:rStyle w:val="tlid-translation"/>
                <w:sz w:val="20"/>
                <w:lang w:val="fr-FR"/>
              </w:rPr>
              <w:t xml:space="preserve"> et Centre de</w:t>
            </w:r>
            <w:r w:rsidR="00CF1E30">
              <w:rPr>
                <w:rStyle w:val="tlid-translation"/>
                <w:sz w:val="20"/>
                <w:lang w:val="fr-FR"/>
              </w:rPr>
              <w:t xml:space="preserve"> C</w:t>
            </w:r>
            <w:r w:rsidRPr="003131D4">
              <w:rPr>
                <w:rStyle w:val="tlid-translation"/>
                <w:sz w:val="20"/>
                <w:lang w:val="fr-FR"/>
              </w:rPr>
              <w:t xml:space="preserve">ontact Europe Direct et apportera son soutien aux travaux de </w:t>
            </w:r>
            <w:r w:rsidR="00CF1E30" w:rsidRPr="003131D4">
              <w:rPr>
                <w:rStyle w:val="tlid-translation"/>
                <w:sz w:val="20"/>
                <w:lang w:val="fr-FR"/>
              </w:rPr>
              <w:t>l'</w:t>
            </w:r>
            <w:r w:rsidR="00CF1E30">
              <w:rPr>
                <w:rStyle w:val="tlid-translation"/>
                <w:sz w:val="20"/>
                <w:lang w:val="fr-FR"/>
              </w:rPr>
              <w:t>Unité</w:t>
            </w:r>
            <w:r w:rsidRPr="003131D4">
              <w:rPr>
                <w:rStyle w:val="tlid-translation"/>
                <w:sz w:val="20"/>
                <w:lang w:val="fr-FR"/>
              </w:rPr>
              <w:t xml:space="preserve"> dans les trois secteurs.</w:t>
            </w:r>
            <w:r w:rsidRPr="003131D4">
              <w:rPr>
                <w:rFonts w:ascii="Roboto" w:hAnsi="Roboto"/>
                <w:color w:val="777777"/>
                <w:sz w:val="20"/>
                <w:lang w:val="fr-FR"/>
              </w:rPr>
              <w:br/>
            </w:r>
            <w:r>
              <w:rPr>
                <w:rFonts w:ascii="Roboto" w:hAnsi="Roboto"/>
                <w:color w:val="777777"/>
                <w:lang w:val="fr-FR"/>
              </w:rPr>
              <w:br/>
            </w:r>
            <w:r w:rsidRPr="00CF1E30">
              <w:rPr>
                <w:rStyle w:val="tlid-translation"/>
                <w:rFonts w:ascii="Roboto" w:hAnsi="Roboto"/>
                <w:b/>
                <w:sz w:val="20"/>
                <w:lang w:val="fr-FR"/>
              </w:rPr>
              <w:t>Relations interinstitutionnelles</w:t>
            </w:r>
            <w:r w:rsidRPr="00AA2423">
              <w:rPr>
                <w:rStyle w:val="tlid-translation"/>
                <w:rFonts w:ascii="Roboto" w:hAnsi="Roboto"/>
                <w:sz w:val="20"/>
                <w:lang w:val="fr-FR"/>
              </w:rPr>
              <w:t xml:space="preserve">: </w:t>
            </w:r>
            <w:r w:rsidR="00CF1E30">
              <w:rPr>
                <w:rStyle w:val="tlid-translation"/>
                <w:rFonts w:ascii="Roboto" w:hAnsi="Roboto"/>
                <w:sz w:val="20"/>
                <w:lang w:val="fr-FR"/>
              </w:rPr>
              <w:t>C</w:t>
            </w:r>
            <w:r w:rsidRPr="00AA2423">
              <w:rPr>
                <w:rStyle w:val="tlid-translation"/>
                <w:rFonts w:ascii="Roboto" w:hAnsi="Roboto"/>
                <w:sz w:val="20"/>
                <w:lang w:val="fr-FR"/>
              </w:rPr>
              <w:t>oordonner les aspects opérationnels de la coopération interinstitutionnelle, assurer le suivi des actions de communication des autres institutions nécessitant une coordination avec la Commission</w:t>
            </w:r>
            <w:r w:rsidR="00CF1E30">
              <w:rPr>
                <w:rStyle w:val="tlid-translation"/>
                <w:rFonts w:ascii="Roboto" w:hAnsi="Roboto"/>
                <w:sz w:val="20"/>
                <w:lang w:val="fr-FR"/>
              </w:rPr>
              <w:t>.</w:t>
            </w:r>
          </w:p>
          <w:p w:rsidR="00206B85" w:rsidRDefault="00206B85" w:rsidP="004F08B5">
            <w:pPr>
              <w:ind w:left="-108" w:right="20"/>
              <w:rPr>
                <w:rStyle w:val="tlid-translation"/>
                <w:rFonts w:ascii="Roboto" w:hAnsi="Roboto"/>
                <w:sz w:val="20"/>
                <w:lang w:val="fr-FR"/>
              </w:rPr>
            </w:pPr>
          </w:p>
          <w:p w:rsidR="004F08B5" w:rsidRDefault="004F08B5" w:rsidP="004F08B5">
            <w:pPr>
              <w:ind w:left="-108" w:right="20"/>
              <w:rPr>
                <w:rStyle w:val="tlid-translation"/>
                <w:b/>
                <w:sz w:val="20"/>
                <w:lang w:val="fr-FR"/>
              </w:rPr>
            </w:pPr>
          </w:p>
          <w:p w:rsidR="004F08B5" w:rsidRDefault="004F08B5" w:rsidP="004F08B5">
            <w:pPr>
              <w:ind w:left="-108" w:right="20"/>
              <w:rPr>
                <w:rStyle w:val="tlid-translation"/>
                <w:b/>
                <w:sz w:val="20"/>
                <w:lang w:val="fr-FR"/>
              </w:rPr>
            </w:pPr>
          </w:p>
          <w:p w:rsidR="00206B85" w:rsidRDefault="00206B85" w:rsidP="004F08B5">
            <w:pPr>
              <w:ind w:left="-108" w:right="20"/>
              <w:rPr>
                <w:rStyle w:val="tlid-translation"/>
                <w:rFonts w:ascii="Roboto" w:hAnsi="Roboto"/>
                <w:sz w:val="20"/>
                <w:lang w:val="fr-FR"/>
              </w:rPr>
            </w:pPr>
            <w:proofErr w:type="spellStart"/>
            <w:r w:rsidRPr="00CF1E30">
              <w:rPr>
                <w:rStyle w:val="tlid-translation"/>
                <w:b/>
                <w:sz w:val="20"/>
                <w:lang w:val="fr-FR"/>
              </w:rPr>
              <w:lastRenderedPageBreak/>
              <w:t>Corporate</w:t>
            </w:r>
            <w:proofErr w:type="spellEnd"/>
            <w:r w:rsidRPr="00CF1E30">
              <w:rPr>
                <w:rStyle w:val="tlid-translation"/>
                <w:b/>
                <w:sz w:val="20"/>
                <w:lang w:val="fr-FR"/>
              </w:rPr>
              <w:t xml:space="preserve"> Contrats</w:t>
            </w:r>
            <w:r w:rsidRPr="00CF1E30">
              <w:rPr>
                <w:rStyle w:val="tlid-translation"/>
                <w:sz w:val="20"/>
                <w:lang w:val="fr-FR"/>
              </w:rPr>
              <w:t>: Assurer les relations, avec diplomatie et souci de la qualité du service rendu, avec les partenaires internes afin de trouver les meilleures solutions pour la diffusion des campagnes thématiques ou horizontales, y compris l'externalisation de la communication et les solutions contractuelles. Contribuer à la rédaction des aspects techniques des cahiers des charges et à l'évaluation de la pertinence des cahiers des charges soumis par les partenaires internes. Assurer les relations avec les partenaires internes pour aligner les messages politiques sur les priorités politiques de la Commission</w:t>
            </w:r>
            <w:r>
              <w:rPr>
                <w:rStyle w:val="tlid-translation"/>
                <w:rFonts w:ascii="Roboto" w:hAnsi="Roboto"/>
                <w:sz w:val="20"/>
                <w:lang w:val="fr-FR"/>
              </w:rPr>
              <w:t>.</w:t>
            </w:r>
          </w:p>
          <w:p w:rsidR="00206B85" w:rsidRDefault="00206B85" w:rsidP="004F08B5">
            <w:pPr>
              <w:ind w:left="-108" w:right="20"/>
              <w:rPr>
                <w:rStyle w:val="tlid-translation"/>
                <w:rFonts w:ascii="Roboto" w:hAnsi="Roboto"/>
                <w:sz w:val="20"/>
                <w:lang w:val="fr-FR"/>
              </w:rPr>
            </w:pPr>
          </w:p>
          <w:p w:rsidR="00206B85" w:rsidRDefault="00206B85" w:rsidP="004F08B5">
            <w:pPr>
              <w:ind w:left="-108" w:right="20"/>
              <w:rPr>
                <w:rStyle w:val="tlid-translation"/>
                <w:rFonts w:ascii="Roboto" w:hAnsi="Roboto"/>
                <w:sz w:val="20"/>
                <w:lang w:val="fr-FR"/>
              </w:rPr>
            </w:pPr>
            <w:r w:rsidRPr="00CF1E30">
              <w:rPr>
                <w:rStyle w:val="tlid-translation"/>
                <w:rFonts w:ascii="Roboto" w:hAnsi="Roboto"/>
                <w:b/>
                <w:sz w:val="20"/>
                <w:lang w:val="fr-FR"/>
              </w:rPr>
              <w:t>Centre de Contact Europe Direct</w:t>
            </w:r>
            <w:r w:rsidR="00CF1E30" w:rsidRPr="00CF1E30">
              <w:rPr>
                <w:rStyle w:val="tlid-translation"/>
                <w:rFonts w:ascii="Roboto" w:hAnsi="Roboto"/>
                <w:sz w:val="20"/>
                <w:lang w:val="fr-FR"/>
              </w:rPr>
              <w:t>:</w:t>
            </w:r>
            <w:r>
              <w:rPr>
                <w:rStyle w:val="tlid-translation"/>
                <w:rFonts w:ascii="Roboto" w:hAnsi="Roboto"/>
                <w:sz w:val="20"/>
                <w:lang w:val="fr-FR"/>
              </w:rPr>
              <w:t xml:space="preserve"> Contribuer à la gestion et au développement du service répondant aux questions des citoyens sur l'UE, dans le cadre du Centre de Contact Europe Direct. Ceci peut inclure des tâches liées à l'analyse des besoins futurs pour le service </w:t>
            </w:r>
            <w:r w:rsidR="00CF1E30">
              <w:rPr>
                <w:rStyle w:val="tlid-translation"/>
                <w:rFonts w:ascii="Roboto" w:hAnsi="Roboto"/>
                <w:sz w:val="20"/>
                <w:lang w:val="fr-FR"/>
              </w:rPr>
              <w:t xml:space="preserve">fournissant </w:t>
            </w:r>
            <w:r>
              <w:rPr>
                <w:rStyle w:val="tlid-translation"/>
                <w:rFonts w:ascii="Roboto" w:hAnsi="Roboto"/>
                <w:sz w:val="20"/>
                <w:lang w:val="fr-FR"/>
              </w:rPr>
              <w:t>de</w:t>
            </w:r>
            <w:r w:rsidR="00CF1E30">
              <w:rPr>
                <w:rStyle w:val="tlid-translation"/>
                <w:rFonts w:ascii="Roboto" w:hAnsi="Roboto"/>
                <w:sz w:val="20"/>
                <w:lang w:val="fr-FR"/>
              </w:rPr>
              <w:t>s</w:t>
            </w:r>
            <w:r>
              <w:rPr>
                <w:rStyle w:val="tlid-translation"/>
                <w:rFonts w:ascii="Roboto" w:hAnsi="Roboto"/>
                <w:sz w:val="20"/>
                <w:lang w:val="fr-FR"/>
              </w:rPr>
              <w:t xml:space="preserve"> renseignements</w:t>
            </w:r>
            <w:r w:rsidR="00CF1E30">
              <w:rPr>
                <w:rStyle w:val="tlid-translation"/>
                <w:rFonts w:ascii="Roboto" w:hAnsi="Roboto"/>
                <w:sz w:val="20"/>
                <w:lang w:val="fr-FR"/>
              </w:rPr>
              <w:t xml:space="preserve"> aux citoyens</w:t>
            </w:r>
            <w:r>
              <w:rPr>
                <w:rStyle w:val="tlid-translation"/>
                <w:rFonts w:ascii="Roboto" w:hAnsi="Roboto"/>
                <w:sz w:val="20"/>
                <w:lang w:val="fr-FR"/>
              </w:rPr>
              <w:t>, aux relations avec un prestataire de services externe et à la coordination avec les autres Directions Générales de la Commission.</w:t>
            </w:r>
          </w:p>
          <w:p w:rsidR="00206B85" w:rsidRDefault="00206B85" w:rsidP="004F08B5">
            <w:pPr>
              <w:ind w:left="-108" w:right="20"/>
              <w:rPr>
                <w:rStyle w:val="tlid-translation"/>
                <w:rFonts w:ascii="Roboto" w:hAnsi="Roboto"/>
                <w:sz w:val="20"/>
                <w:lang w:val="fr-FR"/>
              </w:rPr>
            </w:pPr>
          </w:p>
          <w:p w:rsidR="00554A76" w:rsidRPr="004F08B5" w:rsidRDefault="00206B85" w:rsidP="004F08B5">
            <w:pPr>
              <w:ind w:left="-108" w:right="20"/>
              <w:rPr>
                <w:rFonts w:ascii="Roboto" w:hAnsi="Roboto"/>
                <w:sz w:val="20"/>
                <w:lang w:val="fr-FR"/>
              </w:rPr>
            </w:pPr>
            <w:r>
              <w:rPr>
                <w:rStyle w:val="tlid-translation"/>
                <w:rFonts w:ascii="Roboto" w:hAnsi="Roboto"/>
                <w:sz w:val="20"/>
                <w:lang w:val="fr-FR"/>
              </w:rPr>
              <w:t>L'expert national détaché aidera également à coordonner les travaux de l'Unité en matière de mise en œuvre d'un ensemble d'exigences minimales simples, cohérentes et efficaces en matière de communication et de visibilit</w:t>
            </w:r>
            <w:r>
              <w:rPr>
                <w:rStyle w:val="tlid-translation"/>
                <w:rFonts w:ascii="Roboto" w:hAnsi="Roboto" w:hint="eastAsia"/>
                <w:sz w:val="20"/>
                <w:lang w:val="fr-FR"/>
              </w:rPr>
              <w:t>é</w:t>
            </w:r>
            <w:r>
              <w:rPr>
                <w:rStyle w:val="tlid-translation"/>
                <w:rFonts w:ascii="Roboto" w:hAnsi="Roboto"/>
                <w:sz w:val="20"/>
                <w:lang w:val="fr-FR"/>
              </w:rPr>
              <w:t xml:space="preserve"> dans les programmes de financement de l'UE.</w:t>
            </w: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110555">
            <w:pPr>
              <w:ind w:right="1317"/>
              <w:jc w:val="both"/>
              <w:rPr>
                <w:b/>
                <w:sz w:val="20"/>
              </w:rPr>
            </w:pPr>
          </w:p>
        </w:tc>
        <w:tc>
          <w:tcPr>
            <w:tcW w:w="8916" w:type="dxa"/>
            <w:gridSpan w:val="3"/>
            <w:tcBorders>
              <w:right w:val="single" w:sz="4" w:space="0" w:color="auto"/>
            </w:tcBorders>
            <w:shd w:val="clear" w:color="auto" w:fill="auto"/>
          </w:tcPr>
          <w:p w:rsidR="00554A76" w:rsidRPr="008262CD" w:rsidRDefault="00554A76" w:rsidP="00836F84">
            <w:pPr>
              <w:spacing w:before="100" w:beforeAutospacing="1" w:after="180"/>
              <w:jc w:val="both"/>
              <w:rPr>
                <w:b/>
                <w:sz w:val="20"/>
              </w:rPr>
            </w:pPr>
          </w:p>
        </w:tc>
      </w:tr>
      <w:tr w:rsidR="00554A76" w:rsidRPr="0059779D" w:rsidTr="004F08B5">
        <w:trPr>
          <w:gridAfter w:val="1"/>
          <w:wAfter w:w="14" w:type="dxa"/>
        </w:trPr>
        <w:tc>
          <w:tcPr>
            <w:tcW w:w="250" w:type="dxa"/>
            <w:tcBorders>
              <w:top w:val="single" w:sz="4" w:space="0" w:color="auto"/>
              <w:bottom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554A76" w:rsidRPr="0059779D" w:rsidRDefault="00554A76" w:rsidP="0059779D">
            <w:pPr>
              <w:ind w:right="1317"/>
              <w:jc w:val="both"/>
              <w:rPr>
                <w:b/>
                <w:sz w:val="20"/>
              </w:rPr>
            </w:pPr>
          </w:p>
        </w:tc>
      </w:tr>
      <w:tr w:rsidR="00554A76" w:rsidRPr="0059779D" w:rsidTr="004F08B5">
        <w:trPr>
          <w:gridAfter w:val="1"/>
          <w:wAfter w:w="14" w:type="dxa"/>
        </w:trPr>
        <w:tc>
          <w:tcPr>
            <w:tcW w:w="250" w:type="dxa"/>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59779D">
            <w:pPr>
              <w:ind w:right="1317"/>
              <w:jc w:val="both"/>
              <w:rPr>
                <w:b/>
                <w:sz w:val="20"/>
              </w:rPr>
            </w:pPr>
            <w:r w:rsidRPr="0059779D">
              <w:rPr>
                <w:b/>
                <w:sz w:val="20"/>
              </w:rPr>
              <w:t>2</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59779D">
            <w:pPr>
              <w:ind w:right="1317"/>
              <w:jc w:val="both"/>
              <w:rPr>
                <w:b/>
                <w:sz w:val="20"/>
              </w:rPr>
            </w:pPr>
            <w:r w:rsidRPr="0059779D">
              <w:rPr>
                <w:b/>
                <w:sz w:val="20"/>
              </w:rPr>
              <w:t>Qualifications requises :</w:t>
            </w:r>
          </w:p>
        </w:tc>
      </w:tr>
      <w:tr w:rsidR="00554A76" w:rsidRPr="0059779D" w:rsidTr="004F08B5">
        <w:trPr>
          <w:gridAfter w:val="1"/>
          <w:wAfter w:w="14" w:type="dxa"/>
        </w:trPr>
        <w:tc>
          <w:tcPr>
            <w:tcW w:w="250" w:type="dxa"/>
            <w:tcBorders>
              <w:top w:val="single" w:sz="4" w:space="0" w:color="auto"/>
              <w:left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554A76" w:rsidRPr="0059779D" w:rsidRDefault="00554A76" w:rsidP="0059779D">
            <w:pPr>
              <w:ind w:right="1317"/>
              <w:jc w:val="both"/>
              <w:rPr>
                <w:sz w:val="20"/>
              </w:rPr>
            </w:pPr>
          </w:p>
          <w:p w:rsidR="00554A76" w:rsidRPr="0059779D" w:rsidRDefault="00554A76" w:rsidP="0059779D">
            <w:pPr>
              <w:ind w:right="1317"/>
              <w:jc w:val="both"/>
              <w:rPr>
                <w:sz w:val="20"/>
              </w:rPr>
            </w:pPr>
            <w:r w:rsidRPr="0059779D">
              <w:rPr>
                <w:sz w:val="20"/>
              </w:rPr>
              <w:t>a) Critères d'éligibilité</w:t>
            </w: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Pr="0059779D" w:rsidRDefault="00554A76" w:rsidP="0059779D">
            <w:pPr>
              <w:ind w:right="1317"/>
              <w:jc w:val="both"/>
              <w:rPr>
                <w:b/>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Pr="0059779D" w:rsidRDefault="00554A76" w:rsidP="0059779D">
            <w:pPr>
              <w:ind w:left="48" w:right="161"/>
              <w:jc w:val="both"/>
              <w:rPr>
                <w:sz w:val="20"/>
              </w:rPr>
            </w:pPr>
            <w:r w:rsidRPr="0059779D">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554A76" w:rsidRPr="0059779D" w:rsidRDefault="00554A76" w:rsidP="00DF3FDD">
            <w:pPr>
              <w:ind w:right="161"/>
              <w:jc w:val="both"/>
              <w:rPr>
                <w:sz w:val="20"/>
              </w:rPr>
            </w:pPr>
          </w:p>
          <w:p w:rsidR="00554A76" w:rsidRPr="0059779D" w:rsidRDefault="00554A76" w:rsidP="0059779D">
            <w:pPr>
              <w:ind w:left="473" w:right="161" w:hanging="473"/>
              <w:jc w:val="both"/>
              <w:rPr>
                <w:sz w:val="20"/>
              </w:rPr>
            </w:pPr>
            <w:r w:rsidRPr="0059779D">
              <w:rPr>
                <w:sz w:val="20"/>
              </w:rPr>
              <w:t>•</w:t>
            </w:r>
            <w:r w:rsidRPr="0059779D">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554A76" w:rsidRPr="0059779D" w:rsidRDefault="00554A76" w:rsidP="0059779D">
            <w:pPr>
              <w:ind w:left="473" w:right="161" w:hanging="473"/>
              <w:jc w:val="both"/>
              <w:rPr>
                <w:sz w:val="20"/>
              </w:rPr>
            </w:pPr>
          </w:p>
          <w:p w:rsidR="00554A76" w:rsidRPr="0059779D" w:rsidRDefault="00554A76" w:rsidP="0059779D">
            <w:pPr>
              <w:ind w:left="473" w:right="161" w:hanging="473"/>
              <w:jc w:val="both"/>
              <w:rPr>
                <w:sz w:val="20"/>
              </w:rPr>
            </w:pPr>
            <w:r w:rsidRPr="0059779D">
              <w:rPr>
                <w:sz w:val="20"/>
              </w:rPr>
              <w:t>•</w:t>
            </w:r>
            <w:r w:rsidRPr="0059779D">
              <w:rPr>
                <w:sz w:val="20"/>
              </w:rPr>
              <w:tab/>
              <w:t>Ancienneté de service</w:t>
            </w:r>
            <w:r>
              <w:rPr>
                <w:sz w:val="20"/>
              </w:rPr>
              <w:t xml:space="preserve"> </w:t>
            </w:r>
            <w:r w:rsidRPr="0059779D">
              <w:rPr>
                <w:sz w:val="20"/>
              </w:rPr>
              <w:t>: avoir une ancienneté d'au moins un an auprès de son employeur, c'est-à-dire être employé depuis au moins un an par un employeur éligible au sens de l'article 1 de la décision END</w:t>
            </w:r>
            <w:r>
              <w:rPr>
                <w:sz w:val="20"/>
              </w:rPr>
              <w:t>, sur base contractuelle ou statutaire;</w:t>
            </w:r>
            <w:r w:rsidRPr="0059779D">
              <w:rPr>
                <w:sz w:val="20"/>
              </w:rPr>
              <w:t xml:space="preserve"> </w:t>
            </w:r>
          </w:p>
          <w:p w:rsidR="00554A76" w:rsidRPr="0059779D" w:rsidRDefault="00554A76" w:rsidP="0059779D">
            <w:pPr>
              <w:ind w:left="473" w:right="161" w:hanging="473"/>
              <w:jc w:val="both"/>
              <w:rPr>
                <w:sz w:val="20"/>
              </w:rPr>
            </w:pPr>
          </w:p>
          <w:p w:rsidR="00554A76" w:rsidRPr="0059779D" w:rsidRDefault="00554A76" w:rsidP="005D6462">
            <w:pPr>
              <w:ind w:left="473" w:right="161" w:hanging="473"/>
              <w:jc w:val="both"/>
              <w:rPr>
                <w:sz w:val="20"/>
              </w:rPr>
            </w:pPr>
            <w:r w:rsidRPr="0059779D">
              <w:rPr>
                <w:sz w:val="20"/>
              </w:rPr>
              <w:t>•</w:t>
            </w:r>
            <w:r w:rsidRPr="0059779D">
              <w:rPr>
                <w:sz w:val="20"/>
              </w:rPr>
              <w:tab/>
              <w:t xml:space="preserve">Compétences linguistiques : avoir une connaissance approfondie d'une des langues </w:t>
            </w:r>
            <w:r>
              <w:rPr>
                <w:sz w:val="20"/>
              </w:rPr>
              <w:t>de l'Union européenne</w:t>
            </w:r>
            <w:r w:rsidRPr="0059779D">
              <w:rPr>
                <w:sz w:val="20"/>
              </w:rPr>
              <w:t xml:space="preserv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Pr="0059779D" w:rsidRDefault="00554A76" w:rsidP="0059779D">
            <w:pPr>
              <w:ind w:right="1317"/>
              <w:jc w:val="both"/>
              <w:rPr>
                <w:b/>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Default="00554A76" w:rsidP="00110A6A">
            <w:pPr>
              <w:tabs>
                <w:tab w:val="left" w:pos="317"/>
              </w:tabs>
              <w:ind w:right="1317"/>
              <w:jc w:val="both"/>
              <w:rPr>
                <w:sz w:val="20"/>
              </w:rPr>
            </w:pPr>
            <w:r>
              <w:rPr>
                <w:sz w:val="20"/>
              </w:rPr>
              <w:t>b)</w:t>
            </w:r>
            <w:r>
              <w:rPr>
                <w:sz w:val="20"/>
              </w:rPr>
              <w:tab/>
            </w:r>
            <w:r w:rsidRPr="0059779D">
              <w:rPr>
                <w:sz w:val="20"/>
              </w:rPr>
              <w:t>Critères de sélection</w:t>
            </w:r>
          </w:p>
          <w:p w:rsidR="00554A76" w:rsidRPr="0059779D" w:rsidRDefault="00554A76" w:rsidP="0059779D">
            <w:pPr>
              <w:ind w:right="1317"/>
              <w:jc w:val="both"/>
              <w:rPr>
                <w:sz w:val="20"/>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Pr="001653AB" w:rsidRDefault="00554A76" w:rsidP="004F08B5">
            <w:pPr>
              <w:tabs>
                <w:tab w:val="left" w:pos="317"/>
              </w:tabs>
              <w:ind w:right="161"/>
              <w:jc w:val="both"/>
              <w:rPr>
                <w:sz w:val="20"/>
              </w:rPr>
            </w:pPr>
            <w:r>
              <w:rPr>
                <w:sz w:val="20"/>
              </w:rPr>
              <w:tab/>
            </w:r>
            <w:r w:rsidRPr="009F57AC">
              <w:rPr>
                <w:sz w:val="20"/>
              </w:rPr>
              <w:t>Diplôme</w:t>
            </w:r>
            <w:r>
              <w:rPr>
                <w:sz w:val="20"/>
              </w:rPr>
              <w:t xml:space="preserve"> :</w:t>
            </w:r>
          </w:p>
          <w:p w:rsidR="00554A76" w:rsidRDefault="00554A76" w:rsidP="004F08B5">
            <w:pPr>
              <w:tabs>
                <w:tab w:val="left" w:pos="317"/>
              </w:tabs>
              <w:ind w:right="161"/>
              <w:jc w:val="both"/>
              <w:rPr>
                <w:sz w:val="20"/>
              </w:rPr>
            </w:pPr>
            <w:r>
              <w:rPr>
                <w:sz w:val="20"/>
              </w:rPr>
              <w:tab/>
              <w:t xml:space="preserve">- </w:t>
            </w:r>
            <w:r w:rsidRPr="00110A6A">
              <w:rPr>
                <w:sz w:val="20"/>
              </w:rPr>
              <w:t xml:space="preserve">diplôme universitaire ou </w:t>
            </w:r>
          </w:p>
          <w:p w:rsidR="00554A76" w:rsidRDefault="00554A76" w:rsidP="004F08B5">
            <w:pPr>
              <w:tabs>
                <w:tab w:val="left" w:pos="317"/>
              </w:tabs>
              <w:ind w:right="161"/>
              <w:jc w:val="both"/>
              <w:rPr>
                <w:sz w:val="20"/>
              </w:rPr>
            </w:pPr>
            <w:r>
              <w:rPr>
                <w:sz w:val="20"/>
              </w:rPr>
              <w:tab/>
              <w:t xml:space="preserve">- </w:t>
            </w:r>
            <w:r w:rsidRPr="00110A6A">
              <w:rPr>
                <w:sz w:val="20"/>
              </w:rPr>
              <w:t>formation professionnelle ou expérience professionnelle de niveau équivalent</w:t>
            </w:r>
          </w:p>
          <w:p w:rsidR="00554A76" w:rsidRDefault="00554A76" w:rsidP="004F08B5">
            <w:pPr>
              <w:tabs>
                <w:tab w:val="left" w:pos="317"/>
              </w:tabs>
              <w:ind w:right="161"/>
              <w:jc w:val="both"/>
              <w:rPr>
                <w:sz w:val="20"/>
              </w:rPr>
            </w:pPr>
          </w:p>
          <w:p w:rsidR="00554A76" w:rsidRPr="001653AB" w:rsidRDefault="00554A76" w:rsidP="004F08B5">
            <w:pPr>
              <w:tabs>
                <w:tab w:val="left" w:pos="317"/>
              </w:tabs>
              <w:ind w:right="161"/>
              <w:jc w:val="both"/>
              <w:rPr>
                <w:sz w:val="20"/>
              </w:rPr>
            </w:pPr>
            <w:r w:rsidRPr="007D0494">
              <w:rPr>
                <w:sz w:val="20"/>
              </w:rPr>
              <w:t xml:space="preserve">dans le(s) domaine(s) </w:t>
            </w:r>
            <w:r w:rsidR="00206B85" w:rsidRPr="007D0494">
              <w:rPr>
                <w:sz w:val="20"/>
              </w:rPr>
              <w:t>de</w:t>
            </w:r>
            <w:r w:rsidR="00206B85">
              <w:rPr>
                <w:sz w:val="20"/>
              </w:rPr>
              <w:t xml:space="preserve"> la communication, du journalisme, de l'histoire, des sciences humaines, des sciences politiques, des affaires de l'UE, des relations internationales/européennes, de l'économie, de la sociologie, de l'anthropologie, de la philosophie</w:t>
            </w:r>
            <w:r w:rsidR="00EA06BB">
              <w:rPr>
                <w:sz w:val="20"/>
              </w:rPr>
              <w:t xml:space="preserve"> ou autres domaines similaires</w:t>
            </w:r>
            <w:r w:rsidR="00206B85">
              <w:rPr>
                <w:sz w:val="20"/>
              </w:rPr>
              <w:t xml:space="preserve"> </w:t>
            </w:r>
          </w:p>
          <w:p w:rsidR="00554A76" w:rsidRPr="00257D51" w:rsidRDefault="00554A76" w:rsidP="004F08B5">
            <w:pPr>
              <w:tabs>
                <w:tab w:val="left" w:pos="8539"/>
              </w:tabs>
              <w:ind w:right="161"/>
              <w:jc w:val="both"/>
              <w:rPr>
                <w:sz w:val="20"/>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Pr="00257D51" w:rsidRDefault="00554A76" w:rsidP="004F08B5">
            <w:pPr>
              <w:tabs>
                <w:tab w:val="left" w:pos="8539"/>
              </w:tabs>
              <w:ind w:right="161"/>
              <w:jc w:val="both"/>
              <w:rPr>
                <w:sz w:val="20"/>
              </w:rPr>
            </w:pPr>
          </w:p>
        </w:tc>
      </w:tr>
      <w:tr w:rsidR="00554A76" w:rsidRPr="0059779D" w:rsidTr="004F08B5">
        <w:trPr>
          <w:gridAfter w:val="1"/>
          <w:wAfter w:w="14" w:type="dxa"/>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Default="00554A76" w:rsidP="004F08B5">
            <w:pPr>
              <w:tabs>
                <w:tab w:val="left" w:pos="317"/>
              </w:tabs>
              <w:ind w:right="161"/>
              <w:jc w:val="both"/>
              <w:rPr>
                <w:sz w:val="20"/>
              </w:rPr>
            </w:pPr>
            <w:r w:rsidRPr="007D0494">
              <w:rPr>
                <w:sz w:val="20"/>
              </w:rPr>
              <w:t xml:space="preserve">Expérience professionnelle: </w:t>
            </w:r>
            <w:r w:rsidR="00206B85" w:rsidRPr="00206B85">
              <w:rPr>
                <w:sz w:val="20"/>
              </w:rPr>
              <w:t>au moins cinq ans d</w:t>
            </w:r>
            <w:r w:rsidR="00206B85">
              <w:rPr>
                <w:sz w:val="20"/>
              </w:rPr>
              <w:t>'expérience professionnelle pertinente</w:t>
            </w:r>
            <w:r w:rsidR="007D0494">
              <w:rPr>
                <w:sz w:val="20"/>
              </w:rPr>
              <w:t>, avec une très forte dimension communication</w:t>
            </w:r>
          </w:p>
          <w:p w:rsidR="00554A76" w:rsidRPr="00BD4203" w:rsidRDefault="00554A76" w:rsidP="004F08B5">
            <w:pPr>
              <w:tabs>
                <w:tab w:val="left" w:pos="8539"/>
              </w:tabs>
              <w:ind w:right="161"/>
              <w:jc w:val="both"/>
              <w:rPr>
                <w:sz w:val="20"/>
              </w:rPr>
            </w:pPr>
          </w:p>
        </w:tc>
      </w:tr>
      <w:tr w:rsidR="00554A76" w:rsidRPr="0059779D" w:rsidTr="004F08B5">
        <w:trPr>
          <w:gridAfter w:val="1"/>
          <w:wAfter w:w="14" w:type="dxa"/>
          <w:trHeight w:val="95"/>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Pr="00BD4203" w:rsidRDefault="00554A76" w:rsidP="004F08B5">
            <w:pPr>
              <w:ind w:right="161"/>
              <w:jc w:val="both"/>
            </w:pPr>
          </w:p>
        </w:tc>
      </w:tr>
      <w:tr w:rsidR="00554A76" w:rsidRPr="0059779D" w:rsidTr="004F08B5">
        <w:trPr>
          <w:gridAfter w:val="1"/>
          <w:wAfter w:w="14" w:type="dxa"/>
          <w:trHeight w:val="95"/>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Pr="008B38B2" w:rsidRDefault="00554A76" w:rsidP="004F08B5">
            <w:pPr>
              <w:tabs>
                <w:tab w:val="left" w:pos="317"/>
              </w:tabs>
              <w:ind w:right="161"/>
              <w:jc w:val="both"/>
            </w:pPr>
            <w:r w:rsidRPr="007D0494">
              <w:rPr>
                <w:sz w:val="20"/>
              </w:rPr>
              <w:t>Langue(s) nécessaire(s) pour l'accomplissement des tâches:</w:t>
            </w:r>
            <w:r w:rsidR="007D0494" w:rsidRPr="007D0494">
              <w:rPr>
                <w:sz w:val="20"/>
              </w:rPr>
              <w:t xml:space="preserve"> Anglais (niveau minimum C1) –</w:t>
            </w:r>
            <w:r w:rsidR="00EA06BB">
              <w:rPr>
                <w:sz w:val="20"/>
              </w:rPr>
              <w:t xml:space="preserve"> L</w:t>
            </w:r>
            <w:r w:rsidR="007D0494" w:rsidRPr="007D0494">
              <w:rPr>
                <w:sz w:val="20"/>
              </w:rPr>
              <w:t>a connaissance du Français a un avantage certain.</w:t>
            </w:r>
            <w:r w:rsidR="004F08B5" w:rsidRPr="008B38B2">
              <w:t xml:space="preserve"> </w:t>
            </w:r>
          </w:p>
        </w:tc>
      </w:tr>
      <w:tr w:rsidR="00554A76" w:rsidRPr="0059779D" w:rsidTr="004F08B5">
        <w:trPr>
          <w:gridAfter w:val="1"/>
          <w:wAfter w:w="14" w:type="dxa"/>
          <w:trHeight w:val="95"/>
        </w:trPr>
        <w:tc>
          <w:tcPr>
            <w:tcW w:w="250" w:type="dxa"/>
            <w:tcBorders>
              <w:left w:val="single" w:sz="4" w:space="0" w:color="auto"/>
            </w:tcBorders>
            <w:shd w:val="clear" w:color="auto" w:fill="auto"/>
          </w:tcPr>
          <w:p w:rsidR="00554A76" w:rsidRPr="0059779D" w:rsidRDefault="00554A76" w:rsidP="0059779D">
            <w:pPr>
              <w:ind w:right="1317"/>
              <w:jc w:val="both"/>
              <w:rPr>
                <w:b/>
              </w:rPr>
            </w:pPr>
          </w:p>
        </w:tc>
        <w:tc>
          <w:tcPr>
            <w:tcW w:w="8916" w:type="dxa"/>
            <w:gridSpan w:val="3"/>
            <w:tcBorders>
              <w:left w:val="nil"/>
              <w:right w:val="single" w:sz="4" w:space="0" w:color="auto"/>
            </w:tcBorders>
            <w:shd w:val="clear" w:color="auto" w:fill="auto"/>
          </w:tcPr>
          <w:p w:rsidR="00554A76" w:rsidRPr="0059779D" w:rsidRDefault="00554A76" w:rsidP="0059779D">
            <w:pPr>
              <w:ind w:right="161"/>
              <w:jc w:val="both"/>
              <w:rPr>
                <w:b/>
              </w:rPr>
            </w:pPr>
          </w:p>
        </w:tc>
      </w:tr>
      <w:tr w:rsidR="00554A76" w:rsidRPr="0059779D" w:rsidTr="004F08B5">
        <w:trPr>
          <w:gridAfter w:val="1"/>
          <w:wAfter w:w="14" w:type="dxa"/>
        </w:trPr>
        <w:tc>
          <w:tcPr>
            <w:tcW w:w="250" w:type="dxa"/>
            <w:tcBorders>
              <w:left w:val="single" w:sz="4" w:space="0" w:color="auto"/>
              <w:bottom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554A76" w:rsidRPr="0059779D" w:rsidRDefault="00554A76" w:rsidP="0059779D">
            <w:pPr>
              <w:ind w:right="1317"/>
              <w:jc w:val="both"/>
              <w:rPr>
                <w:b/>
                <w:sz w:val="20"/>
              </w:rPr>
            </w:pPr>
          </w:p>
        </w:tc>
      </w:tr>
      <w:tr w:rsidR="00554A76" w:rsidRPr="0059779D" w:rsidTr="004F08B5">
        <w:trPr>
          <w:gridAfter w:val="1"/>
          <w:wAfter w:w="14" w:type="dxa"/>
        </w:trPr>
        <w:tc>
          <w:tcPr>
            <w:tcW w:w="250" w:type="dxa"/>
            <w:tcBorders>
              <w:top w:val="single" w:sz="4" w:space="0" w:color="auto"/>
              <w:bottom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554A76" w:rsidRPr="0059779D" w:rsidRDefault="00554A76" w:rsidP="0059779D">
            <w:pPr>
              <w:ind w:right="1317"/>
              <w:jc w:val="both"/>
              <w:rPr>
                <w:b/>
                <w:sz w:val="20"/>
              </w:rPr>
            </w:pPr>
          </w:p>
        </w:tc>
      </w:tr>
      <w:tr w:rsidR="00554A76" w:rsidRPr="0059779D" w:rsidTr="004F08B5">
        <w:trPr>
          <w:gridAfter w:val="1"/>
          <w:wAfter w:w="14" w:type="dxa"/>
        </w:trPr>
        <w:tc>
          <w:tcPr>
            <w:tcW w:w="250" w:type="dxa"/>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59779D">
            <w:pPr>
              <w:ind w:right="1317"/>
              <w:jc w:val="both"/>
              <w:rPr>
                <w:b/>
                <w:sz w:val="20"/>
              </w:rPr>
            </w:pPr>
            <w:r w:rsidRPr="0059779D">
              <w:rPr>
                <w:b/>
                <w:sz w:val="20"/>
              </w:rPr>
              <w:t>3</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59779D">
            <w:pPr>
              <w:ind w:right="1317"/>
              <w:jc w:val="both"/>
              <w:rPr>
                <w:b/>
                <w:sz w:val="20"/>
              </w:rPr>
            </w:pPr>
            <w:r w:rsidRPr="0059779D">
              <w:rPr>
                <w:b/>
                <w:sz w:val="20"/>
              </w:rPr>
              <w:t>Soumission des candidatures</w:t>
            </w:r>
            <w:r>
              <w:rPr>
                <w:b/>
                <w:sz w:val="20"/>
              </w:rPr>
              <w:t xml:space="preserve"> et procédure de sélection</w:t>
            </w:r>
          </w:p>
        </w:tc>
      </w:tr>
      <w:tr w:rsidR="00554A76" w:rsidRPr="0059779D" w:rsidTr="004F08B5">
        <w:trPr>
          <w:gridAfter w:val="1"/>
          <w:wAfter w:w="14" w:type="dxa"/>
        </w:trPr>
        <w:tc>
          <w:tcPr>
            <w:tcW w:w="250" w:type="dxa"/>
            <w:tcBorders>
              <w:top w:val="single" w:sz="4" w:space="0" w:color="auto"/>
              <w:left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554A76" w:rsidRDefault="00554A76" w:rsidP="00DB7D07">
            <w:pPr>
              <w:ind w:right="175"/>
              <w:jc w:val="both"/>
              <w:rPr>
                <w:sz w:val="20"/>
              </w:rPr>
            </w:pPr>
          </w:p>
          <w:p w:rsidR="00554A76" w:rsidRPr="0059779D" w:rsidRDefault="00554A76" w:rsidP="00AB2358">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11" w:history="1">
              <w:r w:rsidRPr="00DF3FDD">
                <w:rPr>
                  <w:rStyle w:val="Hyperlink"/>
                  <w:sz w:val="20"/>
                </w:rPr>
                <w:t>http://europass.cedefop.europa.eu/fr/documents/curriculum-vitae</w:t>
              </w:r>
            </w:hyperlink>
            <w:r w:rsidRPr="00DF3FDD">
              <w:rPr>
                <w:sz w:val="20"/>
              </w:rPr>
              <w:t>)</w:t>
            </w:r>
            <w:r w:rsidRPr="0059779D">
              <w:rPr>
                <w:b/>
                <w:sz w:val="20"/>
              </w:rPr>
              <w:t xml:space="preserve"> </w:t>
            </w:r>
            <w:r w:rsidRPr="00B25175">
              <w:rPr>
                <w:sz w:val="20"/>
              </w:rPr>
              <w:t>en français, anglais ou allemand</w:t>
            </w:r>
            <w:r>
              <w:rPr>
                <w:b/>
                <w:sz w:val="20"/>
              </w:rPr>
              <w:t xml:space="preserve"> </w:t>
            </w:r>
            <w:r w:rsidRPr="00B25175">
              <w:rPr>
                <w:b/>
                <w:sz w:val="20"/>
                <w:u w:val="single"/>
              </w:rPr>
              <w:t xml:space="preserve">uniquement à la Représentation Permanente / Mission diplomatique de leur pays auprès de </w:t>
            </w:r>
            <w:r>
              <w:rPr>
                <w:b/>
                <w:sz w:val="20"/>
                <w:u w:val="single"/>
              </w:rPr>
              <w:t>l'UE</w:t>
            </w:r>
            <w:r w:rsidRPr="00DF3FDD">
              <w:rPr>
                <w:sz w:val="20"/>
              </w:rPr>
              <w:t>,</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non respect de cette procédure ou des délais invalidera automatiquement </w:t>
            </w:r>
            <w:r>
              <w:rPr>
                <w:b/>
                <w:sz w:val="20"/>
              </w:rPr>
              <w:t>la</w:t>
            </w:r>
            <w:r w:rsidRPr="0059779D">
              <w:rPr>
                <w:b/>
                <w:sz w:val="20"/>
              </w:rPr>
              <w:t xml:space="preserve"> candidature. </w:t>
            </w:r>
            <w:r w:rsidRPr="00DF3FDD">
              <w:rPr>
                <w:sz w:val="20"/>
              </w:rPr>
              <w:t>Les candidats sont priés de ne pas joindre à leur candidature d'autres documents</w:t>
            </w:r>
            <w:r w:rsidRPr="0059779D">
              <w:rPr>
                <w:b/>
                <w:sz w:val="20"/>
              </w:rPr>
              <w:t xml:space="preserve"> </w:t>
            </w:r>
            <w:r w:rsidRPr="0059779D">
              <w:rPr>
                <w:sz w:val="20"/>
              </w:rPr>
              <w:t>(tels que copie de carte d'identité, copie des diplômes et attestations d'expérience professionnelle,…). Ces documents leur seront demandés, le cas échéant, à un stade ultérieur de la procédure de sélection.</w:t>
            </w:r>
          </w:p>
        </w:tc>
      </w:tr>
      <w:tr w:rsidR="00554A76" w:rsidRPr="0059779D" w:rsidTr="004F08B5">
        <w:trPr>
          <w:gridAfter w:val="1"/>
          <w:wAfter w:w="14" w:type="dxa"/>
        </w:trPr>
        <w:tc>
          <w:tcPr>
            <w:tcW w:w="250" w:type="dxa"/>
            <w:tcBorders>
              <w:left w:val="single" w:sz="4" w:space="0" w:color="auto"/>
              <w:bottom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554A76" w:rsidRPr="004B0250" w:rsidRDefault="00554A76" w:rsidP="00F25489">
            <w:pPr>
              <w:ind w:right="175"/>
              <w:jc w:val="both"/>
              <w:rPr>
                <w:sz w:val="20"/>
              </w:rPr>
            </w:pPr>
            <w:r w:rsidRPr="004B0250">
              <w:rPr>
                <w:sz w:val="20"/>
              </w:rPr>
              <w:t>Les candidats seront informés du suivi de leur candidature par l'unité concernée.</w:t>
            </w:r>
          </w:p>
          <w:p w:rsidR="00554A76" w:rsidRPr="004B0250" w:rsidRDefault="00554A76" w:rsidP="00F25489">
            <w:pPr>
              <w:ind w:right="175"/>
              <w:jc w:val="both"/>
              <w:rPr>
                <w:b/>
                <w:sz w:val="20"/>
              </w:rPr>
            </w:pPr>
          </w:p>
        </w:tc>
      </w:tr>
      <w:tr w:rsidR="00554A76" w:rsidRPr="0059779D" w:rsidTr="004F08B5">
        <w:trPr>
          <w:gridAfter w:val="1"/>
          <w:wAfter w:w="14" w:type="dxa"/>
        </w:trPr>
        <w:tc>
          <w:tcPr>
            <w:tcW w:w="250" w:type="dxa"/>
            <w:tcBorders>
              <w:top w:val="single" w:sz="4" w:space="0" w:color="auto"/>
              <w:bottom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554A76" w:rsidRPr="0059779D" w:rsidRDefault="00554A76" w:rsidP="0059779D">
            <w:pPr>
              <w:ind w:right="175"/>
              <w:jc w:val="both"/>
              <w:rPr>
                <w:b/>
                <w:sz w:val="20"/>
              </w:rPr>
            </w:pPr>
          </w:p>
        </w:tc>
      </w:tr>
      <w:tr w:rsidR="00554A76" w:rsidRPr="0059779D" w:rsidTr="004F08B5">
        <w:trPr>
          <w:gridAfter w:val="1"/>
          <w:wAfter w:w="14" w:type="dxa"/>
        </w:trPr>
        <w:tc>
          <w:tcPr>
            <w:tcW w:w="250" w:type="dxa"/>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59779D">
            <w:pPr>
              <w:ind w:right="1317"/>
              <w:jc w:val="both"/>
              <w:rPr>
                <w:b/>
                <w:sz w:val="20"/>
              </w:rPr>
            </w:pPr>
            <w:r w:rsidRPr="0059779D">
              <w:rPr>
                <w:b/>
                <w:sz w:val="20"/>
              </w:rPr>
              <w:t>4</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59779D">
            <w:pPr>
              <w:ind w:right="175"/>
              <w:jc w:val="both"/>
              <w:rPr>
                <w:b/>
                <w:sz w:val="20"/>
              </w:rPr>
            </w:pPr>
            <w:r w:rsidRPr="0059779D">
              <w:rPr>
                <w:b/>
                <w:sz w:val="20"/>
              </w:rPr>
              <w:t>Conditions du détachement</w:t>
            </w:r>
          </w:p>
        </w:tc>
      </w:tr>
      <w:tr w:rsidR="00554A76" w:rsidRPr="0059779D" w:rsidTr="004F08B5">
        <w:trPr>
          <w:gridAfter w:val="1"/>
          <w:wAfter w:w="14" w:type="dxa"/>
        </w:trPr>
        <w:tc>
          <w:tcPr>
            <w:tcW w:w="250" w:type="dxa"/>
            <w:tcBorders>
              <w:top w:val="single" w:sz="4" w:space="0" w:color="auto"/>
              <w:left w:val="single" w:sz="4" w:space="0" w:color="auto"/>
              <w:bottom w:val="single" w:sz="4" w:space="0" w:color="auto"/>
            </w:tcBorders>
            <w:shd w:val="clear" w:color="auto" w:fill="auto"/>
          </w:tcPr>
          <w:p w:rsidR="00554A76" w:rsidRPr="0059779D" w:rsidRDefault="00554A76"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554A76" w:rsidRDefault="00554A76" w:rsidP="00CF55F6">
            <w:pPr>
              <w:ind w:right="175"/>
              <w:jc w:val="both"/>
              <w:rPr>
                <w:sz w:val="20"/>
              </w:rPr>
            </w:pPr>
          </w:p>
          <w:p w:rsidR="00554A76" w:rsidRPr="0059779D" w:rsidRDefault="00554A76" w:rsidP="00CF55F6">
            <w:pPr>
              <w:ind w:right="175"/>
              <w:jc w:val="both"/>
              <w:rPr>
                <w:sz w:val="20"/>
              </w:rPr>
            </w:pPr>
            <w:r w:rsidRPr="0059779D">
              <w:rPr>
                <w:sz w:val="20"/>
              </w:rPr>
              <w:t xml:space="preserve">Les détachements sont régis par la </w:t>
            </w:r>
            <w:r w:rsidRPr="00D459AB">
              <w:rPr>
                <w:b/>
                <w:sz w:val="20"/>
              </w:rPr>
              <w:t>décision de la Commission C(2008)6866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12" w:history="1">
              <w:r w:rsidRPr="00D85988">
                <w:rPr>
                  <w:rStyle w:val="Hyperlink"/>
                  <w:sz w:val="20"/>
                </w:rPr>
                <w:t>http://ec.europa.eu/civil_service/job/sne/index_fr.htm</w:t>
              </w:r>
            </w:hyperlink>
            <w:r w:rsidRPr="0059779D">
              <w:rPr>
                <w:sz w:val="20"/>
              </w:rPr>
              <w:t>.</w:t>
            </w:r>
          </w:p>
          <w:p w:rsidR="00554A76" w:rsidRPr="0059779D" w:rsidRDefault="00554A76" w:rsidP="0059779D">
            <w:pPr>
              <w:ind w:right="175"/>
              <w:jc w:val="both"/>
              <w:rPr>
                <w:sz w:val="20"/>
              </w:rPr>
            </w:pPr>
            <w:r w:rsidRPr="0059779D">
              <w:rPr>
                <w:sz w:val="20"/>
              </w:rPr>
              <w:t>L'END restera employé et rémunéré par son employeur durant toute la durée du détachement. Il restera également couvert par la sécurité sociale nationale durant son détachement.</w:t>
            </w:r>
          </w:p>
          <w:p w:rsidR="00554A76" w:rsidRPr="0059779D" w:rsidRDefault="00554A76" w:rsidP="0059779D">
            <w:pPr>
              <w:ind w:right="175"/>
              <w:jc w:val="both"/>
              <w:rPr>
                <w:sz w:val="20"/>
              </w:rPr>
            </w:pPr>
            <w:r w:rsidRPr="0059779D">
              <w:rPr>
                <w:sz w:val="20"/>
              </w:rPr>
              <w:t>Sauf pour les END sans frais, des indemnités de séjour peuvent être versées à l'END qui en remplit les conditions conformément à l'article 17 de la décision END.</w:t>
            </w:r>
          </w:p>
          <w:p w:rsidR="00554A76" w:rsidRDefault="00554A76" w:rsidP="0059779D">
            <w:pPr>
              <w:ind w:right="175"/>
              <w:jc w:val="both"/>
              <w:rPr>
                <w:sz w:val="20"/>
              </w:rPr>
            </w:pPr>
            <w:r>
              <w:rPr>
                <w:sz w:val="20"/>
              </w:rPr>
              <w:t>Durant le détachement, l'END sera soumis aux obligations de confidentialité, de loyauté et d'absence de conflit d'intérêt prévues par les articles 6 et 7 de la décision END.</w:t>
            </w:r>
          </w:p>
          <w:p w:rsidR="00554A76" w:rsidRPr="0059779D" w:rsidRDefault="00554A76" w:rsidP="00D85988">
            <w:pPr>
              <w:pStyle w:val="ListBullet"/>
              <w:numPr>
                <w:ilvl w:val="0"/>
                <w:numId w:val="0"/>
              </w:numPr>
              <w:ind w:right="161"/>
              <w:rPr>
                <w:sz w:val="20"/>
              </w:rPr>
            </w:pPr>
            <w:r>
              <w:rPr>
                <w:bCs/>
                <w:sz w:val="20"/>
              </w:rPr>
              <w:t>Toute déclaration incomplète ou fausse pourra entraîner le refus de la candidature.</w:t>
            </w:r>
          </w:p>
        </w:tc>
      </w:tr>
      <w:tr w:rsidR="00554A76" w:rsidRPr="0059779D" w:rsidTr="004F08B5">
        <w:tc>
          <w:tcPr>
            <w:tcW w:w="250" w:type="dxa"/>
            <w:tcBorders>
              <w:bottom w:val="single" w:sz="4" w:space="0" w:color="auto"/>
            </w:tcBorders>
            <w:shd w:val="clear" w:color="auto" w:fill="auto"/>
          </w:tcPr>
          <w:p w:rsidR="00554A76" w:rsidRPr="0059779D" w:rsidRDefault="00554A76" w:rsidP="0059779D">
            <w:pPr>
              <w:ind w:right="1317"/>
              <w:jc w:val="both"/>
              <w:rPr>
                <w:b/>
                <w:sz w:val="20"/>
              </w:rPr>
            </w:pPr>
          </w:p>
        </w:tc>
        <w:tc>
          <w:tcPr>
            <w:tcW w:w="8930" w:type="dxa"/>
            <w:gridSpan w:val="4"/>
            <w:tcBorders>
              <w:bottom w:val="single" w:sz="4" w:space="0" w:color="auto"/>
            </w:tcBorders>
            <w:shd w:val="clear" w:color="auto" w:fill="auto"/>
          </w:tcPr>
          <w:p w:rsidR="00554A76" w:rsidRPr="0059779D" w:rsidRDefault="00554A76" w:rsidP="0059779D">
            <w:pPr>
              <w:ind w:left="473"/>
              <w:jc w:val="both"/>
              <w:rPr>
                <w:sz w:val="20"/>
              </w:rPr>
            </w:pPr>
          </w:p>
        </w:tc>
      </w:tr>
      <w:tr w:rsidR="00554A76" w:rsidRPr="0059779D" w:rsidTr="004F08B5">
        <w:tc>
          <w:tcPr>
            <w:tcW w:w="250" w:type="dxa"/>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59779D">
            <w:pPr>
              <w:ind w:right="1317"/>
              <w:jc w:val="both"/>
              <w:rPr>
                <w:b/>
                <w:sz w:val="20"/>
              </w:rPr>
            </w:pPr>
            <w:r w:rsidRPr="0059779D">
              <w:rPr>
                <w:b/>
                <w:sz w:val="20"/>
              </w:rPr>
              <w:t>5</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554A76" w:rsidRPr="0059779D" w:rsidRDefault="00554A76" w:rsidP="00E3586A">
            <w:pPr>
              <w:pStyle w:val="Footer"/>
              <w:rPr>
                <w:b/>
                <w:sz w:val="20"/>
              </w:rPr>
            </w:pPr>
            <w:r w:rsidRPr="0059779D">
              <w:rPr>
                <w:b/>
                <w:sz w:val="20"/>
              </w:rPr>
              <w:t>Traitement des données à caractère personnel :</w:t>
            </w:r>
          </w:p>
        </w:tc>
      </w:tr>
      <w:tr w:rsidR="00554A76" w:rsidRPr="0059779D" w:rsidTr="004F08B5">
        <w:tc>
          <w:tcPr>
            <w:tcW w:w="250" w:type="dxa"/>
            <w:tcBorders>
              <w:top w:val="single" w:sz="4" w:space="0" w:color="auto"/>
              <w:left w:val="single" w:sz="4" w:space="0" w:color="auto"/>
            </w:tcBorders>
            <w:shd w:val="clear" w:color="auto" w:fill="auto"/>
          </w:tcPr>
          <w:p w:rsidR="00554A76" w:rsidRPr="0059779D" w:rsidRDefault="00554A76" w:rsidP="0059779D">
            <w:pPr>
              <w:ind w:right="1317"/>
              <w:jc w:val="both"/>
              <w:rPr>
                <w:b/>
                <w:sz w:val="20"/>
              </w:rPr>
            </w:pPr>
          </w:p>
        </w:tc>
        <w:tc>
          <w:tcPr>
            <w:tcW w:w="8930" w:type="dxa"/>
            <w:gridSpan w:val="4"/>
            <w:tcBorders>
              <w:top w:val="single" w:sz="4" w:space="0" w:color="auto"/>
              <w:right w:val="single" w:sz="4" w:space="0" w:color="auto"/>
            </w:tcBorders>
            <w:shd w:val="clear" w:color="auto" w:fill="auto"/>
          </w:tcPr>
          <w:p w:rsidR="00554A76" w:rsidRDefault="00554A76" w:rsidP="00D85988">
            <w:pPr>
              <w:ind w:right="175"/>
              <w:jc w:val="both"/>
              <w:rPr>
                <w:sz w:val="20"/>
              </w:rPr>
            </w:pPr>
            <w:r>
              <w:rPr>
                <w:sz w:val="20"/>
              </w:rPr>
              <w:br/>
            </w: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sous la responsabilité du chef de l'unité HR.B4</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554A76" w:rsidRDefault="00554A76" w:rsidP="00D85988">
            <w:pPr>
              <w:ind w:right="175"/>
              <w:jc w:val="both"/>
              <w:rPr>
                <w:sz w:val="20"/>
              </w:rPr>
            </w:pPr>
            <w:r>
              <w:rPr>
                <w:sz w:val="20"/>
              </w:rPr>
              <w:t xml:space="preserve">Les données des END seront conservées pendant 10 ans à compter de la fin du détachement (2 ans pour </w:t>
            </w:r>
            <w:r w:rsidRPr="00D85988">
              <w:rPr>
                <w:sz w:val="20"/>
              </w:rPr>
              <w:t xml:space="preserve">les END dont la candidature n'a pas été retenue ou a été retirée). </w:t>
            </w:r>
          </w:p>
          <w:p w:rsidR="00554A76" w:rsidRPr="0059779D" w:rsidRDefault="00554A76" w:rsidP="00D85988">
            <w:pPr>
              <w:ind w:right="175"/>
              <w:jc w:val="both"/>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3" w:history="1">
              <w:r w:rsidRPr="00D85988">
                <w:rPr>
                  <w:rStyle w:val="Hyperlink"/>
                  <w:sz w:val="20"/>
                </w:rPr>
                <w:t>edps@edps.europa.eu</w:t>
              </w:r>
            </w:hyperlink>
            <w:r w:rsidRPr="0059779D">
              <w:rPr>
                <w:sz w:val="20"/>
              </w:rPr>
              <w:t>.</w:t>
            </w:r>
          </w:p>
          <w:p w:rsidR="00554A76" w:rsidRDefault="00554A76" w:rsidP="00D85988">
            <w:pPr>
              <w:ind w:right="175"/>
              <w:jc w:val="both"/>
              <w:rPr>
                <w:sz w:val="20"/>
              </w:rPr>
            </w:pPr>
            <w:r w:rsidRPr="0059779D">
              <w:rPr>
                <w:sz w:val="20"/>
              </w:rPr>
              <w:t>A l'attention des candidats des pays tiers : vos données à caractère personnel peuvent être utilisées aux fins des vérifications nécessaires. Plus d'informations à l'adresse :</w:t>
            </w:r>
          </w:p>
          <w:p w:rsidR="00554A76" w:rsidRPr="0059779D" w:rsidRDefault="000663D1" w:rsidP="00D85988">
            <w:pPr>
              <w:ind w:right="175"/>
              <w:jc w:val="both"/>
              <w:rPr>
                <w:sz w:val="20"/>
              </w:rPr>
            </w:pPr>
            <w:hyperlink r:id="rId14" w:history="1">
              <w:r w:rsidR="00554A76" w:rsidRPr="00D85988">
                <w:rPr>
                  <w:rStyle w:val="Hyperlink"/>
                  <w:sz w:val="20"/>
                </w:rPr>
                <w:t>http://ec.europa.eu/dgs/personnel_administration/security_fr.htm</w:t>
              </w:r>
            </w:hyperlink>
            <w:r w:rsidR="00554A76" w:rsidRPr="00D85988">
              <w:rPr>
                <w:rStyle w:val="Hyperlink"/>
                <w:color w:val="auto"/>
                <w:u w:val="none"/>
              </w:rPr>
              <w:t>.</w:t>
            </w:r>
          </w:p>
        </w:tc>
      </w:tr>
      <w:tr w:rsidR="00554A76" w:rsidRPr="0059779D" w:rsidTr="004F08B5">
        <w:trPr>
          <w:trHeight w:val="473"/>
        </w:trPr>
        <w:tc>
          <w:tcPr>
            <w:tcW w:w="250" w:type="dxa"/>
            <w:vMerge w:val="restart"/>
            <w:tcBorders>
              <w:left w:val="single" w:sz="4" w:space="0" w:color="auto"/>
            </w:tcBorders>
            <w:shd w:val="clear" w:color="auto" w:fill="auto"/>
          </w:tcPr>
          <w:p w:rsidR="00554A76" w:rsidRPr="0059779D" w:rsidRDefault="00554A76" w:rsidP="0059779D">
            <w:pPr>
              <w:ind w:right="1317"/>
              <w:jc w:val="both"/>
              <w:rPr>
                <w:b/>
                <w:sz w:val="20"/>
              </w:rPr>
            </w:pPr>
          </w:p>
        </w:tc>
        <w:tc>
          <w:tcPr>
            <w:tcW w:w="8930" w:type="dxa"/>
            <w:gridSpan w:val="4"/>
            <w:tcBorders>
              <w:right w:val="single" w:sz="4" w:space="0" w:color="auto"/>
            </w:tcBorders>
            <w:shd w:val="clear" w:color="auto" w:fill="auto"/>
          </w:tcPr>
          <w:p w:rsidR="00554A76" w:rsidRPr="0059779D" w:rsidRDefault="00554A76" w:rsidP="00D85988">
            <w:pPr>
              <w:ind w:right="175"/>
              <w:jc w:val="both"/>
              <w:rPr>
                <w:sz w:val="20"/>
              </w:rPr>
            </w:pPr>
            <w:r w:rsidRPr="00D85988">
              <w:rPr>
                <w:sz w:val="20"/>
              </w:rPr>
              <w:t xml:space="preserve">Les informations sur le traitement des données personnelles au sein du JRC sont disponibles à l'adresse: </w:t>
            </w:r>
            <w:hyperlink r:id="rId15" w:history="1">
              <w:r w:rsidRPr="00D85988">
                <w:rPr>
                  <w:rStyle w:val="Hyperlink"/>
                  <w:sz w:val="20"/>
                </w:rPr>
                <w:t>http://ec.europa.eu/dgs/jrc/index.cfm?id=6270</w:t>
              </w:r>
            </w:hyperlink>
            <w:r w:rsidRPr="00D85988">
              <w:rPr>
                <w:rStyle w:val="Hyperlink"/>
                <w:color w:val="auto"/>
                <w:sz w:val="20"/>
                <w:u w:val="none"/>
              </w:rPr>
              <w:t>.</w:t>
            </w:r>
          </w:p>
        </w:tc>
      </w:tr>
      <w:tr w:rsidR="00554A76" w:rsidRPr="0059779D" w:rsidTr="004F08B5">
        <w:trPr>
          <w:trHeight w:val="311"/>
        </w:trPr>
        <w:tc>
          <w:tcPr>
            <w:tcW w:w="250" w:type="dxa"/>
            <w:vMerge/>
            <w:tcBorders>
              <w:left w:val="single" w:sz="4" w:space="0" w:color="auto"/>
              <w:bottom w:val="single" w:sz="4" w:space="0" w:color="auto"/>
            </w:tcBorders>
            <w:shd w:val="clear" w:color="auto" w:fill="auto"/>
          </w:tcPr>
          <w:p w:rsidR="00554A76" w:rsidRPr="0059779D" w:rsidRDefault="00554A76" w:rsidP="0059779D">
            <w:pPr>
              <w:ind w:right="1317"/>
              <w:jc w:val="both"/>
              <w:rPr>
                <w:b/>
                <w:sz w:val="20"/>
              </w:rPr>
            </w:pPr>
          </w:p>
        </w:tc>
        <w:tc>
          <w:tcPr>
            <w:tcW w:w="8930" w:type="dxa"/>
            <w:gridSpan w:val="4"/>
            <w:tcBorders>
              <w:bottom w:val="single" w:sz="4" w:space="0" w:color="auto"/>
              <w:right w:val="single" w:sz="4" w:space="0" w:color="auto"/>
            </w:tcBorders>
            <w:shd w:val="clear" w:color="auto" w:fill="auto"/>
          </w:tcPr>
          <w:p w:rsidR="00554A76" w:rsidRPr="0059779D" w:rsidRDefault="00554A76" w:rsidP="0059779D">
            <w:pPr>
              <w:tabs>
                <w:tab w:val="left" w:pos="540"/>
              </w:tabs>
              <w:autoSpaceDE w:val="0"/>
              <w:autoSpaceDN w:val="0"/>
              <w:adjustRightInd w:val="0"/>
              <w:jc w:val="both"/>
              <w:rPr>
                <w:sz w:val="20"/>
                <w:lang w:val="fr-FR"/>
              </w:rPr>
            </w:pPr>
          </w:p>
        </w:tc>
      </w:tr>
    </w:tbl>
    <w:p w:rsidR="00554A76" w:rsidRDefault="00554A76" w:rsidP="00300579">
      <w:pPr>
        <w:ind w:right="1317"/>
        <w:jc w:val="both"/>
        <w:rPr>
          <w:sz w:val="8"/>
          <w:szCs w:val="8"/>
        </w:rPr>
        <w:sectPr w:rsidR="00554A76" w:rsidSect="00471115">
          <w:headerReference w:type="default" r:id="rId16"/>
          <w:footerReference w:type="default" r:id="rId17"/>
          <w:pgSz w:w="11906" w:h="16838"/>
          <w:pgMar w:top="1440" w:right="0" w:bottom="1440" w:left="1800" w:header="720" w:footer="720" w:gutter="0"/>
          <w:pgNumType w:start="1"/>
          <w:cols w:space="720"/>
        </w:sectPr>
      </w:pPr>
    </w:p>
    <w:p w:rsidR="00554A76" w:rsidRDefault="00554A76" w:rsidP="00300579">
      <w:pPr>
        <w:ind w:right="1317"/>
        <w:jc w:val="both"/>
        <w:rPr>
          <w:sz w:val="8"/>
          <w:szCs w:val="8"/>
        </w:rPr>
        <w:sectPr w:rsidR="00554A76" w:rsidSect="00471115">
          <w:headerReference w:type="default" r:id="rId18"/>
          <w:footerReference w:type="default" r:id="rId19"/>
          <w:type w:val="continuous"/>
          <w:pgSz w:w="11906" w:h="16838"/>
          <w:pgMar w:top="1440" w:right="0" w:bottom="1440" w:left="1800" w:header="720" w:footer="720" w:gutter="0"/>
          <w:cols w:space="720"/>
        </w:sectPr>
      </w:pPr>
    </w:p>
    <w:p w:rsidR="00554A76" w:rsidRPr="00300579" w:rsidRDefault="00554A76" w:rsidP="00300579">
      <w:pPr>
        <w:ind w:right="1317"/>
        <w:jc w:val="both"/>
        <w:rPr>
          <w:sz w:val="8"/>
          <w:szCs w:val="8"/>
        </w:rPr>
      </w:pPr>
    </w:p>
    <w:sectPr w:rsidR="00554A76" w:rsidRPr="00300579" w:rsidSect="00554A76">
      <w:headerReference w:type="default" r:id="rId20"/>
      <w:footerReference w:type="default" r:id="rId21"/>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A76" w:rsidRDefault="00554A76">
      <w:r>
        <w:separator/>
      </w:r>
    </w:p>
  </w:endnote>
  <w:endnote w:type="continuationSeparator" w:id="0">
    <w:p w:rsidR="00554A76" w:rsidRDefault="00554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A76" w:rsidRPr="004C1142" w:rsidRDefault="00554A76"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A76" w:rsidRPr="004C1142" w:rsidRDefault="00554A76"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AA" w:rsidRPr="004C1142" w:rsidRDefault="001978AA"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A76" w:rsidRDefault="00554A76">
      <w:r>
        <w:separator/>
      </w:r>
    </w:p>
  </w:footnote>
  <w:footnote w:type="continuationSeparator" w:id="0">
    <w:p w:rsidR="00554A76" w:rsidRDefault="00554A76">
      <w:r>
        <w:continuationSeparator/>
      </w:r>
    </w:p>
  </w:footnote>
  <w:footnote w:id="1">
    <w:p w:rsidR="00554A76" w:rsidRDefault="00554A76"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A76" w:rsidRPr="00D459AB" w:rsidRDefault="00554A76"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A76" w:rsidRPr="00D459AB" w:rsidRDefault="00554A76"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AA" w:rsidRPr="00D459AB" w:rsidRDefault="001978AA"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834E95"/>
    <w:multiLevelType w:val="singleLevel"/>
    <w:tmpl w:val="E4F2BD84"/>
    <w:lvl w:ilvl="0">
      <w:start w:val="1"/>
      <w:numFmt w:val="decimal"/>
      <w:lvlText w:val="%1."/>
      <w:legacy w:legacy="1" w:legacySpace="0" w:legacyIndent="360"/>
      <w:lvlJc w:val="left"/>
      <w:pPr>
        <w:ind w:left="360" w:hanging="360"/>
      </w:pPr>
    </w:lvl>
  </w:abstractNum>
  <w:abstractNum w:abstractNumId="3">
    <w:nsid w:val="16072DE2"/>
    <w:multiLevelType w:val="singleLevel"/>
    <w:tmpl w:val="C2A602F4"/>
    <w:lvl w:ilvl="0">
      <w:start w:val="2"/>
      <w:numFmt w:val="decimal"/>
      <w:lvlText w:val="%1."/>
      <w:legacy w:legacy="1" w:legacySpace="0" w:legacyIndent="360"/>
      <w:lvlJc w:val="left"/>
      <w:pPr>
        <w:ind w:left="360" w:hanging="360"/>
      </w:pPr>
    </w:lvl>
  </w:abstractNum>
  <w:abstractNum w:abstractNumId="4">
    <w:nsid w:val="1C3A223A"/>
    <w:multiLevelType w:val="singleLevel"/>
    <w:tmpl w:val="E4F2BD84"/>
    <w:lvl w:ilvl="0">
      <w:start w:val="1"/>
      <w:numFmt w:val="decimal"/>
      <w:lvlText w:val="%1."/>
      <w:legacy w:legacy="1" w:legacySpace="0" w:legacyIndent="360"/>
      <w:lvlJc w:val="left"/>
      <w:pPr>
        <w:ind w:left="360" w:hanging="360"/>
      </w:pPr>
    </w:lvl>
  </w:abstractNum>
  <w:abstractNum w:abstractNumId="5">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453375A"/>
    <w:multiLevelType w:val="singleLevel"/>
    <w:tmpl w:val="929CF12C"/>
    <w:lvl w:ilvl="0">
      <w:start w:val="3"/>
      <w:numFmt w:val="decimal"/>
      <w:lvlText w:val="%1."/>
      <w:legacy w:legacy="1" w:legacySpace="0" w:legacyIndent="360"/>
      <w:lvlJc w:val="left"/>
      <w:pPr>
        <w:ind w:left="360" w:hanging="360"/>
      </w:pPr>
    </w:lvl>
  </w:abstractNum>
  <w:abstractNum w:abstractNumId="7">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
    <w:nsid w:val="5D0D7DE8"/>
    <w:multiLevelType w:val="singleLevel"/>
    <w:tmpl w:val="E4F2BD84"/>
    <w:lvl w:ilvl="0">
      <w:start w:val="1"/>
      <w:numFmt w:val="decimal"/>
      <w:lvlText w:val="%1."/>
      <w:legacy w:legacy="1" w:legacySpace="0" w:legacyIndent="360"/>
      <w:lvlJc w:val="left"/>
      <w:pPr>
        <w:ind w:left="360" w:hanging="360"/>
      </w:pPr>
    </w:lvl>
  </w:abstractNum>
  <w:abstractNum w:abstractNumId="9">
    <w:nsid w:val="65426EDE"/>
    <w:multiLevelType w:val="singleLevel"/>
    <w:tmpl w:val="0E50869E"/>
    <w:lvl w:ilvl="0">
      <w:start w:val="4"/>
      <w:numFmt w:val="decimal"/>
      <w:lvlText w:val="%1."/>
      <w:legacy w:legacy="1" w:legacySpace="0" w:legacyIndent="360"/>
      <w:lvlJc w:val="left"/>
      <w:pPr>
        <w:ind w:left="360" w:hanging="360"/>
      </w:pPr>
    </w:lvl>
  </w:abstractNum>
  <w:abstractNum w:abstractNumId="1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9"/>
  </w:num>
  <w:num w:numId="5">
    <w:abstractNumId w:val="8"/>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7"/>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514"/>
    <w:rsid w:val="000230DA"/>
    <w:rsid w:val="0006506F"/>
    <w:rsid w:val="000663D1"/>
    <w:rsid w:val="000860A3"/>
    <w:rsid w:val="000D13C7"/>
    <w:rsid w:val="000E6B9E"/>
    <w:rsid w:val="000F0B02"/>
    <w:rsid w:val="00103973"/>
    <w:rsid w:val="00104548"/>
    <w:rsid w:val="00110555"/>
    <w:rsid w:val="00110A6A"/>
    <w:rsid w:val="00135773"/>
    <w:rsid w:val="00143AB5"/>
    <w:rsid w:val="0016470B"/>
    <w:rsid w:val="001653AB"/>
    <w:rsid w:val="00182ACD"/>
    <w:rsid w:val="00184D0D"/>
    <w:rsid w:val="00184FC0"/>
    <w:rsid w:val="00185847"/>
    <w:rsid w:val="00185A6E"/>
    <w:rsid w:val="001978AA"/>
    <w:rsid w:val="001B6676"/>
    <w:rsid w:val="001F3C83"/>
    <w:rsid w:val="001F6447"/>
    <w:rsid w:val="00206B85"/>
    <w:rsid w:val="00207EB1"/>
    <w:rsid w:val="00210198"/>
    <w:rsid w:val="00213AC7"/>
    <w:rsid w:val="00225615"/>
    <w:rsid w:val="002269A9"/>
    <w:rsid w:val="0024100B"/>
    <w:rsid w:val="00243FA8"/>
    <w:rsid w:val="0024531E"/>
    <w:rsid w:val="00250424"/>
    <w:rsid w:val="002557DF"/>
    <w:rsid w:val="0026508A"/>
    <w:rsid w:val="00265384"/>
    <w:rsid w:val="00271801"/>
    <w:rsid w:val="00277C58"/>
    <w:rsid w:val="00277C82"/>
    <w:rsid w:val="00281224"/>
    <w:rsid w:val="00285754"/>
    <w:rsid w:val="002A0412"/>
    <w:rsid w:val="002A063F"/>
    <w:rsid w:val="002A4283"/>
    <w:rsid w:val="002A4308"/>
    <w:rsid w:val="002A6772"/>
    <w:rsid w:val="002B1D82"/>
    <w:rsid w:val="002B5738"/>
    <w:rsid w:val="002C1DD6"/>
    <w:rsid w:val="002C7E0A"/>
    <w:rsid w:val="002D71AF"/>
    <w:rsid w:val="002D73AA"/>
    <w:rsid w:val="002F757B"/>
    <w:rsid w:val="00300579"/>
    <w:rsid w:val="0031798C"/>
    <w:rsid w:val="00332DA7"/>
    <w:rsid w:val="003469B4"/>
    <w:rsid w:val="00353449"/>
    <w:rsid w:val="003639FD"/>
    <w:rsid w:val="003776E4"/>
    <w:rsid w:val="00377F18"/>
    <w:rsid w:val="003B2134"/>
    <w:rsid w:val="003D484D"/>
    <w:rsid w:val="003E0024"/>
    <w:rsid w:val="003E7309"/>
    <w:rsid w:val="004022E1"/>
    <w:rsid w:val="00407204"/>
    <w:rsid w:val="00410120"/>
    <w:rsid w:val="00435101"/>
    <w:rsid w:val="0045400E"/>
    <w:rsid w:val="00454010"/>
    <w:rsid w:val="00471115"/>
    <w:rsid w:val="00491FE7"/>
    <w:rsid w:val="004B0250"/>
    <w:rsid w:val="004B7487"/>
    <w:rsid w:val="004C1142"/>
    <w:rsid w:val="004C1CF4"/>
    <w:rsid w:val="004D242E"/>
    <w:rsid w:val="004F08B5"/>
    <w:rsid w:val="00506CDC"/>
    <w:rsid w:val="00523BEC"/>
    <w:rsid w:val="00525AB3"/>
    <w:rsid w:val="0053797D"/>
    <w:rsid w:val="005459ED"/>
    <w:rsid w:val="005524F3"/>
    <w:rsid w:val="0055386D"/>
    <w:rsid w:val="00554A76"/>
    <w:rsid w:val="00554C6D"/>
    <w:rsid w:val="0056395F"/>
    <w:rsid w:val="00570F58"/>
    <w:rsid w:val="00577BDC"/>
    <w:rsid w:val="00577E73"/>
    <w:rsid w:val="00597574"/>
    <w:rsid w:val="0059779D"/>
    <w:rsid w:val="005A1433"/>
    <w:rsid w:val="005A2544"/>
    <w:rsid w:val="005D3035"/>
    <w:rsid w:val="005D3367"/>
    <w:rsid w:val="005D56DF"/>
    <w:rsid w:val="005D6462"/>
    <w:rsid w:val="005F7BCC"/>
    <w:rsid w:val="00614844"/>
    <w:rsid w:val="00625DED"/>
    <w:rsid w:val="00630D64"/>
    <w:rsid w:val="00657080"/>
    <w:rsid w:val="0067099D"/>
    <w:rsid w:val="00673097"/>
    <w:rsid w:val="00682CB4"/>
    <w:rsid w:val="006A175E"/>
    <w:rsid w:val="006A35E2"/>
    <w:rsid w:val="006A4B90"/>
    <w:rsid w:val="006B0EE7"/>
    <w:rsid w:val="007429C6"/>
    <w:rsid w:val="00747985"/>
    <w:rsid w:val="00755FA1"/>
    <w:rsid w:val="0076561B"/>
    <w:rsid w:val="0078320E"/>
    <w:rsid w:val="007B21FB"/>
    <w:rsid w:val="007D0494"/>
    <w:rsid w:val="007E36DE"/>
    <w:rsid w:val="007E6A43"/>
    <w:rsid w:val="007F12AE"/>
    <w:rsid w:val="00807D4A"/>
    <w:rsid w:val="00811432"/>
    <w:rsid w:val="00820556"/>
    <w:rsid w:val="0083637C"/>
    <w:rsid w:val="00836F84"/>
    <w:rsid w:val="00837C9B"/>
    <w:rsid w:val="00844D7B"/>
    <w:rsid w:val="00852190"/>
    <w:rsid w:val="00856CF1"/>
    <w:rsid w:val="008650B6"/>
    <w:rsid w:val="008B38B2"/>
    <w:rsid w:val="008C1BAB"/>
    <w:rsid w:val="008F4E36"/>
    <w:rsid w:val="008F5099"/>
    <w:rsid w:val="008F6CE2"/>
    <w:rsid w:val="00900C98"/>
    <w:rsid w:val="00921131"/>
    <w:rsid w:val="009436D0"/>
    <w:rsid w:val="0094446C"/>
    <w:rsid w:val="00951939"/>
    <w:rsid w:val="00952714"/>
    <w:rsid w:val="009555C7"/>
    <w:rsid w:val="009E1B29"/>
    <w:rsid w:val="009F27F5"/>
    <w:rsid w:val="00A26BD3"/>
    <w:rsid w:val="00A26C4A"/>
    <w:rsid w:val="00A27D56"/>
    <w:rsid w:val="00A3777D"/>
    <w:rsid w:val="00A462B8"/>
    <w:rsid w:val="00A83AC3"/>
    <w:rsid w:val="00AA431A"/>
    <w:rsid w:val="00AA6F9C"/>
    <w:rsid w:val="00AA7C72"/>
    <w:rsid w:val="00AB2358"/>
    <w:rsid w:val="00B07C01"/>
    <w:rsid w:val="00B25175"/>
    <w:rsid w:val="00B25951"/>
    <w:rsid w:val="00B364E6"/>
    <w:rsid w:val="00B51D63"/>
    <w:rsid w:val="00B57F47"/>
    <w:rsid w:val="00B62E7D"/>
    <w:rsid w:val="00B70174"/>
    <w:rsid w:val="00B90296"/>
    <w:rsid w:val="00BA1CA5"/>
    <w:rsid w:val="00BA6A5F"/>
    <w:rsid w:val="00BC732B"/>
    <w:rsid w:val="00BC7731"/>
    <w:rsid w:val="00BD6207"/>
    <w:rsid w:val="00C0285B"/>
    <w:rsid w:val="00C2181F"/>
    <w:rsid w:val="00C21F2B"/>
    <w:rsid w:val="00C41FD8"/>
    <w:rsid w:val="00C44E7E"/>
    <w:rsid w:val="00C47260"/>
    <w:rsid w:val="00C6155B"/>
    <w:rsid w:val="00C6355A"/>
    <w:rsid w:val="00C67062"/>
    <w:rsid w:val="00C72A05"/>
    <w:rsid w:val="00C7471D"/>
    <w:rsid w:val="00C8030B"/>
    <w:rsid w:val="00CC0DBE"/>
    <w:rsid w:val="00CC6445"/>
    <w:rsid w:val="00CD0164"/>
    <w:rsid w:val="00CD6C77"/>
    <w:rsid w:val="00CF1E30"/>
    <w:rsid w:val="00CF55F6"/>
    <w:rsid w:val="00CF75BB"/>
    <w:rsid w:val="00D07676"/>
    <w:rsid w:val="00D17D0C"/>
    <w:rsid w:val="00D411C5"/>
    <w:rsid w:val="00D436AB"/>
    <w:rsid w:val="00D459AB"/>
    <w:rsid w:val="00D743B0"/>
    <w:rsid w:val="00D85988"/>
    <w:rsid w:val="00DA0D9D"/>
    <w:rsid w:val="00DA38DB"/>
    <w:rsid w:val="00DB2121"/>
    <w:rsid w:val="00DB2B95"/>
    <w:rsid w:val="00DB632F"/>
    <w:rsid w:val="00DB7CF2"/>
    <w:rsid w:val="00DB7D07"/>
    <w:rsid w:val="00DC2FFE"/>
    <w:rsid w:val="00DC353D"/>
    <w:rsid w:val="00DC3C3E"/>
    <w:rsid w:val="00DD20D9"/>
    <w:rsid w:val="00DE6CF2"/>
    <w:rsid w:val="00DF3FDD"/>
    <w:rsid w:val="00E007AB"/>
    <w:rsid w:val="00E00EE4"/>
    <w:rsid w:val="00E3586A"/>
    <w:rsid w:val="00E45131"/>
    <w:rsid w:val="00E63EEB"/>
    <w:rsid w:val="00E67CD7"/>
    <w:rsid w:val="00E71A8F"/>
    <w:rsid w:val="00E71C56"/>
    <w:rsid w:val="00E76724"/>
    <w:rsid w:val="00EA06BB"/>
    <w:rsid w:val="00EB347A"/>
    <w:rsid w:val="00ED15A0"/>
    <w:rsid w:val="00EE2303"/>
    <w:rsid w:val="00EF61D4"/>
    <w:rsid w:val="00F25489"/>
    <w:rsid w:val="00FB237A"/>
    <w:rsid w:val="00FB7F4B"/>
    <w:rsid w:val="00FC2631"/>
    <w:rsid w:val="00FC77FD"/>
    <w:rsid w:val="00FD2BE5"/>
    <w:rsid w:val="00FD7326"/>
    <w:rsid w:val="00FE3522"/>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character" w:customStyle="1" w:styleId="tlid-translation">
    <w:name w:val="tlid-translation"/>
    <w:basedOn w:val="DefaultParagraphFont"/>
    <w:rsid w:val="00206B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character" w:customStyle="1" w:styleId="tlid-translation">
    <w:name w:val="tlid-translation"/>
    <w:basedOn w:val="DefaultParagraphFont"/>
    <w:rsid w:val="00206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ps@edps.europa.e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fr/documents/curriculum-vitae" TargetMode="External"/><Relationship Id="rId5" Type="http://schemas.openxmlformats.org/officeDocument/2006/relationships/settings" Target="settings.xml"/><Relationship Id="rId15" Type="http://schemas.openxmlformats.org/officeDocument/2006/relationships/hyperlink" Target="http://ec.europa.eu/dgs/jrc/index.cfm?id=6270" TargetMode="External"/><Relationship Id="rId23" Type="http://schemas.openxmlformats.org/officeDocument/2006/relationships/theme" Target="theme/theme1.xml"/><Relationship Id="rId10" Type="http://schemas.openxmlformats.org/officeDocument/2006/relationships/hyperlink" Target="mailto:Jens.Mester@ec.europa.e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personnel_administration/security_fr.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C2E8C-7586-456F-ACC4-8E7B64A23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1196</Words>
  <Characters>8079</Characters>
  <Application>Microsoft Office Word</Application>
  <DocSecurity>0</DocSecurity>
  <Lines>260</Lines>
  <Paragraphs>149</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9126</CharactersWithSpaces>
  <SharedDoc>false</SharedDoc>
  <HLinks>
    <vt:vector size="30" baseType="variant">
      <vt:variant>
        <vt:i4>6094933</vt:i4>
      </vt:variant>
      <vt:variant>
        <vt:i4>60</vt:i4>
      </vt:variant>
      <vt:variant>
        <vt:i4>0</vt:i4>
      </vt:variant>
      <vt:variant>
        <vt:i4>5</vt:i4>
      </vt:variant>
      <vt:variant>
        <vt:lpwstr>http://ec.europa.eu/dgs/jrc/index.cfm?id=6270</vt:lpwstr>
      </vt:variant>
      <vt:variant>
        <vt:lpwstr/>
      </vt:variant>
      <vt:variant>
        <vt:i4>1245253</vt:i4>
      </vt:variant>
      <vt:variant>
        <vt:i4>57</vt:i4>
      </vt:variant>
      <vt:variant>
        <vt:i4>0</vt:i4>
      </vt:variant>
      <vt:variant>
        <vt:i4>5</vt:i4>
      </vt:variant>
      <vt:variant>
        <vt:lpwstr>http://ec.europa.eu/dgs/personnel_administration/security_fr.htm</vt:lpwstr>
      </vt:variant>
      <vt:variant>
        <vt:lpwstr/>
      </vt:variant>
      <vt:variant>
        <vt:i4>1835128</vt:i4>
      </vt:variant>
      <vt:variant>
        <vt:i4>54</vt:i4>
      </vt:variant>
      <vt:variant>
        <vt:i4>0</vt:i4>
      </vt:variant>
      <vt:variant>
        <vt:i4>5</vt:i4>
      </vt:variant>
      <vt:variant>
        <vt:lpwstr>mailto:edps@edps.europa.eu</vt:lpwstr>
      </vt:variant>
      <vt:variant>
        <vt:lpwstr/>
      </vt:variant>
      <vt:variant>
        <vt:i4>7536757</vt:i4>
      </vt:variant>
      <vt:variant>
        <vt:i4>51</vt:i4>
      </vt:variant>
      <vt:variant>
        <vt:i4>0</vt:i4>
      </vt:variant>
      <vt:variant>
        <vt:i4>5</vt:i4>
      </vt:variant>
      <vt:variant>
        <vt:lpwstr>http://ec.europa.eu/civil_service/job/sne/index_fr.htm</vt:lpwstr>
      </vt:variant>
      <vt:variant>
        <vt:lpwstr/>
      </vt:variant>
      <vt:variant>
        <vt:i4>3735590</vt:i4>
      </vt:variant>
      <vt:variant>
        <vt:i4>48</vt:i4>
      </vt:variant>
      <vt:variant>
        <vt:i4>0</vt:i4>
      </vt:variant>
      <vt:variant>
        <vt:i4>5</vt:i4>
      </vt:variant>
      <vt:variant>
        <vt:lpwstr>http://europass.cedefop.europa.eu/fr/documents/curriculum-vitae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HEERE Sandra (REGIO)</dc:creator>
  <cp:lastModifiedBy>COUDRAIS Isabelle (COMM)</cp:lastModifiedBy>
  <cp:revision>5</cp:revision>
  <cp:lastPrinted>2014-11-07T13:14:00Z</cp:lastPrinted>
  <dcterms:created xsi:type="dcterms:W3CDTF">2019-01-30T10:39:00Z</dcterms:created>
  <dcterms:modified xsi:type="dcterms:W3CDTF">2019-01-30T11:03:00Z</dcterms:modified>
</cp:coreProperties>
</file>