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97" w:type="dxa"/>
        <w:tblLayout w:type="fixed"/>
        <w:tblLook w:val="01E0" w:firstRow="1" w:lastRow="1" w:firstColumn="1" w:lastColumn="1" w:noHBand="0" w:noVBand="0"/>
      </w:tblPr>
      <w:tblGrid>
        <w:gridCol w:w="392"/>
        <w:gridCol w:w="2679"/>
        <w:gridCol w:w="14"/>
        <w:gridCol w:w="5812"/>
      </w:tblGrid>
      <w:tr w:rsidR="002D3B67" w:rsidRPr="0059779D" w:rsidTr="002D3B67">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2D3B67" w:rsidRPr="007F12AE" w:rsidRDefault="002D3B67" w:rsidP="000A1C1F">
            <w:pPr>
              <w:ind w:right="-1881"/>
              <w:rPr>
                <w:b/>
                <w:szCs w:val="24"/>
              </w:rPr>
            </w:pPr>
            <w:r w:rsidRPr="007F12AE">
              <w:rPr>
                <w:b/>
                <w:szCs w:val="24"/>
              </w:rPr>
              <w:t>Intitulé du poste:</w:t>
            </w:r>
            <w:r w:rsidRPr="007F12AE">
              <w:rPr>
                <w:b/>
                <w:szCs w:val="24"/>
              </w:rPr>
              <w:br/>
            </w:r>
            <w:r w:rsidRPr="007F12AE">
              <w:rPr>
                <w:szCs w:val="24"/>
              </w:rPr>
              <w:t>(DG-DIR-UNITE)</w:t>
            </w:r>
          </w:p>
        </w:tc>
        <w:tc>
          <w:tcPr>
            <w:tcW w:w="5826" w:type="dxa"/>
            <w:gridSpan w:val="2"/>
            <w:tcBorders>
              <w:top w:val="single" w:sz="4" w:space="0" w:color="auto"/>
              <w:left w:val="single" w:sz="4" w:space="0" w:color="auto"/>
              <w:bottom w:val="single" w:sz="4" w:space="0" w:color="auto"/>
              <w:right w:val="single" w:sz="4" w:space="0" w:color="auto"/>
            </w:tcBorders>
            <w:shd w:val="clear" w:color="auto" w:fill="auto"/>
          </w:tcPr>
          <w:p w:rsidR="002D3B67" w:rsidRPr="0059779D" w:rsidRDefault="002D3B67" w:rsidP="000A1C1F">
            <w:pPr>
              <w:spacing w:before="120"/>
              <w:ind w:right="1315"/>
              <w:jc w:val="both"/>
              <w:rPr>
                <w:b/>
              </w:rPr>
            </w:pPr>
            <w:r>
              <w:rPr>
                <w:b/>
              </w:rPr>
              <w:t>TAXUD-A-1</w:t>
            </w:r>
          </w:p>
        </w:tc>
      </w:tr>
      <w:tr w:rsidR="003639FD" w:rsidRPr="0059779D" w:rsidTr="002D3B67">
        <w:tc>
          <w:tcPr>
            <w:tcW w:w="392" w:type="dxa"/>
            <w:tcBorders>
              <w:top w:val="single" w:sz="4" w:space="0" w:color="auto"/>
              <w:left w:val="single" w:sz="4" w:space="0" w:color="auto"/>
              <w:bottom w:val="single" w:sz="4" w:space="0" w:color="auto"/>
              <w:right w:val="single" w:sz="4" w:space="0" w:color="auto"/>
            </w:tcBorders>
            <w:shd w:val="clear" w:color="auto" w:fill="auto"/>
          </w:tcPr>
          <w:p w:rsidR="003639FD" w:rsidRPr="0059779D" w:rsidRDefault="003639FD" w:rsidP="0059779D">
            <w:pPr>
              <w:ind w:right="1317"/>
              <w:jc w:val="both"/>
              <w:rPr>
                <w:b/>
                <w:sz w:val="20"/>
              </w:rPr>
            </w:pPr>
          </w:p>
        </w:tc>
        <w:tc>
          <w:tcPr>
            <w:tcW w:w="2679" w:type="dxa"/>
            <w:tcBorders>
              <w:top w:val="single" w:sz="4" w:space="0" w:color="auto"/>
              <w:left w:val="single" w:sz="4" w:space="0" w:color="auto"/>
              <w:right w:val="single" w:sz="4" w:space="0" w:color="auto"/>
            </w:tcBorders>
            <w:shd w:val="clear" w:color="auto" w:fill="auto"/>
          </w:tcPr>
          <w:p w:rsidR="003639FD" w:rsidRPr="0059779D" w:rsidRDefault="003639FD" w:rsidP="0059779D">
            <w:pPr>
              <w:ind w:right="-1881"/>
              <w:jc w:val="both"/>
              <w:rPr>
                <w:b/>
                <w:sz w:val="20"/>
              </w:rPr>
            </w:pPr>
            <w:r w:rsidRPr="0059779D">
              <w:rPr>
                <w:b/>
                <w:sz w:val="20"/>
              </w:rPr>
              <w:t>Direction générale</w:t>
            </w:r>
            <w:r w:rsidR="008F4E36" w:rsidRPr="0059779D">
              <w:rPr>
                <w:b/>
                <w:sz w:val="20"/>
              </w:rPr>
              <w:t> :</w:t>
            </w:r>
          </w:p>
        </w:tc>
        <w:tc>
          <w:tcPr>
            <w:tcW w:w="5826" w:type="dxa"/>
            <w:gridSpan w:val="2"/>
            <w:tcBorders>
              <w:top w:val="single" w:sz="4" w:space="0" w:color="auto"/>
              <w:left w:val="single" w:sz="4" w:space="0" w:color="auto"/>
              <w:right w:val="single" w:sz="4" w:space="0" w:color="auto"/>
            </w:tcBorders>
            <w:shd w:val="clear" w:color="auto" w:fill="auto"/>
          </w:tcPr>
          <w:p w:rsidR="003639FD" w:rsidRPr="0059779D" w:rsidRDefault="002A5D37" w:rsidP="0059779D">
            <w:pPr>
              <w:ind w:right="1317"/>
              <w:jc w:val="both"/>
              <w:rPr>
                <w:b/>
              </w:rPr>
            </w:pPr>
            <w:r>
              <w:rPr>
                <w:b/>
              </w:rPr>
              <w:t>Fiscalité et Union douanière - TAXUD</w:t>
            </w:r>
          </w:p>
        </w:tc>
      </w:tr>
      <w:tr w:rsidR="003639FD" w:rsidRPr="0059779D" w:rsidTr="002D3B67">
        <w:tc>
          <w:tcPr>
            <w:tcW w:w="392" w:type="dxa"/>
            <w:tcBorders>
              <w:top w:val="single" w:sz="4" w:space="0" w:color="auto"/>
              <w:left w:val="single" w:sz="4" w:space="0" w:color="auto"/>
            </w:tcBorders>
            <w:shd w:val="clear" w:color="auto" w:fill="auto"/>
          </w:tcPr>
          <w:p w:rsidR="003639FD" w:rsidRPr="0059779D" w:rsidRDefault="003639FD" w:rsidP="0059779D">
            <w:pPr>
              <w:ind w:right="1317"/>
              <w:jc w:val="both"/>
              <w:rPr>
                <w:b/>
                <w:sz w:val="20"/>
              </w:rPr>
            </w:pPr>
          </w:p>
        </w:tc>
        <w:tc>
          <w:tcPr>
            <w:tcW w:w="2679" w:type="dxa"/>
            <w:tcBorders>
              <w:right w:val="single" w:sz="4" w:space="0" w:color="auto"/>
            </w:tcBorders>
            <w:shd w:val="clear" w:color="auto" w:fill="auto"/>
          </w:tcPr>
          <w:p w:rsidR="003639FD" w:rsidRPr="0059779D" w:rsidRDefault="003639FD" w:rsidP="0059779D">
            <w:pPr>
              <w:tabs>
                <w:tab w:val="left" w:pos="1697"/>
              </w:tabs>
              <w:ind w:right="-1739"/>
              <w:jc w:val="both"/>
              <w:rPr>
                <w:b/>
                <w:sz w:val="20"/>
              </w:rPr>
            </w:pPr>
            <w:r w:rsidRPr="0059779D">
              <w:rPr>
                <w:b/>
                <w:sz w:val="20"/>
              </w:rPr>
              <w:t>Direction</w:t>
            </w:r>
            <w:r w:rsidR="00B51D63">
              <w:rPr>
                <w:b/>
                <w:sz w:val="20"/>
              </w:rPr>
              <w:t xml:space="preserve"> :</w:t>
            </w:r>
          </w:p>
        </w:tc>
        <w:tc>
          <w:tcPr>
            <w:tcW w:w="5826" w:type="dxa"/>
            <w:gridSpan w:val="2"/>
            <w:tcBorders>
              <w:left w:val="single" w:sz="4" w:space="0" w:color="auto"/>
              <w:right w:val="single" w:sz="4" w:space="0" w:color="auto"/>
            </w:tcBorders>
            <w:shd w:val="clear" w:color="auto" w:fill="auto"/>
          </w:tcPr>
          <w:p w:rsidR="002A5D37" w:rsidRPr="0059779D" w:rsidRDefault="00454C2F" w:rsidP="00454C2F">
            <w:pPr>
              <w:jc w:val="both"/>
              <w:rPr>
                <w:b/>
              </w:rPr>
            </w:pPr>
            <w:r>
              <w:rPr>
                <w:b/>
              </w:rPr>
              <w:t xml:space="preserve">A </w:t>
            </w:r>
            <w:r w:rsidR="00B737CB" w:rsidRPr="00B737CB">
              <w:rPr>
                <w:b/>
              </w:rPr>
              <w:t>-</w:t>
            </w:r>
            <w:r>
              <w:rPr>
                <w:b/>
              </w:rPr>
              <w:t xml:space="preserve"> Customs</w:t>
            </w:r>
            <w:r w:rsidR="00B91F67" w:rsidRPr="00B91F67">
              <w:rPr>
                <w:b/>
              </w:rPr>
              <w:t xml:space="preserve"> </w:t>
            </w:r>
          </w:p>
        </w:tc>
      </w:tr>
      <w:tr w:rsidR="00B91F67" w:rsidRPr="0059779D" w:rsidTr="002D3B67">
        <w:tc>
          <w:tcPr>
            <w:tcW w:w="392" w:type="dxa"/>
            <w:tcBorders>
              <w:top w:val="single" w:sz="4" w:space="0" w:color="auto"/>
              <w:left w:val="single" w:sz="4" w:space="0" w:color="auto"/>
            </w:tcBorders>
            <w:shd w:val="clear" w:color="auto" w:fill="auto"/>
          </w:tcPr>
          <w:p w:rsidR="00B91F67" w:rsidRPr="0059779D" w:rsidRDefault="00B91F67" w:rsidP="0059779D">
            <w:pPr>
              <w:ind w:right="1317"/>
              <w:jc w:val="both"/>
              <w:rPr>
                <w:b/>
                <w:sz w:val="20"/>
              </w:rPr>
            </w:pPr>
          </w:p>
        </w:tc>
        <w:tc>
          <w:tcPr>
            <w:tcW w:w="2679" w:type="dxa"/>
            <w:tcBorders>
              <w:right w:val="single" w:sz="4" w:space="0" w:color="auto"/>
            </w:tcBorders>
            <w:shd w:val="clear" w:color="auto" w:fill="auto"/>
          </w:tcPr>
          <w:p w:rsidR="00B91F67" w:rsidRPr="0059779D" w:rsidRDefault="00B91F67" w:rsidP="0059779D">
            <w:pPr>
              <w:tabs>
                <w:tab w:val="left" w:pos="1697"/>
              </w:tabs>
              <w:ind w:right="-1739"/>
              <w:jc w:val="both"/>
              <w:rPr>
                <w:b/>
                <w:sz w:val="20"/>
              </w:rPr>
            </w:pPr>
            <w:r w:rsidRPr="0059779D">
              <w:rPr>
                <w:b/>
                <w:sz w:val="20"/>
              </w:rPr>
              <w:t>Unité :</w:t>
            </w:r>
          </w:p>
        </w:tc>
        <w:tc>
          <w:tcPr>
            <w:tcW w:w="5826" w:type="dxa"/>
            <w:gridSpan w:val="2"/>
            <w:tcBorders>
              <w:left w:val="single" w:sz="4" w:space="0" w:color="auto"/>
              <w:right w:val="single" w:sz="4" w:space="0" w:color="auto"/>
            </w:tcBorders>
            <w:shd w:val="clear" w:color="auto" w:fill="auto"/>
          </w:tcPr>
          <w:p w:rsidR="00B91F67" w:rsidRDefault="00454C2F" w:rsidP="00454C2F">
            <w:pPr>
              <w:jc w:val="both"/>
              <w:rPr>
                <w:b/>
              </w:rPr>
            </w:pPr>
            <w:r>
              <w:rPr>
                <w:b/>
              </w:rPr>
              <w:t>A</w:t>
            </w:r>
            <w:r w:rsidR="00B91F67">
              <w:rPr>
                <w:b/>
              </w:rPr>
              <w:t>1</w:t>
            </w:r>
            <w:r w:rsidR="00B91F67" w:rsidRPr="00B737CB">
              <w:rPr>
                <w:b/>
              </w:rPr>
              <w:t xml:space="preserve"> - </w:t>
            </w:r>
            <w:r w:rsidRPr="00454C2F">
              <w:rPr>
                <w:b/>
              </w:rPr>
              <w:t>Politique douanière</w:t>
            </w:r>
          </w:p>
        </w:tc>
      </w:tr>
      <w:tr w:rsidR="003639FD" w:rsidRPr="0059779D" w:rsidTr="002D3B67">
        <w:tc>
          <w:tcPr>
            <w:tcW w:w="392" w:type="dxa"/>
            <w:tcBorders>
              <w:left w:val="single" w:sz="4" w:space="0" w:color="auto"/>
            </w:tcBorders>
            <w:shd w:val="clear" w:color="auto" w:fill="auto"/>
          </w:tcPr>
          <w:p w:rsidR="003639FD" w:rsidRPr="0059779D" w:rsidRDefault="003639FD" w:rsidP="0059779D">
            <w:pPr>
              <w:ind w:right="1317"/>
              <w:jc w:val="both"/>
              <w:rPr>
                <w:b/>
                <w:sz w:val="20"/>
              </w:rPr>
            </w:pPr>
          </w:p>
        </w:tc>
        <w:tc>
          <w:tcPr>
            <w:tcW w:w="2679" w:type="dxa"/>
            <w:tcBorders>
              <w:right w:val="single" w:sz="4" w:space="0" w:color="auto"/>
            </w:tcBorders>
            <w:shd w:val="clear" w:color="auto" w:fill="auto"/>
          </w:tcPr>
          <w:p w:rsidR="003639FD" w:rsidRPr="0059779D" w:rsidRDefault="003639FD" w:rsidP="0059779D">
            <w:pPr>
              <w:tabs>
                <w:tab w:val="left" w:pos="1697"/>
              </w:tabs>
              <w:ind w:right="-1739"/>
              <w:jc w:val="both"/>
              <w:rPr>
                <w:b/>
                <w:sz w:val="20"/>
              </w:rPr>
            </w:pPr>
            <w:r w:rsidRPr="0059779D">
              <w:rPr>
                <w:b/>
                <w:sz w:val="20"/>
              </w:rPr>
              <w:t>Chef d’unité</w:t>
            </w:r>
            <w:r w:rsidR="008F4E36" w:rsidRPr="0059779D">
              <w:rPr>
                <w:b/>
                <w:sz w:val="20"/>
              </w:rPr>
              <w:t> :</w:t>
            </w:r>
          </w:p>
        </w:tc>
        <w:tc>
          <w:tcPr>
            <w:tcW w:w="5826" w:type="dxa"/>
            <w:gridSpan w:val="2"/>
            <w:tcBorders>
              <w:left w:val="single" w:sz="4" w:space="0" w:color="auto"/>
              <w:right w:val="single" w:sz="4" w:space="0" w:color="auto"/>
            </w:tcBorders>
            <w:shd w:val="clear" w:color="auto" w:fill="auto"/>
          </w:tcPr>
          <w:p w:rsidR="003639FD" w:rsidRPr="0059779D" w:rsidRDefault="00454C2F" w:rsidP="0059779D">
            <w:pPr>
              <w:ind w:right="1317"/>
              <w:jc w:val="both"/>
              <w:rPr>
                <w:b/>
              </w:rPr>
            </w:pPr>
            <w:r>
              <w:rPr>
                <w:b/>
              </w:rPr>
              <w:t xml:space="preserve">Ilze </w:t>
            </w:r>
            <w:proofErr w:type="spellStart"/>
            <w:r>
              <w:rPr>
                <w:b/>
              </w:rPr>
              <w:t>Kuniga</w:t>
            </w:r>
            <w:proofErr w:type="spellEnd"/>
          </w:p>
        </w:tc>
      </w:tr>
      <w:tr w:rsidR="003639FD" w:rsidRPr="0059779D" w:rsidTr="002D3B67">
        <w:tc>
          <w:tcPr>
            <w:tcW w:w="392" w:type="dxa"/>
            <w:tcBorders>
              <w:left w:val="single" w:sz="4" w:space="0" w:color="auto"/>
            </w:tcBorders>
            <w:shd w:val="clear" w:color="auto" w:fill="auto"/>
          </w:tcPr>
          <w:p w:rsidR="003639FD" w:rsidRPr="0059779D" w:rsidRDefault="003639FD" w:rsidP="0059779D">
            <w:pPr>
              <w:ind w:right="1317"/>
              <w:jc w:val="both"/>
              <w:rPr>
                <w:b/>
                <w:sz w:val="20"/>
              </w:rPr>
            </w:pPr>
          </w:p>
        </w:tc>
        <w:tc>
          <w:tcPr>
            <w:tcW w:w="2679" w:type="dxa"/>
            <w:tcBorders>
              <w:right w:val="single" w:sz="4" w:space="0" w:color="auto"/>
            </w:tcBorders>
            <w:shd w:val="clear" w:color="auto" w:fill="auto"/>
          </w:tcPr>
          <w:p w:rsidR="003639FD" w:rsidRPr="0059779D" w:rsidRDefault="003639FD" w:rsidP="0059779D">
            <w:pPr>
              <w:tabs>
                <w:tab w:val="left" w:pos="1697"/>
              </w:tabs>
              <w:ind w:right="-1739"/>
              <w:jc w:val="both"/>
              <w:rPr>
                <w:b/>
                <w:sz w:val="20"/>
              </w:rPr>
            </w:pPr>
            <w:r w:rsidRPr="0059779D">
              <w:rPr>
                <w:b/>
                <w:sz w:val="20"/>
              </w:rPr>
              <w:t>Téléphone</w:t>
            </w:r>
            <w:r w:rsidR="008F4E36" w:rsidRPr="0059779D">
              <w:rPr>
                <w:b/>
                <w:sz w:val="20"/>
              </w:rPr>
              <w:t> :</w:t>
            </w:r>
          </w:p>
        </w:tc>
        <w:tc>
          <w:tcPr>
            <w:tcW w:w="5826" w:type="dxa"/>
            <w:gridSpan w:val="2"/>
            <w:tcBorders>
              <w:left w:val="single" w:sz="4" w:space="0" w:color="auto"/>
              <w:right w:val="single" w:sz="4" w:space="0" w:color="auto"/>
            </w:tcBorders>
            <w:shd w:val="clear" w:color="auto" w:fill="auto"/>
          </w:tcPr>
          <w:p w:rsidR="003639FD" w:rsidRPr="00B737CB" w:rsidRDefault="002557DF" w:rsidP="00454C2F">
            <w:pPr>
              <w:ind w:right="1317"/>
              <w:jc w:val="both"/>
              <w:rPr>
                <w:b/>
                <w:sz w:val="22"/>
                <w:szCs w:val="22"/>
              </w:rPr>
            </w:pPr>
            <w:r w:rsidRPr="00B737CB">
              <w:rPr>
                <w:b/>
                <w:sz w:val="22"/>
                <w:szCs w:val="22"/>
              </w:rPr>
              <w:t>+32 2 29</w:t>
            </w:r>
            <w:r w:rsidR="00FC037A">
              <w:rPr>
                <w:b/>
                <w:sz w:val="22"/>
                <w:szCs w:val="22"/>
              </w:rPr>
              <w:t xml:space="preserve"> </w:t>
            </w:r>
            <w:r w:rsidR="00A84F2F">
              <w:rPr>
                <w:b/>
                <w:sz w:val="20"/>
              </w:rPr>
              <w:t>80567</w:t>
            </w:r>
          </w:p>
        </w:tc>
      </w:tr>
      <w:tr w:rsidR="002F757B" w:rsidRPr="0059779D" w:rsidTr="002D3B67">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2693" w:type="dxa"/>
            <w:gridSpan w:val="2"/>
            <w:tcBorders>
              <w:right w:val="single" w:sz="4" w:space="0" w:color="auto"/>
            </w:tcBorders>
            <w:shd w:val="clear" w:color="auto" w:fill="auto"/>
          </w:tcPr>
          <w:p w:rsidR="002F757B" w:rsidRPr="0059779D" w:rsidRDefault="002F757B" w:rsidP="0059779D">
            <w:pPr>
              <w:tabs>
                <w:tab w:val="left" w:pos="1697"/>
              </w:tabs>
              <w:ind w:right="-1739"/>
              <w:jc w:val="both"/>
              <w:rPr>
                <w:b/>
                <w:sz w:val="20"/>
              </w:rPr>
            </w:pPr>
          </w:p>
        </w:tc>
        <w:tc>
          <w:tcPr>
            <w:tcW w:w="5812" w:type="dxa"/>
            <w:tcBorders>
              <w:right w:val="single" w:sz="4" w:space="0" w:color="auto"/>
            </w:tcBorders>
            <w:shd w:val="clear" w:color="auto" w:fill="auto"/>
          </w:tcPr>
          <w:p w:rsidR="002F757B" w:rsidRPr="00B737CB" w:rsidRDefault="002F757B" w:rsidP="00B737CB">
            <w:pPr>
              <w:tabs>
                <w:tab w:val="left" w:pos="1697"/>
                <w:tab w:val="left" w:pos="6163"/>
              </w:tabs>
              <w:ind w:right="-1739"/>
              <w:jc w:val="both"/>
              <w:rPr>
                <w:b/>
                <w:sz w:val="22"/>
                <w:szCs w:val="22"/>
              </w:rPr>
            </w:pPr>
          </w:p>
        </w:tc>
      </w:tr>
      <w:tr w:rsidR="003639FD" w:rsidRPr="0059779D" w:rsidTr="002D3B67">
        <w:tc>
          <w:tcPr>
            <w:tcW w:w="392" w:type="dxa"/>
            <w:tcBorders>
              <w:left w:val="single" w:sz="4" w:space="0" w:color="auto"/>
            </w:tcBorders>
            <w:shd w:val="clear" w:color="auto" w:fill="auto"/>
          </w:tcPr>
          <w:p w:rsidR="003639FD" w:rsidRPr="0059779D" w:rsidRDefault="003639FD" w:rsidP="0059779D">
            <w:pPr>
              <w:ind w:right="1317"/>
              <w:jc w:val="both"/>
              <w:rPr>
                <w:b/>
                <w:sz w:val="20"/>
              </w:rPr>
            </w:pPr>
          </w:p>
        </w:tc>
        <w:tc>
          <w:tcPr>
            <w:tcW w:w="2679" w:type="dxa"/>
            <w:tcBorders>
              <w:left w:val="nil"/>
              <w:right w:val="single" w:sz="4" w:space="0" w:color="auto"/>
            </w:tcBorders>
            <w:shd w:val="clear" w:color="auto" w:fill="auto"/>
          </w:tcPr>
          <w:p w:rsidR="003639FD" w:rsidRPr="0059779D" w:rsidRDefault="00C41FD8" w:rsidP="0059779D">
            <w:pPr>
              <w:tabs>
                <w:tab w:val="left" w:pos="1697"/>
              </w:tabs>
              <w:ind w:right="-1739"/>
              <w:jc w:val="both"/>
              <w:rPr>
                <w:b/>
                <w:sz w:val="20"/>
              </w:rPr>
            </w:pPr>
            <w:r w:rsidRPr="0059779D">
              <w:rPr>
                <w:b/>
                <w:sz w:val="20"/>
              </w:rPr>
              <w:t>Nombre de postes disponibles:</w:t>
            </w:r>
          </w:p>
        </w:tc>
        <w:tc>
          <w:tcPr>
            <w:tcW w:w="5826" w:type="dxa"/>
            <w:gridSpan w:val="2"/>
            <w:tcBorders>
              <w:left w:val="single" w:sz="4" w:space="0" w:color="auto"/>
              <w:right w:val="single" w:sz="4" w:space="0" w:color="auto"/>
            </w:tcBorders>
            <w:shd w:val="clear" w:color="auto" w:fill="auto"/>
          </w:tcPr>
          <w:p w:rsidR="003639FD" w:rsidRPr="00B737CB" w:rsidRDefault="00C41FD8" w:rsidP="0059779D">
            <w:pPr>
              <w:ind w:left="34" w:right="1317"/>
              <w:jc w:val="both"/>
              <w:rPr>
                <w:b/>
                <w:sz w:val="22"/>
                <w:szCs w:val="22"/>
              </w:rPr>
            </w:pPr>
            <w:r w:rsidRPr="00B737CB">
              <w:rPr>
                <w:b/>
                <w:sz w:val="22"/>
                <w:szCs w:val="22"/>
              </w:rPr>
              <w:t>1</w:t>
            </w:r>
          </w:p>
        </w:tc>
      </w:tr>
      <w:tr w:rsidR="00C41FD8" w:rsidRPr="00454C2F" w:rsidTr="002D3B67">
        <w:tc>
          <w:tcPr>
            <w:tcW w:w="392" w:type="dxa"/>
            <w:tcBorders>
              <w:left w:val="single" w:sz="4" w:space="0" w:color="auto"/>
            </w:tcBorders>
            <w:shd w:val="clear" w:color="auto" w:fill="auto"/>
          </w:tcPr>
          <w:p w:rsidR="00C41FD8" w:rsidRPr="0059779D" w:rsidRDefault="00C41FD8" w:rsidP="0059779D">
            <w:pPr>
              <w:ind w:right="1317"/>
              <w:jc w:val="both"/>
              <w:rPr>
                <w:b/>
                <w:sz w:val="20"/>
              </w:rPr>
            </w:pPr>
          </w:p>
        </w:tc>
        <w:tc>
          <w:tcPr>
            <w:tcW w:w="2679" w:type="dxa"/>
            <w:tcBorders>
              <w:right w:val="single" w:sz="4" w:space="0" w:color="auto"/>
            </w:tcBorders>
            <w:shd w:val="clear" w:color="auto" w:fill="auto"/>
          </w:tcPr>
          <w:p w:rsidR="000230DA" w:rsidRDefault="000230DA" w:rsidP="0059779D">
            <w:pPr>
              <w:tabs>
                <w:tab w:val="left" w:pos="1697"/>
              </w:tabs>
              <w:ind w:right="-1739"/>
              <w:jc w:val="both"/>
              <w:rPr>
                <w:b/>
                <w:sz w:val="20"/>
              </w:rPr>
            </w:pPr>
            <w:r>
              <w:rPr>
                <w:b/>
                <w:sz w:val="20"/>
              </w:rPr>
              <w:t>Catégorie</w:t>
            </w:r>
          </w:p>
          <w:p w:rsidR="00C41FD8" w:rsidRDefault="00C41FD8" w:rsidP="0059779D">
            <w:pPr>
              <w:tabs>
                <w:tab w:val="left" w:pos="1697"/>
              </w:tabs>
              <w:ind w:right="-1739"/>
              <w:jc w:val="both"/>
              <w:rPr>
                <w:b/>
                <w:sz w:val="20"/>
              </w:rPr>
            </w:pPr>
            <w:r w:rsidRPr="0059779D">
              <w:rPr>
                <w:b/>
                <w:sz w:val="20"/>
              </w:rPr>
              <w:t>Prise de fonction souhaitée :</w:t>
            </w:r>
          </w:p>
          <w:p w:rsidR="00625DED" w:rsidRPr="0059779D" w:rsidRDefault="00625DED" w:rsidP="0059779D">
            <w:pPr>
              <w:tabs>
                <w:tab w:val="left" w:pos="1697"/>
              </w:tabs>
              <w:ind w:right="-1739"/>
              <w:jc w:val="both"/>
              <w:rPr>
                <w:b/>
                <w:sz w:val="20"/>
              </w:rPr>
            </w:pPr>
            <w:r>
              <w:rPr>
                <w:b/>
                <w:sz w:val="20"/>
              </w:rPr>
              <w:t>Durée initiale souhaitée</w:t>
            </w:r>
          </w:p>
        </w:tc>
        <w:tc>
          <w:tcPr>
            <w:tcW w:w="5826" w:type="dxa"/>
            <w:gridSpan w:val="2"/>
            <w:tcBorders>
              <w:left w:val="single" w:sz="4" w:space="0" w:color="auto"/>
              <w:right w:val="single" w:sz="4" w:space="0" w:color="auto"/>
            </w:tcBorders>
            <w:shd w:val="clear" w:color="auto" w:fill="auto"/>
          </w:tcPr>
          <w:p w:rsidR="000230DA" w:rsidRPr="00B737CB" w:rsidRDefault="000230DA" w:rsidP="0059779D">
            <w:pPr>
              <w:ind w:left="34" w:right="1317"/>
              <w:jc w:val="both"/>
              <w:rPr>
                <w:b/>
                <w:sz w:val="22"/>
                <w:szCs w:val="22"/>
              </w:rPr>
            </w:pPr>
            <w:r w:rsidRPr="00B737CB">
              <w:rPr>
                <w:b/>
                <w:sz w:val="22"/>
                <w:szCs w:val="22"/>
              </w:rPr>
              <w:t>Administrateur (AD)</w:t>
            </w:r>
          </w:p>
          <w:p w:rsidR="00C41FD8" w:rsidRPr="00454C2F" w:rsidRDefault="00454C2F" w:rsidP="0059779D">
            <w:pPr>
              <w:ind w:left="34" w:right="1317"/>
              <w:jc w:val="both"/>
              <w:rPr>
                <w:b/>
                <w:sz w:val="22"/>
                <w:szCs w:val="22"/>
              </w:rPr>
            </w:pPr>
            <w:r w:rsidRPr="00454C2F">
              <w:rPr>
                <w:b/>
                <w:sz w:val="22"/>
                <w:szCs w:val="22"/>
              </w:rPr>
              <w:t>2ème</w:t>
            </w:r>
            <w:r w:rsidR="00C41FD8" w:rsidRPr="00454C2F">
              <w:rPr>
                <w:b/>
                <w:sz w:val="22"/>
                <w:szCs w:val="22"/>
              </w:rPr>
              <w:t xml:space="preserve"> trimestre 20</w:t>
            </w:r>
            <w:r w:rsidR="00C40906" w:rsidRPr="00454C2F">
              <w:rPr>
                <w:b/>
                <w:sz w:val="22"/>
                <w:szCs w:val="22"/>
              </w:rPr>
              <w:t>1</w:t>
            </w:r>
            <w:r w:rsidR="00FC037A" w:rsidRPr="00454C2F">
              <w:rPr>
                <w:b/>
                <w:sz w:val="22"/>
                <w:szCs w:val="22"/>
              </w:rPr>
              <w:t>9</w:t>
            </w:r>
            <w:r w:rsidR="00625DED" w:rsidRPr="00B737CB">
              <w:rPr>
                <w:rStyle w:val="FootnoteReference"/>
                <w:b/>
                <w:sz w:val="22"/>
                <w:szCs w:val="22"/>
              </w:rPr>
              <w:footnoteReference w:id="1"/>
            </w:r>
          </w:p>
          <w:p w:rsidR="00625DED" w:rsidRPr="00454C2F" w:rsidRDefault="00B737CB" w:rsidP="00B737CB">
            <w:pPr>
              <w:ind w:left="34" w:right="1317"/>
              <w:jc w:val="both"/>
              <w:rPr>
                <w:b/>
                <w:sz w:val="22"/>
                <w:szCs w:val="22"/>
              </w:rPr>
            </w:pPr>
            <w:r w:rsidRPr="00454C2F">
              <w:rPr>
                <w:b/>
                <w:sz w:val="22"/>
                <w:szCs w:val="22"/>
              </w:rPr>
              <w:t>Deux</w:t>
            </w:r>
            <w:r w:rsidR="00C40906" w:rsidRPr="00454C2F">
              <w:rPr>
                <w:b/>
                <w:sz w:val="22"/>
                <w:szCs w:val="22"/>
              </w:rPr>
              <w:t xml:space="preserve"> (</w:t>
            </w:r>
            <w:r w:rsidRPr="00454C2F">
              <w:rPr>
                <w:b/>
                <w:sz w:val="22"/>
                <w:szCs w:val="22"/>
              </w:rPr>
              <w:t>2</w:t>
            </w:r>
            <w:r w:rsidR="00C40906" w:rsidRPr="00454C2F">
              <w:rPr>
                <w:b/>
                <w:sz w:val="22"/>
                <w:szCs w:val="22"/>
              </w:rPr>
              <w:t xml:space="preserve">) </w:t>
            </w:r>
            <w:r w:rsidR="00625DED" w:rsidRPr="00454C2F">
              <w:rPr>
                <w:b/>
                <w:sz w:val="22"/>
                <w:szCs w:val="22"/>
              </w:rPr>
              <w:t xml:space="preserve"> an(s)</w:t>
            </w:r>
            <w:r w:rsidR="00625DED" w:rsidRPr="00454C2F">
              <w:rPr>
                <w:rStyle w:val="FootnoteReference"/>
                <w:b/>
                <w:sz w:val="22"/>
                <w:szCs w:val="22"/>
              </w:rPr>
              <w:t>1</w:t>
            </w:r>
          </w:p>
        </w:tc>
      </w:tr>
      <w:tr w:rsidR="00C41FD8" w:rsidRPr="0059779D" w:rsidTr="002D3B67">
        <w:tc>
          <w:tcPr>
            <w:tcW w:w="392" w:type="dxa"/>
            <w:tcBorders>
              <w:left w:val="single" w:sz="4" w:space="0" w:color="auto"/>
              <w:bottom w:val="single" w:sz="4" w:space="0" w:color="auto"/>
            </w:tcBorders>
            <w:shd w:val="clear" w:color="auto" w:fill="auto"/>
          </w:tcPr>
          <w:p w:rsidR="00C41FD8" w:rsidRPr="00454C2F" w:rsidRDefault="00C41FD8" w:rsidP="0059779D">
            <w:pPr>
              <w:ind w:right="1317"/>
              <w:jc w:val="both"/>
              <w:rPr>
                <w:b/>
                <w:sz w:val="20"/>
              </w:rPr>
            </w:pPr>
          </w:p>
        </w:tc>
        <w:tc>
          <w:tcPr>
            <w:tcW w:w="2679" w:type="dxa"/>
            <w:tcBorders>
              <w:bottom w:val="single" w:sz="4" w:space="0" w:color="auto"/>
              <w:right w:val="single" w:sz="4" w:space="0" w:color="auto"/>
            </w:tcBorders>
            <w:shd w:val="clear" w:color="auto" w:fill="auto"/>
          </w:tcPr>
          <w:p w:rsidR="00C41FD8" w:rsidRPr="0059779D" w:rsidRDefault="00C41FD8" w:rsidP="0059779D">
            <w:pPr>
              <w:tabs>
                <w:tab w:val="left" w:pos="1697"/>
              </w:tabs>
              <w:ind w:right="-1739"/>
              <w:jc w:val="both"/>
              <w:rPr>
                <w:b/>
                <w:sz w:val="20"/>
              </w:rPr>
            </w:pPr>
            <w:r w:rsidRPr="0059779D">
              <w:rPr>
                <w:b/>
                <w:sz w:val="20"/>
              </w:rPr>
              <w:t>Lieu d’affectation :</w:t>
            </w:r>
          </w:p>
        </w:tc>
        <w:tc>
          <w:tcPr>
            <w:tcW w:w="5826" w:type="dxa"/>
            <w:gridSpan w:val="2"/>
            <w:tcBorders>
              <w:left w:val="single" w:sz="4" w:space="0" w:color="auto"/>
              <w:bottom w:val="single" w:sz="4" w:space="0" w:color="auto"/>
              <w:right w:val="single" w:sz="4" w:space="0" w:color="auto"/>
            </w:tcBorders>
            <w:shd w:val="clear" w:color="auto" w:fill="auto"/>
          </w:tcPr>
          <w:p w:rsidR="002D3B67" w:rsidRDefault="00C54F28" w:rsidP="002D3B67">
            <w:pPr>
              <w:ind w:right="456"/>
              <w:jc w:val="both"/>
              <w:rPr>
                <w:b/>
                <w:sz w:val="20"/>
              </w:rPr>
            </w:pPr>
            <w:r w:rsidRPr="00C54F28">
              <w:rPr>
                <w:rFonts w:ascii="Verdana" w:eastAsia="MS Minngs" w:hAnsi="Verdana" w:cs="Verdana"/>
                <w:bCs/>
                <w:sz w:val="18"/>
                <w:szCs w:val="18"/>
                <w:lang w:val="fr-FR"/>
              </w:rPr>
              <w:sym w:font="Wingdings 2" w:char="F053"/>
            </w:r>
            <w:r w:rsidR="002D3B67" w:rsidRPr="00C54F28">
              <w:rPr>
                <w:b/>
                <w:sz w:val="20"/>
              </w:rPr>
              <w:t xml:space="preserve"> </w:t>
            </w:r>
            <w:r w:rsidR="002D3B67" w:rsidRPr="00DD20D9">
              <w:rPr>
                <w:b/>
                <w:sz w:val="20"/>
              </w:rPr>
              <w:t>Bruxelles</w:t>
            </w:r>
            <w:r w:rsidR="002D3B67">
              <w:rPr>
                <w:b/>
                <w:sz w:val="20"/>
              </w:rPr>
              <w:tab/>
            </w:r>
            <w:r w:rsidR="002D3B67" w:rsidRPr="00DD20D9">
              <w:rPr>
                <w:rFonts w:ascii="Verdana" w:eastAsia="MS Minngs" w:hAnsi="Verdana" w:cs="Verdana"/>
                <w:bCs/>
                <w:sz w:val="18"/>
                <w:szCs w:val="18"/>
                <w:lang w:val="fr-FR"/>
              </w:rPr>
              <w:sym w:font="Wingdings 2" w:char="F0A3"/>
            </w:r>
            <w:r w:rsidR="002D3B67">
              <w:rPr>
                <w:rFonts w:ascii="Verdana" w:eastAsia="MS Minngs" w:hAnsi="Verdana" w:cs="Verdana"/>
                <w:bCs/>
                <w:sz w:val="18"/>
                <w:szCs w:val="18"/>
                <w:lang w:val="fr-FR"/>
              </w:rPr>
              <w:t xml:space="preserve"> </w:t>
            </w:r>
            <w:r w:rsidR="002D3B67">
              <w:rPr>
                <w:b/>
                <w:sz w:val="20"/>
              </w:rPr>
              <w:t>Luxembourg</w:t>
            </w:r>
            <w:r w:rsidR="002D3B67">
              <w:rPr>
                <w:b/>
                <w:sz w:val="20"/>
              </w:rPr>
              <w:tab/>
              <w:t xml:space="preserve">       </w:t>
            </w:r>
            <w:r w:rsidR="002D3B67" w:rsidRPr="00DD20D9">
              <w:rPr>
                <w:rFonts w:ascii="Verdana" w:eastAsia="MS Minngs" w:hAnsi="Verdana" w:cs="Verdana"/>
                <w:bCs/>
                <w:sz w:val="18"/>
                <w:szCs w:val="18"/>
                <w:lang w:val="fr-FR"/>
              </w:rPr>
              <w:sym w:font="Wingdings 2" w:char="F0A3"/>
            </w:r>
            <w:r w:rsidR="002D3B67">
              <w:rPr>
                <w:rFonts w:ascii="Verdana" w:eastAsia="MS Minngs" w:hAnsi="Verdana" w:cs="Verdana"/>
                <w:bCs/>
                <w:sz w:val="18"/>
                <w:szCs w:val="18"/>
                <w:lang w:val="fr-FR"/>
              </w:rPr>
              <w:t xml:space="preserve"> </w:t>
            </w:r>
            <w:r w:rsidR="002D3B67" w:rsidRPr="00DD20D9">
              <w:rPr>
                <w:b/>
                <w:sz w:val="20"/>
              </w:rPr>
              <w:t>Autre</w:t>
            </w:r>
            <w:r w:rsidR="002D3B67">
              <w:rPr>
                <w:b/>
                <w:sz w:val="20"/>
              </w:rPr>
              <w:t xml:space="preserve"> : </w:t>
            </w:r>
            <w:r w:rsidR="002D3B67" w:rsidRPr="00DD20D9">
              <w:rPr>
                <w:b/>
                <w:sz w:val="20"/>
              </w:rPr>
              <w:t>…….</w:t>
            </w:r>
          </w:p>
          <w:p w:rsidR="00C41FD8" w:rsidRPr="00B737CB" w:rsidRDefault="00C41FD8" w:rsidP="002D3B67">
            <w:pPr>
              <w:ind w:right="314"/>
              <w:jc w:val="both"/>
              <w:rPr>
                <w:b/>
                <w:sz w:val="22"/>
                <w:szCs w:val="22"/>
              </w:rPr>
            </w:pPr>
          </w:p>
        </w:tc>
      </w:tr>
      <w:tr w:rsidR="002D3B67" w:rsidRPr="0059779D" w:rsidTr="002D3B67">
        <w:tc>
          <w:tcPr>
            <w:tcW w:w="392" w:type="dxa"/>
            <w:tcBorders>
              <w:top w:val="single" w:sz="4" w:space="0" w:color="auto"/>
              <w:left w:val="single" w:sz="4" w:space="0" w:color="auto"/>
            </w:tcBorders>
            <w:shd w:val="clear" w:color="auto" w:fill="auto"/>
          </w:tcPr>
          <w:p w:rsidR="002D3B67" w:rsidRPr="00454C2F" w:rsidRDefault="002D3B67" w:rsidP="0059779D">
            <w:pPr>
              <w:ind w:right="1317"/>
              <w:jc w:val="both"/>
              <w:rPr>
                <w:b/>
                <w:sz w:val="20"/>
              </w:rPr>
            </w:pPr>
          </w:p>
        </w:tc>
        <w:tc>
          <w:tcPr>
            <w:tcW w:w="2679" w:type="dxa"/>
            <w:tcBorders>
              <w:top w:val="single" w:sz="4" w:space="0" w:color="auto"/>
              <w:right w:val="single" w:sz="4" w:space="0" w:color="auto"/>
            </w:tcBorders>
            <w:shd w:val="clear" w:color="auto" w:fill="auto"/>
          </w:tcPr>
          <w:p w:rsidR="002D3B67" w:rsidRPr="0059779D" w:rsidRDefault="002D3B67"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5826" w:type="dxa"/>
            <w:gridSpan w:val="2"/>
            <w:tcBorders>
              <w:top w:val="single" w:sz="4" w:space="0" w:color="auto"/>
              <w:left w:val="single" w:sz="4" w:space="0" w:color="auto"/>
              <w:bottom w:val="single" w:sz="4" w:space="0" w:color="auto"/>
              <w:right w:val="single" w:sz="4" w:space="0" w:color="auto"/>
            </w:tcBorders>
            <w:shd w:val="clear" w:color="auto" w:fill="auto"/>
          </w:tcPr>
          <w:p w:rsidR="002D3B67" w:rsidRPr="00836F84" w:rsidRDefault="00C54F28" w:rsidP="002D3B67">
            <w:pPr>
              <w:ind w:right="456"/>
              <w:jc w:val="both"/>
              <w:rPr>
                <w:rFonts w:ascii="Verdana" w:eastAsia="MS Minngs" w:hAnsi="Verdana" w:cs="Verdana"/>
                <w:bCs/>
                <w:sz w:val="18"/>
                <w:szCs w:val="18"/>
                <w:lang w:val="fr-FR"/>
              </w:rPr>
            </w:pPr>
            <w:r>
              <w:rPr>
                <w:rFonts w:ascii="Verdana" w:eastAsia="MS Minngs" w:hAnsi="Verdana" w:cs="Verdana"/>
                <w:bCs/>
                <w:sz w:val="18"/>
                <w:szCs w:val="18"/>
                <w:lang w:val="fr-FR"/>
              </w:rPr>
              <w:sym w:font="Wingdings 2" w:char="F053"/>
            </w:r>
            <w:r w:rsidR="002D3B67" w:rsidRPr="00DD20D9">
              <w:rPr>
                <w:rStyle w:val="Strong"/>
                <w:sz w:val="20"/>
              </w:rPr>
              <w:t> </w:t>
            </w:r>
            <w:r w:rsidR="002D3B67">
              <w:rPr>
                <w:rStyle w:val="Strong"/>
                <w:sz w:val="20"/>
              </w:rPr>
              <w:t xml:space="preserve">   </w:t>
            </w:r>
            <w:r w:rsidR="002D3B67">
              <w:rPr>
                <w:b/>
                <w:sz w:val="20"/>
              </w:rPr>
              <w:t xml:space="preserve">Avec indemnités  </w:t>
            </w:r>
            <w:r w:rsidR="002D3B67" w:rsidRPr="00DD20D9">
              <w:rPr>
                <w:b/>
                <w:sz w:val="20"/>
              </w:rPr>
              <w:t xml:space="preserve"> </w:t>
            </w:r>
            <w:r w:rsidR="002D3B67">
              <w:rPr>
                <w:b/>
                <w:sz w:val="20"/>
              </w:rPr>
              <w:tab/>
            </w:r>
            <w:r w:rsidR="002D3B67" w:rsidRPr="00836F84">
              <w:rPr>
                <w:rFonts w:ascii="Verdana" w:eastAsia="MS Minngs" w:hAnsi="Verdana" w:cs="Verdana"/>
                <w:bCs/>
                <w:sz w:val="18"/>
                <w:szCs w:val="18"/>
              </w:rPr>
              <w:t></w:t>
            </w:r>
            <w:r w:rsidR="002D3B67" w:rsidRPr="00DD20D9">
              <w:rPr>
                <w:rStyle w:val="Strong"/>
                <w:sz w:val="20"/>
              </w:rPr>
              <w:t> </w:t>
            </w:r>
            <w:r w:rsidR="002D3B67" w:rsidRPr="00DD20D9">
              <w:rPr>
                <w:rFonts w:ascii="Verdana" w:eastAsia="MS Minngs" w:hAnsi="Verdana" w:cs="Verdana"/>
                <w:bCs/>
                <w:sz w:val="18"/>
                <w:szCs w:val="18"/>
                <w:lang w:val="fr-FR"/>
              </w:rPr>
              <w:t xml:space="preserve"> </w:t>
            </w:r>
            <w:r w:rsidR="002D3B67">
              <w:rPr>
                <w:b/>
                <w:sz w:val="20"/>
              </w:rPr>
              <w:t>Sans frais</w:t>
            </w:r>
          </w:p>
        </w:tc>
      </w:tr>
      <w:tr w:rsidR="002D3B67" w:rsidRPr="0059779D" w:rsidTr="002D3B67">
        <w:tc>
          <w:tcPr>
            <w:tcW w:w="392" w:type="dxa"/>
            <w:tcBorders>
              <w:left w:val="single" w:sz="4" w:space="0" w:color="auto"/>
            </w:tcBorders>
            <w:shd w:val="clear" w:color="auto" w:fill="auto"/>
          </w:tcPr>
          <w:p w:rsidR="002D3B67" w:rsidRPr="00454C2F" w:rsidRDefault="002D3B67" w:rsidP="0059779D">
            <w:pPr>
              <w:ind w:right="1317"/>
              <w:jc w:val="both"/>
              <w:rPr>
                <w:b/>
                <w:sz w:val="20"/>
              </w:rPr>
            </w:pPr>
          </w:p>
        </w:tc>
        <w:tc>
          <w:tcPr>
            <w:tcW w:w="2679" w:type="dxa"/>
            <w:tcBorders>
              <w:right w:val="single" w:sz="4" w:space="0" w:color="auto"/>
            </w:tcBorders>
            <w:shd w:val="clear" w:color="auto" w:fill="auto"/>
          </w:tcPr>
          <w:p w:rsidR="002D3B67" w:rsidRPr="0059779D" w:rsidRDefault="002D3B67" w:rsidP="0059779D">
            <w:pPr>
              <w:tabs>
                <w:tab w:val="left" w:pos="1697"/>
              </w:tabs>
              <w:ind w:right="-1739"/>
              <w:jc w:val="both"/>
              <w:rPr>
                <w:b/>
                <w:sz w:val="20"/>
              </w:rPr>
            </w:pPr>
          </w:p>
        </w:tc>
        <w:tc>
          <w:tcPr>
            <w:tcW w:w="5826" w:type="dxa"/>
            <w:gridSpan w:val="2"/>
            <w:tcBorders>
              <w:top w:val="single" w:sz="4" w:space="0" w:color="auto"/>
              <w:left w:val="single" w:sz="4" w:space="0" w:color="auto"/>
              <w:right w:val="single" w:sz="4" w:space="0" w:color="auto"/>
            </w:tcBorders>
            <w:shd w:val="clear" w:color="auto" w:fill="auto"/>
          </w:tcPr>
          <w:p w:rsidR="002D3B67" w:rsidRDefault="002D3B67" w:rsidP="002D3B67">
            <w:pPr>
              <w:rPr>
                <w:b/>
                <w:sz w:val="20"/>
              </w:rPr>
            </w:pPr>
            <w:r w:rsidRPr="00DD20D9">
              <w:rPr>
                <w:b/>
                <w:sz w:val="20"/>
              </w:rPr>
              <w:t xml:space="preserve">Cet </w:t>
            </w:r>
            <w:r>
              <w:rPr>
                <w:b/>
                <w:sz w:val="20"/>
              </w:rPr>
              <w:t xml:space="preserve">avis </w:t>
            </w:r>
            <w:r w:rsidRPr="00DD20D9">
              <w:rPr>
                <w:b/>
                <w:sz w:val="20"/>
              </w:rPr>
              <w:t xml:space="preserve">est </w:t>
            </w:r>
            <w:r>
              <w:rPr>
                <w:b/>
                <w:sz w:val="20"/>
              </w:rPr>
              <w:t>également ouvert</w:t>
            </w:r>
          </w:p>
          <w:p w:rsidR="002D3B67" w:rsidRDefault="002D3B67" w:rsidP="002D3B67">
            <w:pPr>
              <w:rPr>
                <w:rStyle w:val="Strong"/>
                <w:sz w:val="20"/>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Pr>
                <w:rStyle w:val="Strong"/>
                <w:sz w:val="20"/>
              </w:rPr>
              <w:t>aux</w:t>
            </w:r>
            <w:proofErr w:type="gramEnd"/>
            <w:r w:rsidRPr="00DD20D9">
              <w:rPr>
                <w:rStyle w:val="Strong"/>
                <w:sz w:val="20"/>
              </w:rPr>
              <w:t xml:space="preserve"> pays </w:t>
            </w:r>
            <w:r>
              <w:rPr>
                <w:rStyle w:val="Strong"/>
                <w:sz w:val="20"/>
              </w:rPr>
              <w:t>AELE</w:t>
            </w:r>
            <w:r w:rsidRPr="00DD20D9">
              <w:rPr>
                <w:rStyle w:val="Strong"/>
                <w:sz w:val="20"/>
              </w:rPr>
              <w:t xml:space="preserve"> suivants</w:t>
            </w:r>
            <w:r>
              <w:rPr>
                <w:rStyle w:val="Strong"/>
                <w:sz w:val="20"/>
              </w:rPr>
              <w:t xml:space="preserve"> </w:t>
            </w:r>
            <w:r w:rsidRPr="00DD20D9">
              <w:rPr>
                <w:rStyle w:val="Strong"/>
                <w:sz w:val="20"/>
              </w:rPr>
              <w:t>:</w:t>
            </w:r>
          </w:p>
          <w:p w:rsidR="002D3B67" w:rsidRPr="00ED15A0" w:rsidRDefault="002D3B67" w:rsidP="002D3B67">
            <w:pPr>
              <w:tabs>
                <w:tab w:val="left" w:pos="1182"/>
              </w:tabs>
              <w:ind w:right="-1739"/>
              <w:rPr>
                <w:sz w:val="20"/>
              </w:rPr>
            </w:pPr>
            <w:r>
              <w:rPr>
                <w:b/>
                <w:sz w:val="20"/>
              </w:rPr>
              <w:tab/>
            </w:r>
            <w:r w:rsidRPr="007E36DE">
              <w:rPr>
                <w:sz w:val="20"/>
              </w:rPr>
              <w:sym w:font="Wingdings 2" w:char="F0A3"/>
            </w:r>
            <w:r w:rsidRPr="007E36DE">
              <w:rPr>
                <w:b/>
                <w:sz w:val="20"/>
              </w:rPr>
              <w:t xml:space="preserve"> Islande </w:t>
            </w:r>
            <w:r w:rsidRPr="007E36DE">
              <w:rPr>
                <w:sz w:val="20"/>
              </w:rPr>
              <w:sym w:font="Wingdings 2" w:char="F0A3"/>
            </w:r>
            <w:r w:rsidRPr="007E36DE">
              <w:rPr>
                <w:b/>
                <w:sz w:val="20"/>
              </w:rPr>
              <w:t xml:space="preserve"> Liechtenstein </w:t>
            </w:r>
            <w:r w:rsidRPr="007E36DE">
              <w:rPr>
                <w:sz w:val="20"/>
              </w:rPr>
              <w:sym w:font="Wingdings 2" w:char="F0A3"/>
            </w:r>
            <w:r w:rsidRPr="007E36DE">
              <w:rPr>
                <w:b/>
                <w:sz w:val="20"/>
              </w:rPr>
              <w:t xml:space="preserve"> Norvège </w:t>
            </w:r>
            <w:r w:rsidRPr="007E36DE">
              <w:rPr>
                <w:sz w:val="20"/>
              </w:rPr>
              <w:sym w:font="Wingdings 2" w:char="F0A3"/>
            </w:r>
            <w:r>
              <w:rPr>
                <w:b/>
                <w:sz w:val="20"/>
              </w:rPr>
              <w:t xml:space="preserve"> Suisse</w:t>
            </w:r>
            <w:r w:rsidRPr="007E36DE">
              <w:rPr>
                <w:sz w:val="20"/>
              </w:rPr>
              <w:t xml:space="preserve"> </w:t>
            </w:r>
          </w:p>
          <w:p w:rsidR="002D3B67" w:rsidRPr="002D3B67" w:rsidRDefault="002D3B67" w:rsidP="002D3B67">
            <w:pPr>
              <w:tabs>
                <w:tab w:val="left" w:pos="1182"/>
              </w:tabs>
              <w:ind w:right="-1739"/>
              <w:rPr>
                <w:b/>
                <w:sz w:val="20"/>
              </w:rPr>
            </w:pPr>
            <w:r w:rsidRPr="00ED15A0">
              <w:rPr>
                <w:b/>
                <w:sz w:val="20"/>
              </w:rPr>
              <w:tab/>
            </w:r>
            <w:r w:rsidRPr="007E36DE">
              <w:rPr>
                <w:sz w:val="20"/>
              </w:rPr>
              <w:sym w:font="Wingdings 2" w:char="F0A3"/>
            </w:r>
            <w:r w:rsidRPr="001653AB">
              <w:rPr>
                <w:b/>
                <w:sz w:val="20"/>
              </w:rPr>
              <w:t xml:space="preserve"> Accord AELE-EEE </w:t>
            </w:r>
            <w:r w:rsidRPr="002D3B67">
              <w:rPr>
                <w:b/>
                <w:sz w:val="20"/>
              </w:rPr>
              <w:t>in-</w:t>
            </w:r>
            <w:proofErr w:type="spellStart"/>
            <w:r w:rsidRPr="002D3B67">
              <w:rPr>
                <w:b/>
                <w:sz w:val="20"/>
              </w:rPr>
              <w:t>Kind</w:t>
            </w:r>
            <w:proofErr w:type="spellEnd"/>
          </w:p>
          <w:p w:rsidR="002D3B67" w:rsidRPr="000860A3" w:rsidRDefault="002D3B67" w:rsidP="002D3B67">
            <w:pPr>
              <w:tabs>
                <w:tab w:val="left" w:pos="1697"/>
              </w:tabs>
              <w:ind w:right="-1739"/>
              <w:rPr>
                <w:b/>
                <w:sz w:val="20"/>
              </w:rPr>
            </w:pPr>
            <w:r w:rsidRPr="002D3B67">
              <w:rPr>
                <w:b/>
                <w:sz w:val="20"/>
              </w:rPr>
              <w:t xml:space="preserve">                                </w:t>
            </w:r>
            <w:r w:rsidRPr="00ED15A0">
              <w:rPr>
                <w:b/>
                <w:sz w:val="20"/>
              </w:rPr>
              <w:t>(Islande, Liechtenstein, Norvège)</w:t>
            </w:r>
            <w:r>
              <w:rPr>
                <w:b/>
                <w:sz w:val="20"/>
              </w:rPr>
              <w:t xml:space="preserve"> </w:t>
            </w:r>
            <w:r w:rsidRPr="00C3694E">
              <w:rPr>
                <w:b/>
                <w:sz w:val="20"/>
              </w:rPr>
              <w:br/>
            </w:r>
            <w:r w:rsidRPr="00DD20D9">
              <w:rPr>
                <w:rFonts w:ascii="Verdana" w:eastAsia="MS Minngs" w:hAnsi="Verdana" w:cs="Verdana"/>
                <w:bCs/>
                <w:sz w:val="18"/>
                <w:szCs w:val="18"/>
                <w:lang w:val="fr-FR"/>
              </w:rPr>
              <w:sym w:font="Wingdings 2" w:char="F0A3"/>
            </w:r>
            <w:r>
              <w:rPr>
                <w:rStyle w:val="Strong"/>
                <w:sz w:val="20"/>
              </w:rPr>
              <w:t>    aux</w:t>
            </w:r>
            <w:r w:rsidRPr="00DD20D9">
              <w:rPr>
                <w:rStyle w:val="Strong"/>
                <w:sz w:val="20"/>
              </w:rPr>
              <w:t xml:space="preserve"> pays tiers suivants:</w:t>
            </w:r>
            <w:r>
              <w:rPr>
                <w:rStyle w:val="Strong"/>
                <w:sz w:val="20"/>
              </w:rPr>
              <w:t xml:space="preserve"> </w:t>
            </w:r>
          </w:p>
          <w:p w:rsidR="002D3B67" w:rsidRPr="002D3B67" w:rsidRDefault="002D3B67" w:rsidP="002D3B67">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aux</w:t>
            </w:r>
            <w:r w:rsidRPr="00DD20D9">
              <w:rPr>
                <w:rStyle w:val="Strong"/>
                <w:sz w:val="20"/>
              </w:rPr>
              <w:t xml:space="preserve"> organisations intergouvernementales suivantes: </w:t>
            </w:r>
          </w:p>
        </w:tc>
      </w:tr>
      <w:tr w:rsidR="002F757B" w:rsidRPr="0059779D" w:rsidTr="002D3B67">
        <w:tc>
          <w:tcPr>
            <w:tcW w:w="392" w:type="dxa"/>
            <w:tcBorders>
              <w:left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2679" w:type="dxa"/>
            <w:tcBorders>
              <w:bottom w:val="single" w:sz="4" w:space="0" w:color="auto"/>
              <w:right w:val="single" w:sz="4" w:space="0" w:color="auto"/>
            </w:tcBorders>
            <w:shd w:val="clear" w:color="auto" w:fill="auto"/>
          </w:tcPr>
          <w:p w:rsidR="002F757B" w:rsidRPr="0059779D" w:rsidRDefault="002F757B" w:rsidP="0059779D">
            <w:pPr>
              <w:tabs>
                <w:tab w:val="left" w:pos="1697"/>
              </w:tabs>
              <w:ind w:right="-1739"/>
              <w:jc w:val="both"/>
              <w:rPr>
                <w:b/>
                <w:sz w:val="20"/>
              </w:rPr>
            </w:pPr>
          </w:p>
        </w:tc>
        <w:tc>
          <w:tcPr>
            <w:tcW w:w="5826" w:type="dxa"/>
            <w:gridSpan w:val="2"/>
            <w:tcBorders>
              <w:left w:val="single" w:sz="4" w:space="0" w:color="auto"/>
              <w:bottom w:val="single" w:sz="4" w:space="0" w:color="auto"/>
              <w:right w:val="single" w:sz="4" w:space="0" w:color="auto"/>
            </w:tcBorders>
            <w:shd w:val="clear" w:color="auto" w:fill="auto"/>
          </w:tcPr>
          <w:p w:rsidR="0055386D" w:rsidRPr="00DD20D9" w:rsidRDefault="0055386D" w:rsidP="00773ACF">
            <w:pPr>
              <w:rPr>
                <w:b/>
                <w:sz w:val="20"/>
              </w:rPr>
            </w:pPr>
          </w:p>
        </w:tc>
      </w:tr>
      <w:tr w:rsidR="002F757B" w:rsidRPr="0059779D" w:rsidTr="002D3B67">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505" w:type="dxa"/>
            <w:gridSpan w:val="3"/>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2D3B67">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1</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Nature des fonctions</w:t>
            </w:r>
            <w:r w:rsidR="002F757B" w:rsidRPr="0059779D">
              <w:rPr>
                <w:b/>
                <w:sz w:val="20"/>
              </w:rPr>
              <w:t> :</w:t>
            </w:r>
          </w:p>
        </w:tc>
      </w:tr>
      <w:tr w:rsidR="00C40906" w:rsidRPr="00D3601A" w:rsidTr="002D3B67">
        <w:tc>
          <w:tcPr>
            <w:tcW w:w="392" w:type="dxa"/>
            <w:tcBorders>
              <w:top w:val="single" w:sz="4" w:space="0" w:color="auto"/>
              <w:left w:val="single" w:sz="4" w:space="0" w:color="auto"/>
            </w:tcBorders>
            <w:shd w:val="clear" w:color="auto" w:fill="auto"/>
          </w:tcPr>
          <w:p w:rsidR="00C40906" w:rsidRPr="0059779D" w:rsidRDefault="00C40906" w:rsidP="0059779D">
            <w:pPr>
              <w:ind w:right="1317"/>
              <w:jc w:val="both"/>
              <w:rPr>
                <w:b/>
                <w:sz w:val="20"/>
              </w:rPr>
            </w:pPr>
          </w:p>
        </w:tc>
        <w:tc>
          <w:tcPr>
            <w:tcW w:w="8505" w:type="dxa"/>
            <w:gridSpan w:val="3"/>
            <w:tcBorders>
              <w:top w:val="single" w:sz="4" w:space="0" w:color="auto"/>
              <w:right w:val="single" w:sz="4" w:space="0" w:color="auto"/>
            </w:tcBorders>
            <w:shd w:val="clear" w:color="auto" w:fill="auto"/>
          </w:tcPr>
          <w:p w:rsidR="00155FA0" w:rsidRDefault="008930B8" w:rsidP="00343A40">
            <w:pPr>
              <w:jc w:val="both"/>
              <w:rPr>
                <w:b/>
                <w:sz w:val="20"/>
              </w:rPr>
            </w:pPr>
            <w:r w:rsidRPr="000C695E">
              <w:rPr>
                <w:b/>
                <w:sz w:val="20"/>
              </w:rPr>
              <w:t>Responsable de politiques</w:t>
            </w:r>
          </w:p>
          <w:p w:rsidR="0020103F" w:rsidRPr="000C695E" w:rsidRDefault="0020103F" w:rsidP="00343A40">
            <w:pPr>
              <w:jc w:val="both"/>
              <w:rPr>
                <w:b/>
                <w:sz w:val="20"/>
              </w:rPr>
            </w:pPr>
          </w:p>
          <w:p w:rsidR="001807A5" w:rsidRPr="00155FA0" w:rsidRDefault="001807A5" w:rsidP="0020103F">
            <w:pPr>
              <w:ind w:right="173"/>
              <w:jc w:val="both"/>
            </w:pPr>
            <w:r>
              <w:rPr>
                <w:sz w:val="20"/>
              </w:rPr>
              <w:t>Améliorer les performances de l’union douanière, qui constituent un élément essentiel de la gouvernance de l’union douanière de l’UE, et contribuer à la gestion de la politique douanière de l’UE en utilisant des données probantes. Le poste suppose de travailler avec des ICP, d’analyser des données opérationnelles, d’examiner et d’évaluer les résultats de l’union douanière, ainsi que d’assurer la liaison en interne et avec les autres services de la Commission, les autorités présentes aux frontières extérieures de l’UE, les États membres et les représentants du commerce. En outre, le poste offre un aperçu général de l’évolution de la politique douanière et la possibilité de contribuer aux discussions en matière de développement stratégique ainsi qu’aux réunions à haut niveau, telles que le groupe de politique douanière, la réunion à haut niveau des directeurs généraux des douanes au Conseil et d’autres manifestations similaires. Des contacts étroits avec les organisations internationales, telles que l’OMD et l’OCDE, et les milieux universitaires, ainsi que le suivi régulier de l’évolution du commerce mondial, des douanes, des entreprises et de l’économie sont essentiels à cet égard.</w:t>
            </w:r>
          </w:p>
        </w:tc>
      </w:tr>
      <w:tr w:rsidR="00C40906" w:rsidRPr="00D3601A" w:rsidTr="002D3B67">
        <w:tc>
          <w:tcPr>
            <w:tcW w:w="392" w:type="dxa"/>
            <w:tcBorders>
              <w:top w:val="single" w:sz="4" w:space="0" w:color="auto"/>
              <w:bottom w:val="single" w:sz="4" w:space="0" w:color="auto"/>
            </w:tcBorders>
            <w:shd w:val="clear" w:color="auto" w:fill="auto"/>
          </w:tcPr>
          <w:p w:rsidR="00C40906" w:rsidRPr="00D3601A" w:rsidRDefault="00C40906" w:rsidP="0059779D">
            <w:pPr>
              <w:ind w:right="1317"/>
              <w:jc w:val="both"/>
              <w:rPr>
                <w:b/>
                <w:sz w:val="20"/>
              </w:rPr>
            </w:pPr>
          </w:p>
        </w:tc>
        <w:tc>
          <w:tcPr>
            <w:tcW w:w="8505" w:type="dxa"/>
            <w:gridSpan w:val="3"/>
            <w:tcBorders>
              <w:top w:val="single" w:sz="4" w:space="0" w:color="auto"/>
              <w:bottom w:val="single" w:sz="4" w:space="0" w:color="auto"/>
            </w:tcBorders>
            <w:shd w:val="clear" w:color="auto" w:fill="auto"/>
          </w:tcPr>
          <w:p w:rsidR="00C40906" w:rsidRPr="00D3601A" w:rsidRDefault="00C40906" w:rsidP="0059779D">
            <w:pPr>
              <w:ind w:right="1317"/>
              <w:jc w:val="both"/>
              <w:rPr>
                <w:b/>
                <w:sz w:val="20"/>
              </w:rPr>
            </w:pPr>
          </w:p>
        </w:tc>
      </w:tr>
      <w:tr w:rsidR="00C40906" w:rsidRPr="0059779D" w:rsidTr="002D3B67">
        <w:tc>
          <w:tcPr>
            <w:tcW w:w="392" w:type="dxa"/>
            <w:tcBorders>
              <w:top w:val="single" w:sz="4" w:space="0" w:color="auto"/>
              <w:left w:val="single" w:sz="4" w:space="0" w:color="auto"/>
              <w:bottom w:val="single" w:sz="4" w:space="0" w:color="auto"/>
              <w:right w:val="single" w:sz="4" w:space="0" w:color="auto"/>
            </w:tcBorders>
            <w:shd w:val="clear" w:color="auto" w:fill="auto"/>
          </w:tcPr>
          <w:p w:rsidR="00C40906" w:rsidRPr="0059779D" w:rsidRDefault="00C40906" w:rsidP="0059779D">
            <w:pPr>
              <w:ind w:right="1317"/>
              <w:jc w:val="both"/>
              <w:rPr>
                <w:b/>
                <w:sz w:val="20"/>
              </w:rPr>
            </w:pPr>
            <w:r w:rsidRPr="0059779D">
              <w:rPr>
                <w:b/>
                <w:sz w:val="20"/>
              </w:rPr>
              <w:t>2</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rsidR="00C40906" w:rsidRPr="0059779D" w:rsidRDefault="00C40906" w:rsidP="0059779D">
            <w:pPr>
              <w:ind w:right="1317"/>
              <w:jc w:val="both"/>
              <w:rPr>
                <w:b/>
                <w:sz w:val="20"/>
              </w:rPr>
            </w:pPr>
            <w:r w:rsidRPr="0059779D">
              <w:rPr>
                <w:b/>
                <w:sz w:val="20"/>
              </w:rPr>
              <w:t>Qualifications requises :</w:t>
            </w:r>
          </w:p>
        </w:tc>
      </w:tr>
      <w:tr w:rsidR="008930B8" w:rsidRPr="0059779D" w:rsidTr="002D3B67">
        <w:tc>
          <w:tcPr>
            <w:tcW w:w="392" w:type="dxa"/>
            <w:tcBorders>
              <w:top w:val="single" w:sz="4" w:space="0" w:color="auto"/>
              <w:left w:val="single" w:sz="4" w:space="0" w:color="auto"/>
            </w:tcBorders>
            <w:shd w:val="clear" w:color="auto" w:fill="auto"/>
          </w:tcPr>
          <w:p w:rsidR="008930B8" w:rsidRPr="0059779D" w:rsidRDefault="008930B8" w:rsidP="008930B8">
            <w:pPr>
              <w:ind w:right="1317"/>
              <w:jc w:val="both"/>
              <w:rPr>
                <w:b/>
                <w:sz w:val="20"/>
              </w:rPr>
            </w:pPr>
          </w:p>
        </w:tc>
        <w:tc>
          <w:tcPr>
            <w:tcW w:w="8505" w:type="dxa"/>
            <w:gridSpan w:val="3"/>
            <w:tcBorders>
              <w:top w:val="single" w:sz="4" w:space="0" w:color="auto"/>
              <w:left w:val="nil"/>
              <w:right w:val="single" w:sz="4" w:space="0" w:color="auto"/>
            </w:tcBorders>
            <w:shd w:val="clear" w:color="auto" w:fill="auto"/>
          </w:tcPr>
          <w:p w:rsidR="008930B8" w:rsidRPr="00332F69" w:rsidRDefault="008930B8" w:rsidP="008930B8">
            <w:pPr>
              <w:ind w:right="1317"/>
              <w:jc w:val="both"/>
              <w:rPr>
                <w:sz w:val="20"/>
              </w:rPr>
            </w:pPr>
            <w:r>
              <w:rPr>
                <w:sz w:val="20"/>
              </w:rPr>
              <w:t>a) Critères d’admissibilité</w:t>
            </w:r>
          </w:p>
        </w:tc>
      </w:tr>
      <w:tr w:rsidR="008930B8" w:rsidRPr="0059779D" w:rsidTr="002D3B67">
        <w:tc>
          <w:tcPr>
            <w:tcW w:w="392" w:type="dxa"/>
            <w:tcBorders>
              <w:left w:val="single" w:sz="4" w:space="0" w:color="auto"/>
            </w:tcBorders>
            <w:shd w:val="clear" w:color="auto" w:fill="auto"/>
          </w:tcPr>
          <w:p w:rsidR="008930B8" w:rsidRPr="0059779D" w:rsidRDefault="008930B8" w:rsidP="008930B8">
            <w:pPr>
              <w:ind w:right="1317"/>
              <w:jc w:val="both"/>
              <w:rPr>
                <w:b/>
              </w:rPr>
            </w:pPr>
          </w:p>
        </w:tc>
        <w:tc>
          <w:tcPr>
            <w:tcW w:w="8505" w:type="dxa"/>
            <w:gridSpan w:val="3"/>
            <w:tcBorders>
              <w:left w:val="nil"/>
              <w:right w:val="single" w:sz="4" w:space="0" w:color="auto"/>
            </w:tcBorders>
            <w:shd w:val="clear" w:color="auto" w:fill="auto"/>
          </w:tcPr>
          <w:p w:rsidR="008930B8" w:rsidRPr="00332F69" w:rsidRDefault="008930B8" w:rsidP="008930B8">
            <w:pPr>
              <w:ind w:right="1317"/>
              <w:jc w:val="both"/>
              <w:rPr>
                <w:b/>
                <w:sz w:val="20"/>
              </w:rPr>
            </w:pPr>
          </w:p>
        </w:tc>
      </w:tr>
      <w:tr w:rsidR="008930B8" w:rsidRPr="0059779D" w:rsidTr="002D3B67">
        <w:tc>
          <w:tcPr>
            <w:tcW w:w="392" w:type="dxa"/>
            <w:tcBorders>
              <w:left w:val="single" w:sz="4" w:space="0" w:color="auto"/>
            </w:tcBorders>
            <w:shd w:val="clear" w:color="auto" w:fill="auto"/>
          </w:tcPr>
          <w:p w:rsidR="008930B8" w:rsidRPr="0059779D" w:rsidRDefault="008930B8" w:rsidP="008930B8">
            <w:pPr>
              <w:ind w:right="1317"/>
              <w:jc w:val="both"/>
              <w:rPr>
                <w:b/>
              </w:rPr>
            </w:pPr>
          </w:p>
        </w:tc>
        <w:tc>
          <w:tcPr>
            <w:tcW w:w="8505" w:type="dxa"/>
            <w:gridSpan w:val="3"/>
            <w:tcBorders>
              <w:left w:val="nil"/>
              <w:right w:val="single" w:sz="4" w:space="0" w:color="auto"/>
            </w:tcBorders>
            <w:shd w:val="clear" w:color="auto" w:fill="auto"/>
          </w:tcPr>
          <w:p w:rsidR="008930B8" w:rsidRPr="00332F69" w:rsidRDefault="008930B8" w:rsidP="008930B8">
            <w:pPr>
              <w:ind w:left="48" w:right="161"/>
              <w:jc w:val="both"/>
              <w:rPr>
                <w:sz w:val="20"/>
              </w:rPr>
            </w:pPr>
            <w:r>
              <w:rPr>
                <w:sz w:val="20"/>
              </w:rPr>
              <w:t>Pour être détaché auprès de la Commission, le candidat doit satisfaire aux critères d’admissibilité énoncés ci-après. Par conséquent, tout candidat ne remplissant pas l’un de ces critères sera automatiquement éliminé de la procédure de sélection.</w:t>
            </w:r>
          </w:p>
          <w:p w:rsidR="008930B8" w:rsidRPr="00332F69" w:rsidRDefault="008930B8" w:rsidP="008930B8">
            <w:pPr>
              <w:ind w:left="473" w:right="161" w:hanging="473"/>
              <w:jc w:val="both"/>
              <w:rPr>
                <w:sz w:val="20"/>
              </w:rPr>
            </w:pPr>
          </w:p>
          <w:p w:rsidR="008930B8" w:rsidRPr="00332F69" w:rsidRDefault="008930B8" w:rsidP="008930B8">
            <w:pPr>
              <w:ind w:left="473" w:right="161" w:hanging="473"/>
              <w:jc w:val="both"/>
              <w:rPr>
                <w:sz w:val="20"/>
              </w:rPr>
            </w:pPr>
            <w:r>
              <w:rPr>
                <w:sz w:val="20"/>
              </w:rPr>
              <w:lastRenderedPageBreak/>
              <w:t>•</w:t>
            </w:r>
            <w:r>
              <w:rPr>
                <w:sz w:val="20"/>
              </w:rPr>
              <w:tab/>
              <w:t>Expérience professionnelle: posséder une expérience d’au moins trois ans dans l’exercice de fonctions administratives, juridiques, scientifiques, techniques, de conseil ou de supervision pouvant être considérées comme équivalentes à celles du groupe de fonctions AD.</w:t>
            </w:r>
          </w:p>
          <w:p w:rsidR="008930B8" w:rsidRPr="00332F69" w:rsidRDefault="008930B8" w:rsidP="008930B8">
            <w:pPr>
              <w:ind w:left="473" w:right="161" w:hanging="473"/>
              <w:jc w:val="both"/>
              <w:rPr>
                <w:sz w:val="20"/>
              </w:rPr>
            </w:pPr>
          </w:p>
          <w:p w:rsidR="008930B8" w:rsidRPr="00332F69" w:rsidRDefault="008930B8" w:rsidP="008930B8">
            <w:pPr>
              <w:ind w:left="473" w:right="161" w:hanging="473"/>
              <w:jc w:val="both"/>
              <w:rPr>
                <w:sz w:val="20"/>
              </w:rPr>
            </w:pPr>
            <w:r>
              <w:rPr>
                <w:sz w:val="20"/>
              </w:rPr>
              <w:t>•</w:t>
            </w:r>
            <w:r>
              <w:rPr>
                <w:sz w:val="20"/>
              </w:rPr>
              <w:tab/>
              <w:t>Ancienneté: avoir une ancienneté d’au moins un an auprès de son employeur, c’est-à-dire être employé depuis au moins 12 mois avant le détachement par un employeur remplissant les conditions requises (décrites à l’article 1</w:t>
            </w:r>
            <w:r>
              <w:rPr>
                <w:sz w:val="20"/>
                <w:vertAlign w:val="superscript"/>
              </w:rPr>
              <w:t>er</w:t>
            </w:r>
            <w:r>
              <w:rPr>
                <w:sz w:val="20"/>
              </w:rPr>
              <w:t xml:space="preserve"> de la décision END), sur une base statutaire ou contractuelle.</w:t>
            </w:r>
          </w:p>
          <w:p w:rsidR="008930B8" w:rsidRPr="00332F69" w:rsidRDefault="008930B8" w:rsidP="008930B8">
            <w:pPr>
              <w:ind w:left="473" w:right="161" w:hanging="473"/>
              <w:jc w:val="both"/>
              <w:rPr>
                <w:sz w:val="20"/>
              </w:rPr>
            </w:pPr>
          </w:p>
          <w:p w:rsidR="008930B8" w:rsidRDefault="008930B8" w:rsidP="008930B8">
            <w:pPr>
              <w:ind w:left="473" w:right="161" w:hanging="473"/>
              <w:jc w:val="both"/>
              <w:rPr>
                <w:sz w:val="20"/>
              </w:rPr>
            </w:pPr>
            <w:r>
              <w:rPr>
                <w:sz w:val="20"/>
              </w:rPr>
              <w:t>•</w:t>
            </w:r>
            <w:r>
              <w:rPr>
                <w:sz w:val="20"/>
              </w:rPr>
              <w:tab/>
              <w:t>Compétences linguistiques: avoir une connaissance approfondie d'une des langues officielles de l'UE et une connaissance satisfaisante d'une autre langue officielle de l'UE, dans la mesure nécessaire à l'exécution des tâches. Tout END ressortissant d'un pays tiers doit démontrer qu'il possède une connaissance approfondie d'une langue de l'Union européenne nécessaire à l'exécution des tâches qui lui seront confiées.</w:t>
            </w:r>
          </w:p>
          <w:p w:rsidR="008930B8" w:rsidRPr="00332F69" w:rsidRDefault="008930B8" w:rsidP="008930B8">
            <w:pPr>
              <w:ind w:left="473" w:right="161" w:hanging="473"/>
              <w:jc w:val="both"/>
              <w:rPr>
                <w:sz w:val="20"/>
              </w:rPr>
            </w:pPr>
          </w:p>
        </w:tc>
      </w:tr>
      <w:tr w:rsidR="008930B8" w:rsidRPr="0059779D" w:rsidTr="002D3B67">
        <w:tc>
          <w:tcPr>
            <w:tcW w:w="392" w:type="dxa"/>
            <w:tcBorders>
              <w:left w:val="single" w:sz="4" w:space="0" w:color="auto"/>
            </w:tcBorders>
            <w:shd w:val="clear" w:color="auto" w:fill="auto"/>
          </w:tcPr>
          <w:p w:rsidR="008930B8" w:rsidRPr="0059779D" w:rsidRDefault="008930B8" w:rsidP="008930B8">
            <w:pPr>
              <w:ind w:right="1317"/>
              <w:jc w:val="both"/>
              <w:rPr>
                <w:b/>
              </w:rPr>
            </w:pPr>
          </w:p>
        </w:tc>
        <w:tc>
          <w:tcPr>
            <w:tcW w:w="8505" w:type="dxa"/>
            <w:gridSpan w:val="3"/>
            <w:tcBorders>
              <w:left w:val="nil"/>
              <w:right w:val="single" w:sz="4" w:space="0" w:color="auto"/>
            </w:tcBorders>
            <w:shd w:val="clear" w:color="auto" w:fill="auto"/>
          </w:tcPr>
          <w:p w:rsidR="008930B8" w:rsidRPr="00332F69" w:rsidRDefault="008930B8" w:rsidP="008930B8">
            <w:pPr>
              <w:ind w:right="1317"/>
              <w:jc w:val="both"/>
              <w:rPr>
                <w:sz w:val="20"/>
              </w:rPr>
            </w:pPr>
            <w:r>
              <w:rPr>
                <w:sz w:val="20"/>
              </w:rPr>
              <w:t>b) Critères de sélection</w:t>
            </w:r>
          </w:p>
        </w:tc>
      </w:tr>
      <w:tr w:rsidR="008930B8" w:rsidRPr="0059779D" w:rsidTr="002D3B67">
        <w:tc>
          <w:tcPr>
            <w:tcW w:w="392" w:type="dxa"/>
            <w:tcBorders>
              <w:left w:val="single" w:sz="4" w:space="0" w:color="auto"/>
            </w:tcBorders>
            <w:shd w:val="clear" w:color="auto" w:fill="auto"/>
          </w:tcPr>
          <w:p w:rsidR="008930B8" w:rsidRPr="0059779D" w:rsidRDefault="008930B8" w:rsidP="008930B8">
            <w:pPr>
              <w:ind w:right="1317"/>
              <w:jc w:val="both"/>
              <w:rPr>
                <w:b/>
              </w:rPr>
            </w:pPr>
          </w:p>
        </w:tc>
        <w:tc>
          <w:tcPr>
            <w:tcW w:w="8505" w:type="dxa"/>
            <w:gridSpan w:val="3"/>
            <w:tcBorders>
              <w:left w:val="nil"/>
              <w:right w:val="single" w:sz="4" w:space="0" w:color="auto"/>
            </w:tcBorders>
            <w:shd w:val="clear" w:color="auto" w:fill="auto"/>
          </w:tcPr>
          <w:p w:rsidR="008930B8" w:rsidRDefault="008930B8" w:rsidP="008930B8">
            <w:pPr>
              <w:ind w:right="1317"/>
              <w:jc w:val="both"/>
              <w:rPr>
                <w:sz w:val="20"/>
              </w:rPr>
            </w:pPr>
            <w:r>
              <w:rPr>
                <w:sz w:val="20"/>
              </w:rPr>
              <w:t xml:space="preserve">- Diplôme: </w:t>
            </w:r>
          </w:p>
          <w:p w:rsidR="002D3B67" w:rsidRDefault="002D3B67" w:rsidP="002D3B67">
            <w:pPr>
              <w:tabs>
                <w:tab w:val="left" w:pos="317"/>
              </w:tabs>
              <w:ind w:right="1317"/>
              <w:jc w:val="both"/>
              <w:rPr>
                <w:sz w:val="20"/>
              </w:rPr>
            </w:pPr>
            <w:r>
              <w:rPr>
                <w:sz w:val="20"/>
              </w:rPr>
              <w:tab/>
              <w:t xml:space="preserve">- </w:t>
            </w:r>
            <w:r w:rsidRPr="00110A6A">
              <w:rPr>
                <w:sz w:val="20"/>
              </w:rPr>
              <w:t xml:space="preserve">diplôme universitaire </w:t>
            </w:r>
            <w:r>
              <w:rPr>
                <w:sz w:val="20"/>
              </w:rPr>
              <w:t xml:space="preserve">ou équivalent </w:t>
            </w:r>
          </w:p>
          <w:p w:rsidR="002D3B67" w:rsidRDefault="002D3B67" w:rsidP="002D3B67">
            <w:pPr>
              <w:tabs>
                <w:tab w:val="left" w:pos="317"/>
              </w:tabs>
              <w:ind w:right="1317"/>
              <w:jc w:val="both"/>
              <w:rPr>
                <w:sz w:val="20"/>
              </w:rPr>
            </w:pPr>
            <w:r>
              <w:rPr>
                <w:sz w:val="20"/>
              </w:rPr>
              <w:tab/>
              <w:t xml:space="preserve">- </w:t>
            </w:r>
            <w:r w:rsidRPr="00110A6A">
              <w:rPr>
                <w:sz w:val="20"/>
              </w:rPr>
              <w:t>formation professionnelle ou expérience professionnelle de niveau équivalent</w:t>
            </w:r>
          </w:p>
          <w:p w:rsidR="002D3B67" w:rsidRDefault="002D3B67" w:rsidP="002D3B67">
            <w:pPr>
              <w:tabs>
                <w:tab w:val="left" w:pos="317"/>
              </w:tabs>
              <w:ind w:right="1317"/>
              <w:jc w:val="both"/>
              <w:rPr>
                <w:sz w:val="20"/>
              </w:rPr>
            </w:pPr>
            <w:r>
              <w:rPr>
                <w:sz w:val="20"/>
              </w:rPr>
              <w:tab/>
            </w:r>
            <w:bookmarkStart w:id="0" w:name="_GoBack"/>
            <w:bookmarkEnd w:id="0"/>
            <w:r>
              <w:rPr>
                <w:sz w:val="20"/>
              </w:rPr>
              <w:t>dans le(s) domaine(s) en économie/statistiques/mathématiques</w:t>
            </w:r>
          </w:p>
          <w:p w:rsidR="002D3B67" w:rsidRPr="00B14535" w:rsidRDefault="002D3B67" w:rsidP="008930B8">
            <w:pPr>
              <w:ind w:right="1317"/>
              <w:jc w:val="both"/>
              <w:rPr>
                <w:sz w:val="20"/>
              </w:rPr>
            </w:pPr>
          </w:p>
          <w:p w:rsidR="008930B8" w:rsidRPr="005C686A" w:rsidRDefault="008930B8" w:rsidP="008930B8">
            <w:pPr>
              <w:ind w:right="1317"/>
              <w:jc w:val="both"/>
              <w:rPr>
                <w:sz w:val="20"/>
              </w:rPr>
            </w:pPr>
            <w:r>
              <w:rPr>
                <w:sz w:val="20"/>
              </w:rPr>
              <w:t>- Compétences et aptitudes:</w:t>
            </w:r>
          </w:p>
          <w:p w:rsidR="008930B8" w:rsidRDefault="008930B8" w:rsidP="002D3B67">
            <w:pPr>
              <w:numPr>
                <w:ilvl w:val="0"/>
                <w:numId w:val="29"/>
              </w:numPr>
              <w:autoSpaceDE w:val="0"/>
              <w:autoSpaceDN w:val="0"/>
              <w:adjustRightInd w:val="0"/>
              <w:ind w:left="746" w:right="456"/>
              <w:jc w:val="both"/>
              <w:rPr>
                <w:sz w:val="20"/>
              </w:rPr>
            </w:pPr>
            <w:proofErr w:type="gramStart"/>
            <w:r>
              <w:rPr>
                <w:sz w:val="20"/>
              </w:rPr>
              <w:t>connaissance</w:t>
            </w:r>
            <w:proofErr w:type="gramEnd"/>
            <w:r>
              <w:rPr>
                <w:sz w:val="20"/>
              </w:rPr>
              <w:t xml:space="preserve"> pratique de l’analyse opérationnelle et économique, ainsi que des méthodes et outils y afférents; </w:t>
            </w:r>
          </w:p>
          <w:p w:rsidR="008930B8" w:rsidRDefault="008930B8" w:rsidP="002D3B67">
            <w:pPr>
              <w:numPr>
                <w:ilvl w:val="0"/>
                <w:numId w:val="29"/>
              </w:numPr>
              <w:autoSpaceDE w:val="0"/>
              <w:autoSpaceDN w:val="0"/>
              <w:adjustRightInd w:val="0"/>
              <w:ind w:left="746" w:right="456"/>
              <w:jc w:val="both"/>
              <w:rPr>
                <w:sz w:val="20"/>
              </w:rPr>
            </w:pPr>
            <w:proofErr w:type="gramStart"/>
            <w:r>
              <w:rPr>
                <w:sz w:val="20"/>
              </w:rPr>
              <w:t>fort</w:t>
            </w:r>
            <w:proofErr w:type="gramEnd"/>
            <w:r>
              <w:rPr>
                <w:sz w:val="20"/>
              </w:rPr>
              <w:t xml:space="preserve"> esprit d’analyse et capacité à saisir les lacunes et les besoins, à percevoir les incidences potentielles et à concevoir de nouvelles idées de développement;</w:t>
            </w:r>
          </w:p>
          <w:p w:rsidR="008930B8" w:rsidRPr="00B14535" w:rsidRDefault="008930B8" w:rsidP="002D3B67">
            <w:pPr>
              <w:numPr>
                <w:ilvl w:val="0"/>
                <w:numId w:val="29"/>
              </w:numPr>
              <w:autoSpaceDE w:val="0"/>
              <w:autoSpaceDN w:val="0"/>
              <w:adjustRightInd w:val="0"/>
              <w:ind w:left="746" w:right="456"/>
              <w:jc w:val="both"/>
              <w:rPr>
                <w:sz w:val="20"/>
              </w:rPr>
            </w:pPr>
            <w:proofErr w:type="gramStart"/>
            <w:r>
              <w:rPr>
                <w:sz w:val="20"/>
              </w:rPr>
              <w:t>bonnes</w:t>
            </w:r>
            <w:proofErr w:type="gramEnd"/>
            <w:r>
              <w:rPr>
                <w:sz w:val="20"/>
              </w:rPr>
              <w:t xml:space="preserve"> capacités de présentation;</w:t>
            </w:r>
          </w:p>
          <w:p w:rsidR="008930B8" w:rsidRPr="00B13FCF" w:rsidRDefault="008930B8" w:rsidP="002D3B67">
            <w:pPr>
              <w:numPr>
                <w:ilvl w:val="0"/>
                <w:numId w:val="29"/>
              </w:numPr>
              <w:autoSpaceDE w:val="0"/>
              <w:autoSpaceDN w:val="0"/>
              <w:adjustRightInd w:val="0"/>
              <w:ind w:left="746" w:right="456"/>
              <w:jc w:val="both"/>
              <w:rPr>
                <w:sz w:val="20"/>
              </w:rPr>
            </w:pPr>
            <w:r>
              <w:rPr>
                <w:sz w:val="20"/>
              </w:rPr>
              <w:t>aptitude à travailler en équipe au sein de la Commission et avec des intervenants extérieurs.</w:t>
            </w:r>
          </w:p>
        </w:tc>
      </w:tr>
      <w:tr w:rsidR="008930B8" w:rsidRPr="0059779D" w:rsidTr="002D3B67">
        <w:tc>
          <w:tcPr>
            <w:tcW w:w="392" w:type="dxa"/>
            <w:tcBorders>
              <w:left w:val="single" w:sz="4" w:space="0" w:color="auto"/>
            </w:tcBorders>
            <w:shd w:val="clear" w:color="auto" w:fill="auto"/>
          </w:tcPr>
          <w:p w:rsidR="008930B8" w:rsidRPr="0059779D" w:rsidRDefault="008930B8" w:rsidP="008930B8">
            <w:pPr>
              <w:ind w:right="1317"/>
              <w:jc w:val="both"/>
              <w:rPr>
                <w:b/>
              </w:rPr>
            </w:pPr>
          </w:p>
        </w:tc>
        <w:tc>
          <w:tcPr>
            <w:tcW w:w="8505" w:type="dxa"/>
            <w:gridSpan w:val="3"/>
            <w:tcBorders>
              <w:left w:val="nil"/>
              <w:right w:val="single" w:sz="4" w:space="0" w:color="auto"/>
            </w:tcBorders>
            <w:shd w:val="clear" w:color="auto" w:fill="auto"/>
          </w:tcPr>
          <w:p w:rsidR="008930B8" w:rsidRPr="00B14535" w:rsidRDefault="008930B8" w:rsidP="00436CA3">
            <w:pPr>
              <w:ind w:right="456"/>
              <w:jc w:val="both"/>
              <w:rPr>
                <w:sz w:val="20"/>
              </w:rPr>
            </w:pPr>
            <w:r>
              <w:rPr>
                <w:sz w:val="20"/>
              </w:rPr>
              <w:t>- Expérience professionnelle: au moins 3 ans d’expérience liée à l’emploi — analyse économique ou opérationnelle, statistiques, mathématiques; une expérience dans le domaine douanier constituerait en outre un atout.</w:t>
            </w:r>
          </w:p>
          <w:p w:rsidR="008930B8" w:rsidRPr="00B13FCF" w:rsidRDefault="008930B8" w:rsidP="008930B8">
            <w:pPr>
              <w:ind w:right="1317"/>
              <w:jc w:val="both"/>
              <w:rPr>
                <w:sz w:val="20"/>
              </w:rPr>
            </w:pPr>
          </w:p>
        </w:tc>
      </w:tr>
      <w:tr w:rsidR="008930B8" w:rsidRPr="0059779D" w:rsidTr="002D3B67">
        <w:trPr>
          <w:trHeight w:val="95"/>
        </w:trPr>
        <w:tc>
          <w:tcPr>
            <w:tcW w:w="392" w:type="dxa"/>
            <w:tcBorders>
              <w:left w:val="single" w:sz="4" w:space="0" w:color="auto"/>
            </w:tcBorders>
            <w:shd w:val="clear" w:color="auto" w:fill="auto"/>
          </w:tcPr>
          <w:p w:rsidR="008930B8" w:rsidRPr="0059779D" w:rsidRDefault="008930B8" w:rsidP="008930B8">
            <w:pPr>
              <w:ind w:right="1317"/>
              <w:jc w:val="both"/>
              <w:rPr>
                <w:b/>
              </w:rPr>
            </w:pPr>
          </w:p>
        </w:tc>
        <w:tc>
          <w:tcPr>
            <w:tcW w:w="8505" w:type="dxa"/>
            <w:gridSpan w:val="3"/>
            <w:tcBorders>
              <w:left w:val="nil"/>
              <w:right w:val="single" w:sz="4" w:space="0" w:color="auto"/>
            </w:tcBorders>
            <w:shd w:val="clear" w:color="auto" w:fill="auto"/>
          </w:tcPr>
          <w:p w:rsidR="008930B8" w:rsidRDefault="008930B8" w:rsidP="00436CA3">
            <w:pPr>
              <w:ind w:right="456"/>
              <w:jc w:val="both"/>
              <w:rPr>
                <w:sz w:val="20"/>
              </w:rPr>
            </w:pPr>
            <w:r>
              <w:rPr>
                <w:sz w:val="20"/>
              </w:rPr>
              <w:t>- Langues nécessaires pour l’exécution des tâches: une excellente connaissance de l’anglais (oral et écrit) est requise pour pouvoir travailler et rédiger les documents requis. Une bonne connaissance du français et/ou de l’allemand serait très utile. La connaissance d’autres langues constitue un atout.</w:t>
            </w:r>
          </w:p>
          <w:p w:rsidR="008930B8" w:rsidRPr="006F4CD6" w:rsidRDefault="008930B8" w:rsidP="008930B8">
            <w:pPr>
              <w:ind w:right="1317"/>
              <w:jc w:val="both"/>
              <w:rPr>
                <w:sz w:val="20"/>
              </w:rPr>
            </w:pPr>
          </w:p>
        </w:tc>
      </w:tr>
      <w:tr w:rsidR="008930B8" w:rsidRPr="0059779D" w:rsidTr="002D3B67">
        <w:tc>
          <w:tcPr>
            <w:tcW w:w="392" w:type="dxa"/>
            <w:tcBorders>
              <w:top w:val="single" w:sz="4" w:space="0" w:color="auto"/>
              <w:bottom w:val="single" w:sz="4" w:space="0" w:color="auto"/>
            </w:tcBorders>
            <w:shd w:val="clear" w:color="auto" w:fill="auto"/>
          </w:tcPr>
          <w:p w:rsidR="008930B8" w:rsidRPr="0059779D" w:rsidRDefault="008930B8" w:rsidP="008930B8">
            <w:pPr>
              <w:ind w:right="1317"/>
              <w:jc w:val="both"/>
              <w:rPr>
                <w:b/>
                <w:sz w:val="20"/>
              </w:rPr>
            </w:pPr>
          </w:p>
        </w:tc>
        <w:tc>
          <w:tcPr>
            <w:tcW w:w="8505" w:type="dxa"/>
            <w:gridSpan w:val="3"/>
            <w:tcBorders>
              <w:top w:val="single" w:sz="4" w:space="0" w:color="auto"/>
              <w:bottom w:val="single" w:sz="4" w:space="0" w:color="auto"/>
            </w:tcBorders>
            <w:shd w:val="clear" w:color="auto" w:fill="auto"/>
          </w:tcPr>
          <w:p w:rsidR="008930B8" w:rsidRPr="0059779D" w:rsidRDefault="008930B8" w:rsidP="008930B8">
            <w:pPr>
              <w:ind w:right="1317"/>
              <w:jc w:val="both"/>
              <w:rPr>
                <w:b/>
                <w:sz w:val="20"/>
              </w:rPr>
            </w:pPr>
          </w:p>
        </w:tc>
      </w:tr>
      <w:tr w:rsidR="008930B8" w:rsidRPr="0059779D" w:rsidTr="002D3B67">
        <w:tc>
          <w:tcPr>
            <w:tcW w:w="392" w:type="dxa"/>
            <w:tcBorders>
              <w:top w:val="single" w:sz="4" w:space="0" w:color="auto"/>
              <w:left w:val="single" w:sz="4" w:space="0" w:color="auto"/>
              <w:bottom w:val="single" w:sz="4" w:space="0" w:color="auto"/>
              <w:right w:val="single" w:sz="4" w:space="0" w:color="auto"/>
            </w:tcBorders>
            <w:shd w:val="clear" w:color="auto" w:fill="auto"/>
          </w:tcPr>
          <w:p w:rsidR="008930B8" w:rsidRPr="0059779D" w:rsidRDefault="008930B8" w:rsidP="008930B8">
            <w:pPr>
              <w:ind w:right="1317"/>
              <w:jc w:val="both"/>
              <w:rPr>
                <w:b/>
                <w:sz w:val="20"/>
              </w:rPr>
            </w:pPr>
            <w:r w:rsidRPr="0059779D">
              <w:rPr>
                <w:b/>
                <w:sz w:val="20"/>
              </w:rPr>
              <w:t>3</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rsidR="008930B8" w:rsidRPr="0059779D" w:rsidRDefault="008930B8" w:rsidP="008930B8">
            <w:pPr>
              <w:ind w:right="1317"/>
              <w:jc w:val="both"/>
              <w:rPr>
                <w:b/>
                <w:sz w:val="20"/>
              </w:rPr>
            </w:pPr>
            <w:r w:rsidRPr="0059779D">
              <w:rPr>
                <w:b/>
                <w:sz w:val="20"/>
              </w:rPr>
              <w:t>Soumission des candidatures</w:t>
            </w:r>
            <w:r>
              <w:rPr>
                <w:b/>
                <w:sz w:val="20"/>
              </w:rPr>
              <w:t xml:space="preserve"> et procédure de sélection</w:t>
            </w:r>
          </w:p>
        </w:tc>
      </w:tr>
      <w:tr w:rsidR="008930B8" w:rsidRPr="0059779D" w:rsidTr="002D3B67">
        <w:tc>
          <w:tcPr>
            <w:tcW w:w="392" w:type="dxa"/>
            <w:tcBorders>
              <w:top w:val="single" w:sz="4" w:space="0" w:color="auto"/>
              <w:left w:val="single" w:sz="4" w:space="0" w:color="auto"/>
            </w:tcBorders>
            <w:shd w:val="clear" w:color="auto" w:fill="auto"/>
          </w:tcPr>
          <w:p w:rsidR="008930B8" w:rsidRPr="0059779D" w:rsidRDefault="008930B8" w:rsidP="008930B8">
            <w:pPr>
              <w:ind w:right="1317"/>
              <w:jc w:val="both"/>
              <w:rPr>
                <w:b/>
                <w:sz w:val="20"/>
              </w:rPr>
            </w:pPr>
          </w:p>
        </w:tc>
        <w:tc>
          <w:tcPr>
            <w:tcW w:w="8505" w:type="dxa"/>
            <w:gridSpan w:val="3"/>
            <w:tcBorders>
              <w:top w:val="single" w:sz="4" w:space="0" w:color="auto"/>
              <w:left w:val="nil"/>
              <w:right w:val="single" w:sz="4" w:space="0" w:color="auto"/>
            </w:tcBorders>
            <w:shd w:val="clear" w:color="auto" w:fill="auto"/>
          </w:tcPr>
          <w:p w:rsidR="008930B8" w:rsidRPr="0059779D" w:rsidRDefault="008930B8" w:rsidP="008930B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8" w:history="1">
              <w:r w:rsidRPr="00DF3FDD">
                <w:rPr>
                  <w:rStyle w:val="Hyperlink"/>
                  <w:sz w:val="20"/>
                </w:rPr>
                <w:t>http://europass.cedefop.europa.eu/fr/documents/curriculum-vitae</w:t>
              </w:r>
            </w:hyperlink>
            <w:r w:rsidRPr="00DF3FDD">
              <w:rPr>
                <w:sz w:val="20"/>
              </w:rPr>
              <w:t>)</w:t>
            </w:r>
            <w:r w:rsidRPr="0059779D">
              <w:rPr>
                <w:b/>
                <w:sz w:val="20"/>
              </w:rPr>
              <w:t xml:space="preserve"> </w:t>
            </w:r>
            <w:r w:rsidRPr="00DF3FDD">
              <w:rPr>
                <w:b/>
                <w:sz w:val="20"/>
                <w:u w:val="single"/>
              </w:rPr>
              <w:t xml:space="preserve">uniquement à </w:t>
            </w:r>
            <w:smartTag w:uri="urn:schemas-microsoft-com:office:smarttags" w:element="PersonName">
              <w:smartTagPr>
                <w:attr w:name="ProductID" w:val="la Repr￩sentation Permanente"/>
              </w:smartTagPr>
              <w:smartTag w:uri="urn:schemas-microsoft-com:office:smarttags" w:element="PersonName">
                <w:smartTagPr>
                  <w:attr w:name="ProductID" w:val="la Repr￩sentation"/>
                </w:smartTagPr>
                <w:r w:rsidRPr="00DF3FDD">
                  <w:rPr>
                    <w:b/>
                    <w:sz w:val="20"/>
                    <w:u w:val="single"/>
                  </w:rPr>
                  <w:t>la Représentation</w:t>
                </w:r>
              </w:smartTag>
              <w:r w:rsidRPr="00DF3FDD">
                <w:rPr>
                  <w:b/>
                  <w:sz w:val="20"/>
                  <w:u w:val="single"/>
                </w:rPr>
                <w:t xml:space="preserve"> Permanente</w:t>
              </w:r>
            </w:smartTag>
            <w:r w:rsidRPr="00DF3FDD">
              <w:rPr>
                <w:b/>
                <w:sz w:val="20"/>
              </w:rPr>
              <w:t xml:space="preserve"> </w:t>
            </w:r>
            <w:r w:rsidRPr="00DF3FDD">
              <w:rPr>
                <w:sz w:val="20"/>
              </w:rPr>
              <w:t>de leur pays auprès des Institutions européennes,</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w:t>
            </w:r>
            <w:proofErr w:type="spellStart"/>
            <w:r w:rsidRPr="0059779D">
              <w:rPr>
                <w:b/>
                <w:sz w:val="20"/>
              </w:rPr>
              <w:t>non respect</w:t>
            </w:r>
            <w:proofErr w:type="spellEnd"/>
            <w:r w:rsidRPr="0059779D">
              <w:rPr>
                <w:b/>
                <w:sz w:val="20"/>
              </w:rPr>
              <w:t xml:space="preserve"> de cette procédure ou des délais invalidera automatiquement votre candidature. </w:t>
            </w:r>
            <w:r w:rsidRPr="00DF3FDD">
              <w:rPr>
                <w:sz w:val="20"/>
              </w:rPr>
              <w:t>Les candidats sont priés de ne pas joindre à leur candidature d'autres documents</w:t>
            </w:r>
            <w:r w:rsidRPr="0059779D">
              <w:rPr>
                <w:b/>
                <w:sz w:val="20"/>
              </w:rPr>
              <w:t xml:space="preserve"> </w:t>
            </w:r>
            <w:r w:rsidRPr="0059779D">
              <w:rPr>
                <w:sz w:val="20"/>
              </w:rPr>
              <w:t xml:space="preserve">(tels que copie de carte d'identité, copie des diplômes et attestations d'expérience </w:t>
            </w:r>
            <w:proofErr w:type="gramStart"/>
            <w:r w:rsidRPr="0059779D">
              <w:rPr>
                <w:sz w:val="20"/>
              </w:rPr>
              <w:t>professionnelle,…</w:t>
            </w:r>
            <w:proofErr w:type="gramEnd"/>
            <w:r w:rsidRPr="0059779D">
              <w:rPr>
                <w:sz w:val="20"/>
              </w:rPr>
              <w:t>). Ces documents leur seront demandés, le cas échéant, à un stade ultérieur de la procédure de sélection.</w:t>
            </w:r>
          </w:p>
        </w:tc>
      </w:tr>
      <w:tr w:rsidR="008930B8" w:rsidRPr="0059779D" w:rsidTr="002D3B67">
        <w:tc>
          <w:tcPr>
            <w:tcW w:w="392" w:type="dxa"/>
            <w:tcBorders>
              <w:left w:val="single" w:sz="4" w:space="0" w:color="auto"/>
              <w:bottom w:val="single" w:sz="4" w:space="0" w:color="auto"/>
            </w:tcBorders>
            <w:shd w:val="clear" w:color="auto" w:fill="auto"/>
          </w:tcPr>
          <w:p w:rsidR="008930B8" w:rsidRPr="0059779D" w:rsidRDefault="008930B8" w:rsidP="008930B8">
            <w:pPr>
              <w:ind w:right="1317"/>
              <w:jc w:val="both"/>
              <w:rPr>
                <w:b/>
                <w:sz w:val="20"/>
              </w:rPr>
            </w:pPr>
          </w:p>
        </w:tc>
        <w:tc>
          <w:tcPr>
            <w:tcW w:w="8505" w:type="dxa"/>
            <w:gridSpan w:val="3"/>
            <w:tcBorders>
              <w:left w:val="nil"/>
              <w:bottom w:val="single" w:sz="4" w:space="0" w:color="auto"/>
              <w:right w:val="single" w:sz="4" w:space="0" w:color="auto"/>
            </w:tcBorders>
            <w:shd w:val="clear" w:color="auto" w:fill="auto"/>
          </w:tcPr>
          <w:p w:rsidR="008930B8" w:rsidRPr="004B0250" w:rsidRDefault="008930B8" w:rsidP="008930B8">
            <w:pPr>
              <w:ind w:right="175"/>
              <w:jc w:val="both"/>
              <w:rPr>
                <w:sz w:val="20"/>
              </w:rPr>
            </w:pPr>
            <w:r w:rsidRPr="004B0250">
              <w:rPr>
                <w:sz w:val="20"/>
              </w:rPr>
              <w:t>Les candidats seront informés du suivi de leur candidature par l'unité concernée.</w:t>
            </w:r>
          </w:p>
          <w:p w:rsidR="008930B8" w:rsidRPr="004B0250" w:rsidRDefault="008930B8" w:rsidP="008930B8">
            <w:pPr>
              <w:ind w:right="175"/>
              <w:jc w:val="both"/>
              <w:rPr>
                <w:b/>
                <w:sz w:val="20"/>
              </w:rPr>
            </w:pPr>
          </w:p>
        </w:tc>
      </w:tr>
      <w:tr w:rsidR="008930B8" w:rsidRPr="0059779D" w:rsidTr="002D3B67">
        <w:tc>
          <w:tcPr>
            <w:tcW w:w="392" w:type="dxa"/>
            <w:tcBorders>
              <w:top w:val="single" w:sz="4" w:space="0" w:color="auto"/>
              <w:bottom w:val="single" w:sz="4" w:space="0" w:color="auto"/>
            </w:tcBorders>
            <w:shd w:val="clear" w:color="auto" w:fill="auto"/>
          </w:tcPr>
          <w:p w:rsidR="008930B8" w:rsidRPr="0059779D" w:rsidRDefault="008930B8" w:rsidP="008930B8">
            <w:pPr>
              <w:ind w:right="1317"/>
              <w:jc w:val="both"/>
              <w:rPr>
                <w:b/>
                <w:sz w:val="20"/>
              </w:rPr>
            </w:pPr>
          </w:p>
        </w:tc>
        <w:tc>
          <w:tcPr>
            <w:tcW w:w="8505" w:type="dxa"/>
            <w:gridSpan w:val="3"/>
            <w:tcBorders>
              <w:top w:val="single" w:sz="4" w:space="0" w:color="auto"/>
              <w:bottom w:val="single" w:sz="4" w:space="0" w:color="auto"/>
            </w:tcBorders>
            <w:shd w:val="clear" w:color="auto" w:fill="auto"/>
          </w:tcPr>
          <w:p w:rsidR="008930B8" w:rsidRPr="0059779D" w:rsidRDefault="008930B8" w:rsidP="008930B8">
            <w:pPr>
              <w:ind w:right="175"/>
              <w:jc w:val="both"/>
              <w:rPr>
                <w:b/>
                <w:sz w:val="20"/>
              </w:rPr>
            </w:pPr>
          </w:p>
        </w:tc>
      </w:tr>
    </w:tbl>
    <w:p w:rsidR="00436CA3" w:rsidRDefault="00436CA3">
      <w:r>
        <w:br w:type="page"/>
      </w:r>
    </w:p>
    <w:tbl>
      <w:tblPr>
        <w:tblW w:w="8897" w:type="dxa"/>
        <w:tblLayout w:type="fixed"/>
        <w:tblLook w:val="01E0" w:firstRow="1" w:lastRow="1" w:firstColumn="1" w:lastColumn="1" w:noHBand="0" w:noVBand="0"/>
      </w:tblPr>
      <w:tblGrid>
        <w:gridCol w:w="392"/>
        <w:gridCol w:w="8505"/>
      </w:tblGrid>
      <w:tr w:rsidR="008930B8" w:rsidRPr="0059779D" w:rsidTr="002D3B67">
        <w:tc>
          <w:tcPr>
            <w:tcW w:w="392" w:type="dxa"/>
            <w:tcBorders>
              <w:top w:val="single" w:sz="4" w:space="0" w:color="auto"/>
              <w:left w:val="single" w:sz="4" w:space="0" w:color="auto"/>
              <w:bottom w:val="single" w:sz="4" w:space="0" w:color="auto"/>
              <w:right w:val="single" w:sz="4" w:space="0" w:color="auto"/>
            </w:tcBorders>
            <w:shd w:val="clear" w:color="auto" w:fill="auto"/>
          </w:tcPr>
          <w:p w:rsidR="008930B8" w:rsidRPr="0059779D" w:rsidRDefault="008930B8" w:rsidP="008930B8">
            <w:pPr>
              <w:ind w:right="1317"/>
              <w:jc w:val="both"/>
              <w:rPr>
                <w:b/>
                <w:sz w:val="20"/>
              </w:rPr>
            </w:pPr>
            <w:r w:rsidRPr="0059779D">
              <w:rPr>
                <w:b/>
                <w:sz w:val="20"/>
              </w:rPr>
              <w:t>4</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8930B8" w:rsidRPr="0059779D" w:rsidRDefault="008930B8" w:rsidP="008930B8">
            <w:pPr>
              <w:ind w:right="175"/>
              <w:jc w:val="both"/>
              <w:rPr>
                <w:b/>
                <w:sz w:val="20"/>
              </w:rPr>
            </w:pPr>
            <w:r w:rsidRPr="0059779D">
              <w:rPr>
                <w:b/>
                <w:sz w:val="20"/>
              </w:rPr>
              <w:t>Conditions du détachement</w:t>
            </w:r>
          </w:p>
        </w:tc>
      </w:tr>
      <w:tr w:rsidR="008930B8" w:rsidRPr="0059779D" w:rsidTr="002D3B67">
        <w:tc>
          <w:tcPr>
            <w:tcW w:w="392" w:type="dxa"/>
            <w:tcBorders>
              <w:top w:val="single" w:sz="4" w:space="0" w:color="auto"/>
              <w:left w:val="single" w:sz="4" w:space="0" w:color="auto"/>
              <w:bottom w:val="single" w:sz="4" w:space="0" w:color="auto"/>
            </w:tcBorders>
            <w:shd w:val="clear" w:color="auto" w:fill="auto"/>
          </w:tcPr>
          <w:p w:rsidR="008930B8" w:rsidRPr="0059779D" w:rsidRDefault="008930B8" w:rsidP="008930B8">
            <w:pPr>
              <w:ind w:right="1317"/>
              <w:jc w:val="both"/>
              <w:rPr>
                <w:b/>
                <w:sz w:val="20"/>
              </w:rPr>
            </w:pPr>
          </w:p>
        </w:tc>
        <w:tc>
          <w:tcPr>
            <w:tcW w:w="8505" w:type="dxa"/>
            <w:tcBorders>
              <w:left w:val="nil"/>
              <w:bottom w:val="single" w:sz="4" w:space="0" w:color="auto"/>
              <w:right w:val="single" w:sz="4" w:space="0" w:color="auto"/>
            </w:tcBorders>
            <w:shd w:val="clear" w:color="auto" w:fill="auto"/>
          </w:tcPr>
          <w:p w:rsidR="008930B8" w:rsidRPr="0059779D" w:rsidRDefault="008930B8" w:rsidP="008930B8">
            <w:pPr>
              <w:ind w:right="175"/>
              <w:jc w:val="both"/>
              <w:rPr>
                <w:sz w:val="20"/>
              </w:rPr>
            </w:pPr>
            <w:r w:rsidRPr="0059779D">
              <w:rPr>
                <w:sz w:val="20"/>
              </w:rPr>
              <w:t xml:space="preserve">Les détachements sont régis par la </w:t>
            </w:r>
            <w:r w:rsidRPr="00D459AB">
              <w:rPr>
                <w:b/>
                <w:sz w:val="20"/>
              </w:rPr>
              <w:t>décision de la Commission C(2008)6866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9" w:history="1">
              <w:r w:rsidRPr="00D459AB">
                <w:rPr>
                  <w:rStyle w:val="Hyperlink"/>
                  <w:b/>
                  <w:sz w:val="20"/>
                </w:rPr>
                <w:t>http://ec.europa.eu/civil_service/job/sne/index_fr.htm</w:t>
              </w:r>
            </w:hyperlink>
            <w:r w:rsidRPr="0059779D">
              <w:rPr>
                <w:sz w:val="20"/>
              </w:rPr>
              <w:t>.</w:t>
            </w:r>
          </w:p>
          <w:p w:rsidR="008930B8" w:rsidRPr="0059779D" w:rsidRDefault="008930B8" w:rsidP="008930B8">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rsidR="008930B8" w:rsidRPr="0059779D" w:rsidRDefault="008930B8" w:rsidP="008930B8">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rsidR="008930B8" w:rsidRPr="0059779D" w:rsidRDefault="008930B8" w:rsidP="008930B8">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8930B8" w:rsidRPr="0059779D" w:rsidRDefault="008930B8" w:rsidP="008930B8">
            <w:pPr>
              <w:ind w:right="175"/>
              <w:jc w:val="both"/>
              <w:rPr>
                <w:sz w:val="20"/>
              </w:rPr>
            </w:pPr>
          </w:p>
        </w:tc>
      </w:tr>
      <w:tr w:rsidR="008930B8" w:rsidRPr="0059779D" w:rsidTr="002D3B67">
        <w:tc>
          <w:tcPr>
            <w:tcW w:w="392" w:type="dxa"/>
            <w:tcBorders>
              <w:bottom w:val="single" w:sz="4" w:space="0" w:color="auto"/>
            </w:tcBorders>
            <w:shd w:val="clear" w:color="auto" w:fill="auto"/>
          </w:tcPr>
          <w:p w:rsidR="008930B8" w:rsidRPr="0059779D" w:rsidRDefault="008930B8" w:rsidP="008930B8">
            <w:pPr>
              <w:ind w:right="1317"/>
              <w:jc w:val="both"/>
              <w:rPr>
                <w:b/>
                <w:sz w:val="20"/>
              </w:rPr>
            </w:pPr>
          </w:p>
        </w:tc>
        <w:tc>
          <w:tcPr>
            <w:tcW w:w="8505" w:type="dxa"/>
            <w:tcBorders>
              <w:bottom w:val="single" w:sz="4" w:space="0" w:color="auto"/>
            </w:tcBorders>
            <w:shd w:val="clear" w:color="auto" w:fill="auto"/>
          </w:tcPr>
          <w:p w:rsidR="008930B8" w:rsidRPr="0059779D" w:rsidRDefault="008930B8" w:rsidP="008930B8">
            <w:pPr>
              <w:ind w:left="473"/>
              <w:jc w:val="both"/>
              <w:rPr>
                <w:sz w:val="20"/>
              </w:rPr>
            </w:pPr>
          </w:p>
        </w:tc>
      </w:tr>
      <w:tr w:rsidR="008930B8" w:rsidRPr="0059779D" w:rsidTr="002D3B67">
        <w:tc>
          <w:tcPr>
            <w:tcW w:w="392" w:type="dxa"/>
            <w:tcBorders>
              <w:top w:val="single" w:sz="4" w:space="0" w:color="auto"/>
              <w:left w:val="single" w:sz="4" w:space="0" w:color="auto"/>
              <w:bottom w:val="single" w:sz="4" w:space="0" w:color="auto"/>
              <w:right w:val="single" w:sz="4" w:space="0" w:color="auto"/>
            </w:tcBorders>
            <w:shd w:val="clear" w:color="auto" w:fill="auto"/>
          </w:tcPr>
          <w:p w:rsidR="008930B8" w:rsidRPr="0059779D" w:rsidRDefault="008930B8" w:rsidP="008930B8">
            <w:pPr>
              <w:ind w:right="1317"/>
              <w:jc w:val="both"/>
              <w:rPr>
                <w:b/>
                <w:sz w:val="20"/>
              </w:rPr>
            </w:pPr>
            <w:r w:rsidRPr="0059779D">
              <w:rPr>
                <w:b/>
                <w:sz w:val="20"/>
              </w:rPr>
              <w:t>5</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8930B8" w:rsidRPr="0059779D" w:rsidRDefault="008930B8" w:rsidP="008930B8">
            <w:pPr>
              <w:pStyle w:val="Footer"/>
              <w:rPr>
                <w:b/>
                <w:sz w:val="20"/>
              </w:rPr>
            </w:pPr>
            <w:r w:rsidRPr="0059779D">
              <w:rPr>
                <w:b/>
                <w:sz w:val="20"/>
              </w:rPr>
              <w:t>Traitement des données à caractère personnel :</w:t>
            </w:r>
          </w:p>
        </w:tc>
      </w:tr>
      <w:tr w:rsidR="008930B8" w:rsidRPr="0059779D" w:rsidTr="002D3B67">
        <w:tc>
          <w:tcPr>
            <w:tcW w:w="392" w:type="dxa"/>
            <w:tcBorders>
              <w:top w:val="single" w:sz="4" w:space="0" w:color="auto"/>
              <w:left w:val="single" w:sz="4" w:space="0" w:color="auto"/>
            </w:tcBorders>
            <w:shd w:val="clear" w:color="auto" w:fill="auto"/>
          </w:tcPr>
          <w:p w:rsidR="008930B8" w:rsidRPr="0059779D" w:rsidRDefault="008930B8" w:rsidP="008930B8">
            <w:pPr>
              <w:ind w:right="1317"/>
              <w:jc w:val="both"/>
              <w:rPr>
                <w:b/>
                <w:sz w:val="20"/>
              </w:rPr>
            </w:pPr>
          </w:p>
        </w:tc>
        <w:tc>
          <w:tcPr>
            <w:tcW w:w="8505" w:type="dxa"/>
            <w:tcBorders>
              <w:top w:val="single" w:sz="4" w:space="0" w:color="auto"/>
              <w:right w:val="single" w:sz="4" w:space="0" w:color="auto"/>
            </w:tcBorders>
            <w:shd w:val="clear" w:color="auto" w:fill="auto"/>
          </w:tcPr>
          <w:p w:rsidR="008930B8" w:rsidRDefault="008930B8" w:rsidP="008930B8">
            <w:pPr>
              <w:pStyle w:val="ListBullet"/>
              <w:numPr>
                <w:ilvl w:val="0"/>
                <w:numId w:val="0"/>
              </w:numPr>
              <w:ind w:right="161"/>
              <w:rPr>
                <w:sz w:val="20"/>
              </w:rPr>
            </w:pP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sous la responsabilité du chef de l'unité HR.B2</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8930B8" w:rsidRDefault="008930B8" w:rsidP="008930B8">
            <w:pPr>
              <w:pStyle w:val="ListBullet"/>
              <w:numPr>
                <w:ilvl w:val="0"/>
                <w:numId w:val="0"/>
              </w:numPr>
              <w:ind w:right="161"/>
              <w:rPr>
                <w:sz w:val="20"/>
              </w:rPr>
            </w:pPr>
            <w:r>
              <w:rPr>
                <w:sz w:val="20"/>
              </w:rPr>
              <w:t xml:space="preserve">Les données des END seront conservées pendant 10 ans à compter de la fin du détachement (2 ans pour </w:t>
            </w:r>
            <w:r w:rsidRPr="0059779D">
              <w:rPr>
                <w:bCs/>
                <w:sz w:val="20"/>
              </w:rPr>
              <w:t>les END dont la candidature n'a pas été retenue ou a été retirée)</w:t>
            </w:r>
            <w:r>
              <w:rPr>
                <w:bCs/>
                <w:sz w:val="20"/>
              </w:rPr>
              <w:t>. Toute déclaration incomplète ou fausse pourra entraîner le refus de la candidature.</w:t>
            </w:r>
          </w:p>
          <w:p w:rsidR="008930B8" w:rsidRPr="0059779D" w:rsidRDefault="008930B8" w:rsidP="008930B8">
            <w:pPr>
              <w:pStyle w:val="ListBullet"/>
              <w:numPr>
                <w:ilvl w:val="0"/>
                <w:numId w:val="0"/>
              </w:numPr>
              <w:spacing w:after="120"/>
              <w:ind w:right="161"/>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0" w:history="1">
              <w:r w:rsidRPr="0059779D">
                <w:rPr>
                  <w:rStyle w:val="Hyperlink"/>
                  <w:sz w:val="20"/>
                </w:rPr>
                <w:t>edps@edps.europa.eu</w:t>
              </w:r>
            </w:hyperlink>
            <w:r w:rsidRPr="0059779D">
              <w:rPr>
                <w:sz w:val="20"/>
              </w:rPr>
              <w:t>.</w:t>
            </w:r>
          </w:p>
          <w:p w:rsidR="008930B8" w:rsidRPr="0059779D" w:rsidRDefault="008930B8" w:rsidP="008930B8">
            <w:pPr>
              <w:pStyle w:val="Footer"/>
              <w:ind w:right="161"/>
              <w:rPr>
                <w:sz w:val="20"/>
              </w:rPr>
            </w:pPr>
            <w:r w:rsidRPr="0059779D">
              <w:rPr>
                <w:sz w:val="20"/>
              </w:rPr>
              <w:t xml:space="preserve">A l'attention des candidats des pays tiers : vos données à caractère personnel peuvent être utilisées aux fins des vérifications nécessaires. Plus d'informations à l'adresse : </w:t>
            </w:r>
            <w:hyperlink r:id="rId11" w:history="1">
              <w:r w:rsidRPr="0059779D">
                <w:rPr>
                  <w:rStyle w:val="Hyperlink"/>
                  <w:sz w:val="20"/>
                </w:rPr>
                <w:t>http://ec.europa.eu/dgs/personnel_administration/security_fr.htm</w:t>
              </w:r>
            </w:hyperlink>
          </w:p>
        </w:tc>
      </w:tr>
      <w:tr w:rsidR="008930B8" w:rsidRPr="0059779D" w:rsidTr="002D3B67">
        <w:trPr>
          <w:trHeight w:val="473"/>
        </w:trPr>
        <w:tc>
          <w:tcPr>
            <w:tcW w:w="392" w:type="dxa"/>
            <w:vMerge w:val="restart"/>
            <w:tcBorders>
              <w:left w:val="single" w:sz="4" w:space="0" w:color="auto"/>
            </w:tcBorders>
            <w:shd w:val="clear" w:color="auto" w:fill="auto"/>
          </w:tcPr>
          <w:p w:rsidR="008930B8" w:rsidRPr="0059779D" w:rsidRDefault="008930B8" w:rsidP="008930B8">
            <w:pPr>
              <w:ind w:right="1317"/>
              <w:jc w:val="both"/>
              <w:rPr>
                <w:b/>
                <w:sz w:val="20"/>
              </w:rPr>
            </w:pPr>
          </w:p>
        </w:tc>
        <w:tc>
          <w:tcPr>
            <w:tcW w:w="8505" w:type="dxa"/>
            <w:tcBorders>
              <w:right w:val="single" w:sz="4" w:space="0" w:color="auto"/>
            </w:tcBorders>
            <w:shd w:val="clear" w:color="auto" w:fill="auto"/>
          </w:tcPr>
          <w:p w:rsidR="008930B8" w:rsidRPr="0059779D" w:rsidRDefault="008930B8" w:rsidP="008930B8">
            <w:pPr>
              <w:tabs>
                <w:tab w:val="left" w:pos="540"/>
              </w:tabs>
              <w:autoSpaceDE w:val="0"/>
              <w:autoSpaceDN w:val="0"/>
              <w:adjustRightInd w:val="0"/>
              <w:ind w:right="161"/>
              <w:jc w:val="both"/>
              <w:rPr>
                <w:sz w:val="20"/>
                <w:lang w:val="fr-FR"/>
              </w:rPr>
            </w:pPr>
          </w:p>
          <w:p w:rsidR="008930B8" w:rsidRPr="0059779D" w:rsidRDefault="008930B8" w:rsidP="008930B8">
            <w:pPr>
              <w:tabs>
                <w:tab w:val="left" w:pos="540"/>
              </w:tabs>
              <w:autoSpaceDE w:val="0"/>
              <w:autoSpaceDN w:val="0"/>
              <w:adjustRightInd w:val="0"/>
              <w:ind w:right="161"/>
              <w:jc w:val="both"/>
              <w:rPr>
                <w:sz w:val="20"/>
              </w:rPr>
            </w:pPr>
            <w:r w:rsidRPr="0059779D">
              <w:rPr>
                <w:sz w:val="20"/>
                <w:lang w:val="fr-FR"/>
              </w:rPr>
              <w:t xml:space="preserve">Les informations sur le traitement des données personnelles au sein du JRC sont disponibles à l'adresse: </w:t>
            </w:r>
            <w:hyperlink r:id="rId12" w:history="1">
              <w:r w:rsidRPr="0059779D">
                <w:rPr>
                  <w:bCs/>
                  <w:iCs/>
                  <w:color w:val="0000FF"/>
                  <w:sz w:val="20"/>
                  <w:u w:val="single"/>
                </w:rPr>
                <w:t>http://ec.europa.eu/dgs/jrc/index.cfm?id=6270</w:t>
              </w:r>
            </w:hyperlink>
          </w:p>
        </w:tc>
      </w:tr>
      <w:tr w:rsidR="008930B8" w:rsidRPr="0059779D" w:rsidTr="002D3B67">
        <w:trPr>
          <w:trHeight w:val="311"/>
        </w:trPr>
        <w:tc>
          <w:tcPr>
            <w:tcW w:w="392" w:type="dxa"/>
            <w:vMerge/>
            <w:tcBorders>
              <w:left w:val="single" w:sz="4" w:space="0" w:color="auto"/>
              <w:bottom w:val="single" w:sz="4" w:space="0" w:color="auto"/>
            </w:tcBorders>
            <w:shd w:val="clear" w:color="auto" w:fill="auto"/>
          </w:tcPr>
          <w:p w:rsidR="008930B8" w:rsidRPr="0059779D" w:rsidRDefault="008930B8" w:rsidP="008930B8">
            <w:pPr>
              <w:ind w:right="1317"/>
              <w:jc w:val="both"/>
              <w:rPr>
                <w:b/>
                <w:sz w:val="20"/>
              </w:rPr>
            </w:pPr>
          </w:p>
        </w:tc>
        <w:tc>
          <w:tcPr>
            <w:tcW w:w="8505" w:type="dxa"/>
            <w:tcBorders>
              <w:bottom w:val="single" w:sz="4" w:space="0" w:color="auto"/>
              <w:right w:val="single" w:sz="4" w:space="0" w:color="auto"/>
            </w:tcBorders>
            <w:shd w:val="clear" w:color="auto" w:fill="auto"/>
          </w:tcPr>
          <w:p w:rsidR="008930B8" w:rsidRPr="0059779D" w:rsidRDefault="008930B8" w:rsidP="008930B8">
            <w:pPr>
              <w:tabs>
                <w:tab w:val="left" w:pos="540"/>
              </w:tabs>
              <w:autoSpaceDE w:val="0"/>
              <w:autoSpaceDN w:val="0"/>
              <w:adjustRightInd w:val="0"/>
              <w:jc w:val="both"/>
              <w:rPr>
                <w:sz w:val="20"/>
                <w:lang w:val="fr-FR"/>
              </w:rPr>
            </w:pPr>
          </w:p>
        </w:tc>
      </w:tr>
    </w:tbl>
    <w:p w:rsidR="00E45131" w:rsidRPr="00300579" w:rsidRDefault="00E45131" w:rsidP="00300579">
      <w:pPr>
        <w:ind w:right="1317"/>
        <w:jc w:val="both"/>
        <w:rPr>
          <w:sz w:val="8"/>
          <w:szCs w:val="8"/>
        </w:rPr>
      </w:pPr>
    </w:p>
    <w:sectPr w:rsidR="00E45131" w:rsidRPr="00300579" w:rsidSect="002D3B67">
      <w:headerReference w:type="default" r:id="rId13"/>
      <w:footerReference w:type="default" r:id="rId14"/>
      <w:headerReference w:type="first" r:id="rId15"/>
      <w:type w:val="continuous"/>
      <w:pgSz w:w="11906" w:h="16838"/>
      <w:pgMar w:top="1440" w:right="566" w:bottom="1440" w:left="1800" w:header="34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2A5" w:rsidRDefault="00F602A5">
      <w:r>
        <w:separator/>
      </w:r>
    </w:p>
  </w:endnote>
  <w:endnote w:type="continuationSeparator" w:id="0">
    <w:p w:rsidR="00F602A5" w:rsidRDefault="00F6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B67" w:rsidRDefault="002D3B67" w:rsidP="002D3B67">
    <w:pPr>
      <w:pStyle w:val="Footer"/>
      <w:jc w:val="right"/>
    </w:pPr>
    <w:r w:rsidRPr="004C1142">
      <w:rPr>
        <w:sz w:val="20"/>
      </w:rPr>
      <w:t>Version 201</w:t>
    </w:r>
    <w:r>
      <w:rPr>
        <w:sz w:val="20"/>
      </w:rPr>
      <w:t>8</w:t>
    </w:r>
    <w:r w:rsidRPr="004C1142">
      <w:rPr>
        <w:sz w:val="20"/>
      </w:rPr>
      <w:t>-</w:t>
    </w:r>
    <w:r>
      <w:rPr>
        <w:sz w:val="20"/>
      </w:rPr>
      <w:t>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2A5" w:rsidRDefault="00F602A5">
      <w:r>
        <w:separator/>
      </w:r>
    </w:p>
  </w:footnote>
  <w:footnote w:type="continuationSeparator" w:id="0">
    <w:p w:rsidR="00F602A5" w:rsidRDefault="00F602A5">
      <w:r>
        <w:continuationSeparator/>
      </w:r>
    </w:p>
  </w:footnote>
  <w:footnote w:id="1">
    <w:p w:rsidR="00093A48" w:rsidRDefault="00093A48"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A48" w:rsidRDefault="00093A48" w:rsidP="00844D7B">
    <w:pPr>
      <w:pStyle w:val="Header"/>
      <w:ind w:right="325"/>
      <w:jc w:val="right"/>
      <w:rPr>
        <w:b/>
        <w:sz w:val="16"/>
        <w:szCs w:val="16"/>
      </w:rPr>
    </w:pPr>
    <w:r w:rsidRPr="00D459AB">
      <w:rPr>
        <w:b/>
        <w:sz w:val="16"/>
        <w:szCs w:val="16"/>
      </w:rPr>
      <w:t>Formulaire DG.1 (FR)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B67" w:rsidRDefault="002D3B67" w:rsidP="002D3B67">
    <w:pPr>
      <w:pStyle w:val="Header"/>
      <w:ind w:right="325"/>
      <w:jc w:val="right"/>
      <w:rPr>
        <w:b/>
        <w:sz w:val="16"/>
        <w:szCs w:val="16"/>
      </w:rPr>
    </w:pPr>
    <w:r w:rsidRPr="00D459AB">
      <w:rPr>
        <w:b/>
        <w:sz w:val="16"/>
        <w:szCs w:val="16"/>
      </w:rPr>
      <w:t>Formulaire DG.1 (FR)</w:t>
    </w:r>
  </w:p>
  <w:p w:rsidR="002D3B67" w:rsidRDefault="0063769A" w:rsidP="002D3B67">
    <w:pPr>
      <w:ind w:right="1317"/>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4pt;mso-position-horizontal-relative:char;mso-position-vertical-relative:line">
          <v:imagedata r:id="rId1" o:title=""/>
        </v:shape>
      </w:pict>
    </w:r>
  </w:p>
  <w:p w:rsidR="002D3B67" w:rsidRDefault="002D3B67" w:rsidP="002D3B67">
    <w:pPr>
      <w:spacing w:before="240"/>
      <w:ind w:right="1315"/>
      <w:jc w:val="center"/>
      <w:rPr>
        <w:b/>
      </w:rPr>
    </w:pPr>
    <w:r w:rsidRPr="008F4E36">
      <w:rPr>
        <w:b/>
      </w:rPr>
      <w:t>AVIS DE VACANCE</w:t>
    </w:r>
    <w:r>
      <w:rPr>
        <w:b/>
      </w:rPr>
      <w:br/>
    </w:r>
    <w:r w:rsidRPr="008F4E36">
      <w:rPr>
        <w:b/>
      </w:rPr>
      <w:t>EXPERT NATIONAL DETACHE</w:t>
    </w:r>
    <w:r>
      <w:rPr>
        <w:b/>
      </w:rPr>
      <w:t xml:space="preserve"> A LA COMMISSION EUROPEENNE</w:t>
    </w:r>
  </w:p>
  <w:p w:rsidR="002D3B67" w:rsidRDefault="002D3B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022C1357"/>
    <w:multiLevelType w:val="hybridMultilevel"/>
    <w:tmpl w:val="37FAC610"/>
    <w:lvl w:ilvl="0" w:tplc="0809000F">
      <w:start w:val="1"/>
      <w:numFmt w:val="decimal"/>
      <w:lvlText w:val="%1."/>
      <w:lvlJc w:val="left"/>
      <w:pPr>
        <w:ind w:left="1217" w:hanging="360"/>
      </w:pPr>
    </w:lvl>
    <w:lvl w:ilvl="1" w:tplc="08090019" w:tentative="1">
      <w:start w:val="1"/>
      <w:numFmt w:val="lowerLetter"/>
      <w:lvlText w:val="%2."/>
      <w:lvlJc w:val="left"/>
      <w:pPr>
        <w:ind w:left="1937" w:hanging="360"/>
      </w:pPr>
    </w:lvl>
    <w:lvl w:ilvl="2" w:tplc="0809001B" w:tentative="1">
      <w:start w:val="1"/>
      <w:numFmt w:val="lowerRoman"/>
      <w:lvlText w:val="%3."/>
      <w:lvlJc w:val="right"/>
      <w:pPr>
        <w:ind w:left="2657" w:hanging="180"/>
      </w:pPr>
    </w:lvl>
    <w:lvl w:ilvl="3" w:tplc="0809000F" w:tentative="1">
      <w:start w:val="1"/>
      <w:numFmt w:val="decimal"/>
      <w:lvlText w:val="%4."/>
      <w:lvlJc w:val="left"/>
      <w:pPr>
        <w:ind w:left="3377" w:hanging="360"/>
      </w:pPr>
    </w:lvl>
    <w:lvl w:ilvl="4" w:tplc="08090019" w:tentative="1">
      <w:start w:val="1"/>
      <w:numFmt w:val="lowerLetter"/>
      <w:lvlText w:val="%5."/>
      <w:lvlJc w:val="left"/>
      <w:pPr>
        <w:ind w:left="4097" w:hanging="360"/>
      </w:pPr>
    </w:lvl>
    <w:lvl w:ilvl="5" w:tplc="0809001B" w:tentative="1">
      <w:start w:val="1"/>
      <w:numFmt w:val="lowerRoman"/>
      <w:lvlText w:val="%6."/>
      <w:lvlJc w:val="right"/>
      <w:pPr>
        <w:ind w:left="4817" w:hanging="180"/>
      </w:pPr>
    </w:lvl>
    <w:lvl w:ilvl="6" w:tplc="0809000F" w:tentative="1">
      <w:start w:val="1"/>
      <w:numFmt w:val="decimal"/>
      <w:lvlText w:val="%7."/>
      <w:lvlJc w:val="left"/>
      <w:pPr>
        <w:ind w:left="5537" w:hanging="360"/>
      </w:pPr>
    </w:lvl>
    <w:lvl w:ilvl="7" w:tplc="08090019" w:tentative="1">
      <w:start w:val="1"/>
      <w:numFmt w:val="lowerLetter"/>
      <w:lvlText w:val="%8."/>
      <w:lvlJc w:val="left"/>
      <w:pPr>
        <w:ind w:left="6257" w:hanging="360"/>
      </w:pPr>
    </w:lvl>
    <w:lvl w:ilvl="8" w:tplc="0809001B" w:tentative="1">
      <w:start w:val="1"/>
      <w:numFmt w:val="lowerRoman"/>
      <w:lvlText w:val="%9."/>
      <w:lvlJc w:val="right"/>
      <w:pPr>
        <w:ind w:left="6977" w:hanging="180"/>
      </w:pPr>
    </w:lvl>
  </w:abstractNum>
  <w:abstractNum w:abstractNumId="4" w15:restartNumberingAfterBreak="0">
    <w:nsid w:val="03D47FBD"/>
    <w:multiLevelType w:val="hybridMultilevel"/>
    <w:tmpl w:val="768C5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217A1E"/>
    <w:multiLevelType w:val="hybridMultilevel"/>
    <w:tmpl w:val="4B1A7BDE"/>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0CA300AD"/>
    <w:multiLevelType w:val="hybridMultilevel"/>
    <w:tmpl w:val="1C9A959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0D7204D9"/>
    <w:multiLevelType w:val="hybridMultilevel"/>
    <w:tmpl w:val="45960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B26324"/>
    <w:multiLevelType w:val="hybridMultilevel"/>
    <w:tmpl w:val="7A520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10" w15:restartNumberingAfterBreak="0">
    <w:nsid w:val="1BE01021"/>
    <w:multiLevelType w:val="hybridMultilevel"/>
    <w:tmpl w:val="69F65A58"/>
    <w:lvl w:ilvl="0" w:tplc="43100E26">
      <w:start w:val="1"/>
      <w:numFmt w:val="bullet"/>
      <w:lvlText w:val=""/>
      <w:lvlJc w:val="left"/>
      <w:pPr>
        <w:ind w:left="720" w:hanging="360"/>
      </w:pPr>
      <w:rPr>
        <w:rFonts w:ascii="Symbol" w:hAnsi="Symbol" w:hint="default"/>
        <w:lang w:val="fr-B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12" w15:restartNumberingAfterBreak="0">
    <w:nsid w:val="1DAE6150"/>
    <w:multiLevelType w:val="hybridMultilevel"/>
    <w:tmpl w:val="2F702702"/>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3" w15:restartNumberingAfterBreak="0">
    <w:nsid w:val="23E25B64"/>
    <w:multiLevelType w:val="hybridMultilevel"/>
    <w:tmpl w:val="997CB53C"/>
    <w:lvl w:ilvl="0" w:tplc="66BE112C">
      <w:start w:val="1"/>
      <w:numFmt w:val="bullet"/>
      <w:lvlText w:val="-"/>
      <w:lvlJc w:val="left"/>
      <w:pPr>
        <w:ind w:left="1647" w:hanging="360"/>
      </w:pPr>
      <w:rPr>
        <w:rFonts w:ascii="Times New Roman" w:hAnsi="Times New Roman" w:cs="Times New Roman"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14" w15:restartNumberingAfterBreak="0">
    <w:nsid w:val="41DF57A1"/>
    <w:multiLevelType w:val="hybridMultilevel"/>
    <w:tmpl w:val="8AB8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D73454"/>
    <w:multiLevelType w:val="hybridMultilevel"/>
    <w:tmpl w:val="84AAE50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506C7355"/>
    <w:multiLevelType w:val="hybridMultilevel"/>
    <w:tmpl w:val="9C06FBF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0A0B76"/>
    <w:multiLevelType w:val="hybridMultilevel"/>
    <w:tmpl w:val="ADB8FA8C"/>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BE409A5"/>
    <w:multiLevelType w:val="hybridMultilevel"/>
    <w:tmpl w:val="F0A47EAA"/>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22"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23" w15:restartNumberingAfterBreak="0">
    <w:nsid w:val="649576DB"/>
    <w:multiLevelType w:val="hybridMultilevel"/>
    <w:tmpl w:val="F13AF894"/>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24" w15:restartNumberingAfterBreak="0">
    <w:nsid w:val="64C11273"/>
    <w:multiLevelType w:val="hybridMultilevel"/>
    <w:tmpl w:val="DC4E15B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26" w15:restartNumberingAfterBreak="0">
    <w:nsid w:val="681E2124"/>
    <w:multiLevelType w:val="hybridMultilevel"/>
    <w:tmpl w:val="0E3C8C0A"/>
    <w:lvl w:ilvl="0" w:tplc="66BE112C">
      <w:start w:val="1"/>
      <w:numFmt w:val="bullet"/>
      <w:lvlText w:val="-"/>
      <w:lvlJc w:val="left"/>
      <w:pPr>
        <w:ind w:left="1794" w:hanging="720"/>
      </w:pPr>
      <w:rPr>
        <w:rFonts w:ascii="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7" w15:restartNumberingAfterBreak="0">
    <w:nsid w:val="70397BFF"/>
    <w:multiLevelType w:val="hybridMultilevel"/>
    <w:tmpl w:val="8D56B7B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8" w15:restartNumberingAfterBreak="0">
    <w:nsid w:val="75A7667F"/>
    <w:multiLevelType w:val="hybridMultilevel"/>
    <w:tmpl w:val="C18E1E70"/>
    <w:lvl w:ilvl="0" w:tplc="08090001">
      <w:start w:val="1"/>
      <w:numFmt w:val="bullet"/>
      <w:lvlText w:val=""/>
      <w:lvlJc w:val="left"/>
      <w:pPr>
        <w:ind w:left="1794" w:hanging="72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abstractNumId w:val="2"/>
  </w:num>
  <w:num w:numId="2">
    <w:abstractNumId w:val="9"/>
  </w:num>
  <w:num w:numId="3">
    <w:abstractNumId w:val="19"/>
  </w:num>
  <w:num w:numId="4">
    <w:abstractNumId w:val="25"/>
  </w:num>
  <w:num w:numId="5">
    <w:abstractNumId w:val="22"/>
  </w:num>
  <w:num w:numId="6">
    <w:abstractNumId w:val="11"/>
  </w:num>
  <w:num w:numId="7">
    <w:abstractNumId w:val="1"/>
    <w:lvlOverride w:ilvl="0">
      <w:lvl w:ilvl="0">
        <w:numFmt w:val="bullet"/>
        <w:lvlText w:val=""/>
        <w:legacy w:legacy="1" w:legacySpace="0" w:legacyIndent="0"/>
        <w:lvlJc w:val="left"/>
        <w:rPr>
          <w:rFonts w:ascii="Symbol" w:hAnsi="Symbol" w:hint="default"/>
        </w:rPr>
      </w:lvl>
    </w:lvlOverride>
  </w:num>
  <w:num w:numId="8">
    <w:abstractNumId w:val="20"/>
  </w:num>
  <w:num w:numId="9">
    <w:abstractNumId w:val="0"/>
  </w:num>
  <w:num w:numId="10">
    <w:abstractNumId w:val="7"/>
  </w:num>
  <w:num w:numId="11">
    <w:abstractNumId w:val="10"/>
  </w:num>
  <w:num w:numId="12">
    <w:abstractNumId w:val="4"/>
  </w:num>
  <w:num w:numId="13">
    <w:abstractNumId w:val="17"/>
  </w:num>
  <w:num w:numId="14">
    <w:abstractNumId w:val="14"/>
  </w:num>
  <w:num w:numId="15">
    <w:abstractNumId w:val="8"/>
  </w:num>
  <w:num w:numId="16">
    <w:abstractNumId w:val="28"/>
  </w:num>
  <w:num w:numId="17">
    <w:abstractNumId w:val="26"/>
  </w:num>
  <w:num w:numId="18">
    <w:abstractNumId w:val="13"/>
  </w:num>
  <w:num w:numId="19">
    <w:abstractNumId w:val="12"/>
  </w:num>
  <w:num w:numId="20">
    <w:abstractNumId w:val="23"/>
  </w:num>
  <w:num w:numId="21">
    <w:abstractNumId w:val="21"/>
  </w:num>
  <w:num w:numId="22">
    <w:abstractNumId w:val="18"/>
  </w:num>
  <w:num w:numId="23">
    <w:abstractNumId w:val="5"/>
  </w:num>
  <w:num w:numId="24">
    <w:abstractNumId w:val="24"/>
  </w:num>
  <w:num w:numId="25">
    <w:abstractNumId w:val="15"/>
  </w:num>
  <w:num w:numId="26">
    <w:abstractNumId w:val="16"/>
  </w:num>
  <w:num w:numId="27">
    <w:abstractNumId w:val="6"/>
  </w:num>
  <w:num w:numId="28">
    <w:abstractNumId w:val="2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13C7A"/>
    <w:rsid w:val="00014514"/>
    <w:rsid w:val="000230DA"/>
    <w:rsid w:val="00093A48"/>
    <w:rsid w:val="000C695E"/>
    <w:rsid w:val="000D13C7"/>
    <w:rsid w:val="000E6B9E"/>
    <w:rsid w:val="000F0B02"/>
    <w:rsid w:val="001339A5"/>
    <w:rsid w:val="00155FA0"/>
    <w:rsid w:val="0016470B"/>
    <w:rsid w:val="001807A5"/>
    <w:rsid w:val="00184D0D"/>
    <w:rsid w:val="00184FC0"/>
    <w:rsid w:val="00185847"/>
    <w:rsid w:val="00185A6E"/>
    <w:rsid w:val="001A2CB3"/>
    <w:rsid w:val="001B6E4C"/>
    <w:rsid w:val="001C0E3E"/>
    <w:rsid w:val="001E0F7C"/>
    <w:rsid w:val="001F3C83"/>
    <w:rsid w:val="0020103F"/>
    <w:rsid w:val="00207EB1"/>
    <w:rsid w:val="00213AC7"/>
    <w:rsid w:val="00225615"/>
    <w:rsid w:val="002269A9"/>
    <w:rsid w:val="0024100B"/>
    <w:rsid w:val="00243FA8"/>
    <w:rsid w:val="0024531E"/>
    <w:rsid w:val="002557DF"/>
    <w:rsid w:val="0026508A"/>
    <w:rsid w:val="002709C2"/>
    <w:rsid w:val="00271801"/>
    <w:rsid w:val="00277C82"/>
    <w:rsid w:val="002A0412"/>
    <w:rsid w:val="002A063F"/>
    <w:rsid w:val="002A4308"/>
    <w:rsid w:val="002A5D37"/>
    <w:rsid w:val="002A6772"/>
    <w:rsid w:val="002B1D82"/>
    <w:rsid w:val="002B1FE3"/>
    <w:rsid w:val="002B5738"/>
    <w:rsid w:val="002C1DD6"/>
    <w:rsid w:val="002C7E0A"/>
    <w:rsid w:val="002D3B67"/>
    <w:rsid w:val="002D73AA"/>
    <w:rsid w:val="002E1BE6"/>
    <w:rsid w:val="002F6710"/>
    <w:rsid w:val="002F757B"/>
    <w:rsid w:val="00300579"/>
    <w:rsid w:val="00332DA7"/>
    <w:rsid w:val="00343A40"/>
    <w:rsid w:val="00353449"/>
    <w:rsid w:val="00356E6F"/>
    <w:rsid w:val="0036273E"/>
    <w:rsid w:val="003639FD"/>
    <w:rsid w:val="00363A4F"/>
    <w:rsid w:val="003776E4"/>
    <w:rsid w:val="00377F18"/>
    <w:rsid w:val="003B2134"/>
    <w:rsid w:val="003C197F"/>
    <w:rsid w:val="003D484D"/>
    <w:rsid w:val="003E7309"/>
    <w:rsid w:val="00410120"/>
    <w:rsid w:val="00436CA3"/>
    <w:rsid w:val="0045400E"/>
    <w:rsid w:val="00454C2F"/>
    <w:rsid w:val="00491FE7"/>
    <w:rsid w:val="004B0250"/>
    <w:rsid w:val="004B7487"/>
    <w:rsid w:val="004C1CF4"/>
    <w:rsid w:val="00506CDC"/>
    <w:rsid w:val="00520853"/>
    <w:rsid w:val="00525AB3"/>
    <w:rsid w:val="0053797D"/>
    <w:rsid w:val="005459ED"/>
    <w:rsid w:val="005524F3"/>
    <w:rsid w:val="0055386D"/>
    <w:rsid w:val="0056395F"/>
    <w:rsid w:val="00570F58"/>
    <w:rsid w:val="00577BDC"/>
    <w:rsid w:val="00577E73"/>
    <w:rsid w:val="00597574"/>
    <w:rsid w:val="0059779D"/>
    <w:rsid w:val="005A1433"/>
    <w:rsid w:val="005A2544"/>
    <w:rsid w:val="005D3035"/>
    <w:rsid w:val="005D6462"/>
    <w:rsid w:val="00615C31"/>
    <w:rsid w:val="00625DED"/>
    <w:rsid w:val="00630D64"/>
    <w:rsid w:val="0063769A"/>
    <w:rsid w:val="00673097"/>
    <w:rsid w:val="00682CB4"/>
    <w:rsid w:val="00733DBA"/>
    <w:rsid w:val="0076561B"/>
    <w:rsid w:val="00773ACF"/>
    <w:rsid w:val="0078320E"/>
    <w:rsid w:val="00807D4A"/>
    <w:rsid w:val="00811432"/>
    <w:rsid w:val="00820556"/>
    <w:rsid w:val="00837C9B"/>
    <w:rsid w:val="00844D7B"/>
    <w:rsid w:val="00856CF1"/>
    <w:rsid w:val="008650B6"/>
    <w:rsid w:val="00892932"/>
    <w:rsid w:val="008930B8"/>
    <w:rsid w:val="008A0BF8"/>
    <w:rsid w:val="008B38B2"/>
    <w:rsid w:val="008B6E48"/>
    <w:rsid w:val="008C1BAB"/>
    <w:rsid w:val="008E4B21"/>
    <w:rsid w:val="008F4E36"/>
    <w:rsid w:val="008F5099"/>
    <w:rsid w:val="00921131"/>
    <w:rsid w:val="00945F75"/>
    <w:rsid w:val="00951939"/>
    <w:rsid w:val="00952714"/>
    <w:rsid w:val="009555C7"/>
    <w:rsid w:val="009C4EC1"/>
    <w:rsid w:val="009E1B29"/>
    <w:rsid w:val="009F27F5"/>
    <w:rsid w:val="00A05F78"/>
    <w:rsid w:val="00A26BD3"/>
    <w:rsid w:val="00A26C4A"/>
    <w:rsid w:val="00A462B8"/>
    <w:rsid w:val="00A60261"/>
    <w:rsid w:val="00A84F2F"/>
    <w:rsid w:val="00A93B72"/>
    <w:rsid w:val="00AA6F9C"/>
    <w:rsid w:val="00AA7C72"/>
    <w:rsid w:val="00AF69E1"/>
    <w:rsid w:val="00B07C01"/>
    <w:rsid w:val="00B16F83"/>
    <w:rsid w:val="00B25951"/>
    <w:rsid w:val="00B303AE"/>
    <w:rsid w:val="00B51D63"/>
    <w:rsid w:val="00B5301D"/>
    <w:rsid w:val="00B57F47"/>
    <w:rsid w:val="00B70174"/>
    <w:rsid w:val="00B737CB"/>
    <w:rsid w:val="00B90296"/>
    <w:rsid w:val="00B91F67"/>
    <w:rsid w:val="00B92AEA"/>
    <w:rsid w:val="00B94DFA"/>
    <w:rsid w:val="00BA1CA5"/>
    <w:rsid w:val="00BC732B"/>
    <w:rsid w:val="00BC7731"/>
    <w:rsid w:val="00BD6207"/>
    <w:rsid w:val="00C0285B"/>
    <w:rsid w:val="00C40906"/>
    <w:rsid w:val="00C41FD8"/>
    <w:rsid w:val="00C44E7E"/>
    <w:rsid w:val="00C47260"/>
    <w:rsid w:val="00C54F28"/>
    <w:rsid w:val="00C6355A"/>
    <w:rsid w:val="00C67062"/>
    <w:rsid w:val="00C72A05"/>
    <w:rsid w:val="00C7471D"/>
    <w:rsid w:val="00CC0DBE"/>
    <w:rsid w:val="00CD0164"/>
    <w:rsid w:val="00CD6C77"/>
    <w:rsid w:val="00CF55F6"/>
    <w:rsid w:val="00CF75BB"/>
    <w:rsid w:val="00D17D0C"/>
    <w:rsid w:val="00D3601A"/>
    <w:rsid w:val="00D411C5"/>
    <w:rsid w:val="00D436AB"/>
    <w:rsid w:val="00D459AB"/>
    <w:rsid w:val="00D743B0"/>
    <w:rsid w:val="00DB2121"/>
    <w:rsid w:val="00DB2B95"/>
    <w:rsid w:val="00DB7CF2"/>
    <w:rsid w:val="00DB7D07"/>
    <w:rsid w:val="00DC353D"/>
    <w:rsid w:val="00DD20D9"/>
    <w:rsid w:val="00DF2FD9"/>
    <w:rsid w:val="00DF3FDD"/>
    <w:rsid w:val="00E00EE4"/>
    <w:rsid w:val="00E0449E"/>
    <w:rsid w:val="00E3586A"/>
    <w:rsid w:val="00E45131"/>
    <w:rsid w:val="00E63EEB"/>
    <w:rsid w:val="00E67CD7"/>
    <w:rsid w:val="00E71C56"/>
    <w:rsid w:val="00EA6617"/>
    <w:rsid w:val="00EB347A"/>
    <w:rsid w:val="00EE2303"/>
    <w:rsid w:val="00EF61D4"/>
    <w:rsid w:val="00F25489"/>
    <w:rsid w:val="00F602A5"/>
    <w:rsid w:val="00FB112F"/>
    <w:rsid w:val="00FB237A"/>
    <w:rsid w:val="00FB7F4B"/>
    <w:rsid w:val="00FC037A"/>
    <w:rsid w:val="00FC77FD"/>
    <w:rsid w:val="00FD2BE5"/>
    <w:rsid w:val="00FD7326"/>
    <w:rsid w:val="00FD7499"/>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14:docId w14:val="49AEE574"/>
  <w15:chartTrackingRefBased/>
  <w15:docId w15:val="{AA442BFB-2AC4-4873-B480-9B7C0E5D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character" w:styleId="CommentReference">
    <w:name w:val="annotation reference"/>
    <w:rsid w:val="00FC037A"/>
    <w:rPr>
      <w:sz w:val="16"/>
      <w:szCs w:val="16"/>
    </w:rPr>
  </w:style>
  <w:style w:type="paragraph" w:styleId="CommentText">
    <w:name w:val="annotation text"/>
    <w:basedOn w:val="Normal"/>
    <w:link w:val="CommentTextChar"/>
    <w:rsid w:val="00FC037A"/>
    <w:rPr>
      <w:sz w:val="20"/>
    </w:rPr>
  </w:style>
  <w:style w:type="character" w:customStyle="1" w:styleId="CommentTextChar">
    <w:name w:val="Comment Text Char"/>
    <w:link w:val="CommentText"/>
    <w:rsid w:val="00FC037A"/>
    <w:rPr>
      <w:lang w:val="fr-BE"/>
    </w:rPr>
  </w:style>
  <w:style w:type="paragraph" w:styleId="CommentSubject">
    <w:name w:val="annotation subject"/>
    <w:basedOn w:val="CommentText"/>
    <w:next w:val="CommentText"/>
    <w:link w:val="CommentSubjectChar"/>
    <w:rsid w:val="00FC037A"/>
    <w:rPr>
      <w:b/>
      <w:bCs/>
    </w:rPr>
  </w:style>
  <w:style w:type="character" w:customStyle="1" w:styleId="CommentSubjectChar">
    <w:name w:val="Comment Subject Char"/>
    <w:link w:val="CommentSubject"/>
    <w:rsid w:val="00FC037A"/>
    <w:rPr>
      <w:b/>
      <w:bCs/>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 w:id="1802386068">
      <w:bodyDiv w:val="1"/>
      <w:marLeft w:val="0"/>
      <w:marRight w:val="0"/>
      <w:marTop w:val="0"/>
      <w:marBottom w:val="0"/>
      <w:divBdr>
        <w:top w:val="none" w:sz="0" w:space="0" w:color="auto"/>
        <w:left w:val="none" w:sz="0" w:space="0" w:color="auto"/>
        <w:bottom w:val="none" w:sz="0" w:space="0" w:color="auto"/>
        <w:right w:val="none" w:sz="0" w:space="0" w:color="auto"/>
      </w:divBdr>
      <w:divsChild>
        <w:div w:id="539635598">
          <w:marLeft w:val="0"/>
          <w:marRight w:val="0"/>
          <w:marTop w:val="0"/>
          <w:marBottom w:val="0"/>
          <w:divBdr>
            <w:top w:val="none" w:sz="0" w:space="0" w:color="auto"/>
            <w:left w:val="none" w:sz="0" w:space="0" w:color="auto"/>
            <w:bottom w:val="none" w:sz="0" w:space="0" w:color="auto"/>
            <w:right w:val="none" w:sz="0" w:space="0" w:color="auto"/>
          </w:divBdr>
        </w:div>
        <w:div w:id="899247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gs/personnel_administration/security_fr.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fr.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7BEEE-4197-4A3D-9403-D5600A0E5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1264</Words>
  <Characters>7208</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8456</CharactersWithSpaces>
  <SharedDoc>false</SharedDoc>
  <HLinks>
    <vt:vector size="30" baseType="variant">
      <vt:variant>
        <vt:i4>6094933</vt:i4>
      </vt:variant>
      <vt:variant>
        <vt:i4>12</vt:i4>
      </vt:variant>
      <vt:variant>
        <vt:i4>0</vt:i4>
      </vt:variant>
      <vt:variant>
        <vt:i4>5</vt:i4>
      </vt:variant>
      <vt:variant>
        <vt:lpwstr>http://ec.europa.eu/dgs/jrc/index.cfm?id=6270</vt:lpwstr>
      </vt:variant>
      <vt:variant>
        <vt:lpwstr/>
      </vt:variant>
      <vt:variant>
        <vt:i4>1245253</vt:i4>
      </vt:variant>
      <vt:variant>
        <vt:i4>9</vt:i4>
      </vt:variant>
      <vt:variant>
        <vt:i4>0</vt:i4>
      </vt:variant>
      <vt:variant>
        <vt:i4>5</vt:i4>
      </vt:variant>
      <vt:variant>
        <vt:lpwstr>http://ec.europa.eu/dgs/personnel_administration/security_fr.htm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7536757</vt:i4>
      </vt:variant>
      <vt:variant>
        <vt:i4>3</vt:i4>
      </vt:variant>
      <vt:variant>
        <vt:i4>0</vt:i4>
      </vt:variant>
      <vt:variant>
        <vt:i4>5</vt:i4>
      </vt:variant>
      <vt:variant>
        <vt:lpwstr>http://ec.europa.eu/civil_service/job/sne/index_fr.htm</vt:lpwstr>
      </vt:variant>
      <vt:variant>
        <vt:lpwstr/>
      </vt:variant>
      <vt:variant>
        <vt:i4>3735590</vt:i4>
      </vt:variant>
      <vt:variant>
        <vt:i4>0</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SCHOLLAERT Laurence (HR)</cp:lastModifiedBy>
  <cp:revision>2</cp:revision>
  <cp:lastPrinted>2013-01-11T14:19:00Z</cp:lastPrinted>
  <dcterms:created xsi:type="dcterms:W3CDTF">2019-02-05T14:18:00Z</dcterms:created>
  <dcterms:modified xsi:type="dcterms:W3CDTF">2019-02-05T14:18:00Z</dcterms:modified>
</cp:coreProperties>
</file>