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CD0" w:rsidRDefault="00650AD8" w:rsidP="00EA4CD0">
      <w:pPr>
        <w:jc w:val="center"/>
        <w:rPr>
          <w:rFonts w:ascii="Times New Roman" w:hAnsi="Times New Roman" w:cs="Times New Roman"/>
          <w:b/>
          <w:sz w:val="24"/>
          <w:szCs w:val="24"/>
          <w:lang w:val="bg-BG"/>
        </w:rPr>
      </w:pPr>
      <w:r w:rsidRPr="005C430F">
        <w:rPr>
          <w:rFonts w:ascii="Times New Roman" w:hAnsi="Times New Roman" w:cs="Times New Roman"/>
          <w:b/>
          <w:sz w:val="24"/>
          <w:szCs w:val="24"/>
        </w:rPr>
        <w:t>PROSECUTORS AND INVESTIGATORS PARTICIPATED IN SEMINARS</w:t>
      </w:r>
      <w:r w:rsidRPr="00650AD8">
        <w:rPr>
          <w:rFonts w:ascii="Times New Roman" w:hAnsi="Times New Roman" w:cs="Times New Roman"/>
          <w:b/>
          <w:sz w:val="24"/>
          <w:szCs w:val="24"/>
          <w:lang w:val="bg-BG"/>
        </w:rPr>
        <w:t xml:space="preserve"> ON THE TOPIC O</w:t>
      </w:r>
      <w:r>
        <w:rPr>
          <w:rFonts w:ascii="Times New Roman" w:hAnsi="Times New Roman" w:cs="Times New Roman"/>
          <w:b/>
          <w:sz w:val="24"/>
          <w:szCs w:val="24"/>
          <w:lang w:val="bg-BG"/>
        </w:rPr>
        <w:t>F HATE CRIMES AND DISCRIMINATION</w:t>
      </w:r>
      <w:r w:rsidRPr="00650AD8">
        <w:rPr>
          <w:rFonts w:ascii="Times New Roman" w:hAnsi="Times New Roman" w:cs="Times New Roman"/>
          <w:b/>
          <w:sz w:val="24"/>
          <w:szCs w:val="24"/>
          <w:lang w:val="bg-BG"/>
        </w:rPr>
        <w:t xml:space="preserve"> CRIMES</w:t>
      </w:r>
    </w:p>
    <w:p w:rsidR="00650AD8" w:rsidRPr="007E54FE" w:rsidRDefault="00650AD8" w:rsidP="00EA4CD0">
      <w:pPr>
        <w:jc w:val="center"/>
        <w:rPr>
          <w:rFonts w:ascii="Times New Roman" w:hAnsi="Times New Roman" w:cs="Times New Roman"/>
          <w:sz w:val="24"/>
          <w:szCs w:val="24"/>
          <w:lang w:val="bg-BG"/>
        </w:rPr>
      </w:pPr>
    </w:p>
    <w:tbl>
      <w:tblPr>
        <w:tblStyle w:val="TableGrid"/>
        <w:tblW w:w="0" w:type="auto"/>
        <w:tblInd w:w="85" w:type="dxa"/>
        <w:tblLook w:val="04A0" w:firstRow="1" w:lastRow="0" w:firstColumn="1" w:lastColumn="0" w:noHBand="0" w:noVBand="1"/>
      </w:tblPr>
      <w:tblGrid>
        <w:gridCol w:w="3670"/>
        <w:gridCol w:w="2631"/>
        <w:gridCol w:w="1416"/>
        <w:gridCol w:w="1548"/>
      </w:tblGrid>
      <w:tr w:rsidR="00650AD8" w:rsidRPr="007E54FE" w:rsidTr="00650AD8">
        <w:trPr>
          <w:trHeight w:val="900"/>
        </w:trPr>
        <w:tc>
          <w:tcPr>
            <w:tcW w:w="3670" w:type="dxa"/>
            <w:hideMark/>
          </w:tcPr>
          <w:p w:rsidR="00EA4CD0" w:rsidRPr="0025584A" w:rsidRDefault="00650AD8" w:rsidP="00DD5623">
            <w:pPr>
              <w:jc w:val="center"/>
              <w:rPr>
                <w:rFonts w:ascii="Times New Roman" w:hAnsi="Times New Roman" w:cs="Times New Roman"/>
                <w:b/>
              </w:rPr>
            </w:pPr>
            <w:r w:rsidRPr="0025584A">
              <w:rPr>
                <w:rFonts w:ascii="Times New Roman" w:hAnsi="Times New Roman" w:cs="Times New Roman"/>
                <w:b/>
              </w:rPr>
              <w:t>Topic of the seminar</w:t>
            </w:r>
          </w:p>
        </w:tc>
        <w:tc>
          <w:tcPr>
            <w:tcW w:w="2631" w:type="dxa"/>
          </w:tcPr>
          <w:p w:rsidR="00EA4CD0" w:rsidRPr="0025584A" w:rsidRDefault="00650AD8" w:rsidP="005C430F">
            <w:pPr>
              <w:rPr>
                <w:rFonts w:ascii="Times New Roman" w:hAnsi="Times New Roman" w:cs="Times New Roman"/>
                <w:b/>
              </w:rPr>
            </w:pPr>
            <w:r w:rsidRPr="0025584A">
              <w:rPr>
                <w:rFonts w:ascii="Times New Roman" w:hAnsi="Times New Roman" w:cs="Times New Roman"/>
                <w:b/>
              </w:rPr>
              <w:t>Organ</w:t>
            </w:r>
            <w:r w:rsidR="005C430F" w:rsidRPr="0025584A">
              <w:rPr>
                <w:rFonts w:ascii="Times New Roman" w:hAnsi="Times New Roman" w:cs="Times New Roman"/>
                <w:b/>
              </w:rPr>
              <w:t>izer</w:t>
            </w:r>
          </w:p>
        </w:tc>
        <w:tc>
          <w:tcPr>
            <w:tcW w:w="1416" w:type="dxa"/>
            <w:hideMark/>
          </w:tcPr>
          <w:p w:rsidR="00EA4CD0" w:rsidRPr="00523B36" w:rsidRDefault="00650AD8" w:rsidP="00DD5623">
            <w:pPr>
              <w:rPr>
                <w:rFonts w:ascii="Times New Roman" w:hAnsi="Times New Roman" w:cs="Times New Roman"/>
                <w:b/>
                <w:sz w:val="24"/>
                <w:szCs w:val="24"/>
                <w:lang w:val="bg-BG"/>
              </w:rPr>
            </w:pPr>
            <w:r>
              <w:rPr>
                <w:rFonts w:ascii="Times New Roman" w:hAnsi="Times New Roman" w:cs="Times New Roman"/>
                <w:b/>
                <w:sz w:val="24"/>
                <w:szCs w:val="24"/>
              </w:rPr>
              <w:t>Number of the prosecutors</w:t>
            </w:r>
            <w:r w:rsidR="00EA4CD0" w:rsidRPr="00523B36">
              <w:rPr>
                <w:rFonts w:ascii="Times New Roman" w:hAnsi="Times New Roman" w:cs="Times New Roman"/>
                <w:b/>
                <w:sz w:val="24"/>
                <w:szCs w:val="24"/>
                <w:lang w:val="bg-BG"/>
              </w:rPr>
              <w:t xml:space="preserve"> </w:t>
            </w:r>
          </w:p>
        </w:tc>
        <w:tc>
          <w:tcPr>
            <w:tcW w:w="1548" w:type="dxa"/>
          </w:tcPr>
          <w:p w:rsidR="00F554CC" w:rsidRPr="005C430F" w:rsidRDefault="00650AD8" w:rsidP="00650AD8">
            <w:pPr>
              <w:rPr>
                <w:rFonts w:ascii="Times New Roman" w:hAnsi="Times New Roman" w:cs="Times New Roman"/>
                <w:b/>
                <w:sz w:val="24"/>
                <w:szCs w:val="24"/>
              </w:rPr>
            </w:pPr>
            <w:r w:rsidRPr="005C430F">
              <w:rPr>
                <w:rFonts w:ascii="Times New Roman" w:hAnsi="Times New Roman" w:cs="Times New Roman"/>
                <w:b/>
                <w:sz w:val="24"/>
                <w:szCs w:val="24"/>
              </w:rPr>
              <w:t>Number of the investigators</w:t>
            </w:r>
          </w:p>
        </w:tc>
      </w:tr>
      <w:tr w:rsidR="007E54FE" w:rsidRPr="007E54FE" w:rsidTr="00650AD8">
        <w:trPr>
          <w:trHeight w:val="735"/>
        </w:trPr>
        <w:tc>
          <w:tcPr>
            <w:tcW w:w="9265" w:type="dxa"/>
            <w:gridSpan w:val="4"/>
            <w:shd w:val="clear" w:color="auto" w:fill="F2F2F2" w:themeFill="background1" w:themeFillShade="F2"/>
          </w:tcPr>
          <w:p w:rsidR="00750C41" w:rsidRPr="0025584A" w:rsidRDefault="00750C41" w:rsidP="007E54FE">
            <w:pPr>
              <w:jc w:val="center"/>
              <w:rPr>
                <w:rFonts w:ascii="Times New Roman" w:hAnsi="Times New Roman" w:cs="Times New Roman"/>
              </w:rPr>
            </w:pPr>
          </w:p>
          <w:p w:rsidR="007E54FE" w:rsidRPr="0025584A" w:rsidRDefault="007E54FE" w:rsidP="007E54FE">
            <w:pPr>
              <w:jc w:val="center"/>
              <w:rPr>
                <w:rFonts w:ascii="Times New Roman" w:hAnsi="Times New Roman" w:cs="Times New Roman"/>
              </w:rPr>
            </w:pPr>
            <w:r w:rsidRPr="0025584A">
              <w:rPr>
                <w:rFonts w:ascii="Times New Roman" w:hAnsi="Times New Roman" w:cs="Times New Roman"/>
                <w:lang w:val="bg-BG"/>
              </w:rPr>
              <w:t>2014</w:t>
            </w:r>
          </w:p>
          <w:p w:rsidR="00750C41" w:rsidRPr="0025584A" w:rsidRDefault="00750C41" w:rsidP="007E54FE">
            <w:pPr>
              <w:jc w:val="center"/>
              <w:rPr>
                <w:rFonts w:ascii="Times New Roman" w:hAnsi="Times New Roman" w:cs="Times New Roman"/>
              </w:rPr>
            </w:pPr>
          </w:p>
        </w:tc>
      </w:tr>
      <w:tr w:rsidR="00650AD8" w:rsidRPr="007E54FE" w:rsidTr="00650AD8">
        <w:trPr>
          <w:trHeight w:val="735"/>
        </w:trPr>
        <w:tc>
          <w:tcPr>
            <w:tcW w:w="3670" w:type="dxa"/>
            <w:shd w:val="clear" w:color="auto" w:fill="auto"/>
          </w:tcPr>
          <w:p w:rsidR="00D32D3D" w:rsidRPr="0025584A" w:rsidRDefault="00650AD8" w:rsidP="00650AD8">
            <w:pPr>
              <w:rPr>
                <w:rFonts w:ascii="Times New Roman" w:hAnsi="Times New Roman" w:cs="Times New Roman"/>
              </w:rPr>
            </w:pPr>
            <w:r w:rsidRPr="0025584A">
              <w:rPr>
                <w:rFonts w:ascii="Times New Roman" w:hAnsi="Times New Roman" w:cs="Times New Roman"/>
              </w:rPr>
              <w:t>European anti-discrimination law- 3 trainings</w:t>
            </w:r>
          </w:p>
        </w:tc>
        <w:tc>
          <w:tcPr>
            <w:tcW w:w="2631" w:type="dxa"/>
            <w:shd w:val="clear" w:color="auto" w:fill="auto"/>
          </w:tcPr>
          <w:p w:rsidR="00D32D3D" w:rsidRPr="0025584A" w:rsidRDefault="00650AD8" w:rsidP="00426A81">
            <w:pPr>
              <w:rPr>
                <w:rFonts w:ascii="Times New Roman" w:hAnsi="Times New Roman" w:cs="Times New Roman"/>
              </w:rPr>
            </w:pPr>
            <w:r w:rsidRPr="0025584A">
              <w:rPr>
                <w:rFonts w:ascii="Times New Roman" w:hAnsi="Times New Roman" w:cs="Times New Roman"/>
              </w:rPr>
              <w:t>European law academy</w:t>
            </w:r>
          </w:p>
        </w:tc>
        <w:tc>
          <w:tcPr>
            <w:tcW w:w="1416" w:type="dxa"/>
            <w:shd w:val="clear" w:color="auto" w:fill="auto"/>
          </w:tcPr>
          <w:p w:rsidR="00D32D3D" w:rsidRPr="0025584A" w:rsidRDefault="00D32D3D" w:rsidP="00426A81">
            <w:pPr>
              <w:rPr>
                <w:rFonts w:ascii="Times New Roman" w:hAnsi="Times New Roman" w:cs="Times New Roman"/>
                <w:lang w:val="bg-BG"/>
              </w:rPr>
            </w:pPr>
            <w:r w:rsidRPr="0025584A">
              <w:rPr>
                <w:rFonts w:ascii="Times New Roman" w:hAnsi="Times New Roman" w:cs="Times New Roman"/>
                <w:lang w:val="bg-BG"/>
              </w:rPr>
              <w:t>3</w:t>
            </w:r>
          </w:p>
        </w:tc>
        <w:tc>
          <w:tcPr>
            <w:tcW w:w="1548" w:type="dxa"/>
            <w:shd w:val="clear" w:color="auto" w:fill="auto"/>
          </w:tcPr>
          <w:p w:rsidR="00D32D3D" w:rsidRPr="0025584A" w:rsidRDefault="00D32D3D" w:rsidP="0085641C">
            <w:pPr>
              <w:rPr>
                <w:rFonts w:ascii="Times New Roman" w:hAnsi="Times New Roman" w:cs="Times New Roman"/>
                <w:lang w:val="bg-BG"/>
              </w:rPr>
            </w:pPr>
          </w:p>
        </w:tc>
      </w:tr>
      <w:tr w:rsidR="00650AD8" w:rsidRPr="007E54FE" w:rsidTr="00650AD8">
        <w:trPr>
          <w:trHeight w:val="735"/>
        </w:trPr>
        <w:tc>
          <w:tcPr>
            <w:tcW w:w="3670" w:type="dxa"/>
            <w:shd w:val="clear" w:color="auto" w:fill="auto"/>
          </w:tcPr>
          <w:p w:rsidR="00D32D3D" w:rsidRPr="0025584A" w:rsidRDefault="00650AD8" w:rsidP="0085641C">
            <w:pPr>
              <w:rPr>
                <w:rFonts w:ascii="Times New Roman" w:hAnsi="Times New Roman" w:cs="Times New Roman"/>
              </w:rPr>
            </w:pPr>
            <w:r w:rsidRPr="0025584A">
              <w:rPr>
                <w:rFonts w:ascii="Times New Roman" w:hAnsi="Times New Roman" w:cs="Times New Roman"/>
              </w:rPr>
              <w:t>European law</w:t>
            </w:r>
            <w:r w:rsidR="00D32D3D" w:rsidRPr="0025584A">
              <w:rPr>
                <w:rFonts w:ascii="Times New Roman" w:hAnsi="Times New Roman" w:cs="Times New Roman"/>
              </w:rPr>
              <w:t xml:space="preserve"> - </w:t>
            </w:r>
            <w:r w:rsidRPr="0025584A">
              <w:rPr>
                <w:rFonts w:ascii="Times New Roman" w:hAnsi="Times New Roman" w:cs="Times New Roman"/>
              </w:rPr>
              <w:t>Civil and administrative law aspects: anti-discrimination law and consumer protection law in the EU</w:t>
            </w:r>
          </w:p>
        </w:tc>
        <w:tc>
          <w:tcPr>
            <w:tcW w:w="2631" w:type="dxa"/>
            <w:shd w:val="clear" w:color="auto" w:fill="auto"/>
          </w:tcPr>
          <w:p w:rsidR="00D32D3D" w:rsidRPr="0025584A" w:rsidRDefault="00650AD8" w:rsidP="0085641C">
            <w:pPr>
              <w:rPr>
                <w:rFonts w:ascii="Times New Roman" w:hAnsi="Times New Roman" w:cs="Times New Roman"/>
              </w:rPr>
            </w:pPr>
            <w:r w:rsidRPr="0025584A">
              <w:rPr>
                <w:rFonts w:ascii="Times New Roman" w:hAnsi="Times New Roman" w:cs="Times New Roman"/>
              </w:rPr>
              <w:t>The National Institute of Justice</w:t>
            </w:r>
          </w:p>
        </w:tc>
        <w:tc>
          <w:tcPr>
            <w:tcW w:w="1416" w:type="dxa"/>
            <w:shd w:val="clear" w:color="auto" w:fill="auto"/>
          </w:tcPr>
          <w:p w:rsidR="00D32D3D" w:rsidRPr="0025584A" w:rsidRDefault="00D32D3D" w:rsidP="0085641C">
            <w:pPr>
              <w:rPr>
                <w:rFonts w:ascii="Times New Roman" w:hAnsi="Times New Roman" w:cs="Times New Roman"/>
                <w:lang w:val="bg-BG"/>
              </w:rPr>
            </w:pPr>
            <w:r w:rsidRPr="0025584A">
              <w:rPr>
                <w:rFonts w:ascii="Times New Roman" w:hAnsi="Times New Roman" w:cs="Times New Roman"/>
                <w:lang w:val="bg-BG"/>
              </w:rPr>
              <w:t>5</w:t>
            </w:r>
          </w:p>
        </w:tc>
        <w:tc>
          <w:tcPr>
            <w:tcW w:w="1548" w:type="dxa"/>
            <w:shd w:val="clear" w:color="auto" w:fill="auto"/>
          </w:tcPr>
          <w:p w:rsidR="00D32D3D" w:rsidRPr="0025584A" w:rsidRDefault="00D32D3D" w:rsidP="0085641C">
            <w:pPr>
              <w:rPr>
                <w:rFonts w:ascii="Times New Roman" w:hAnsi="Times New Roman" w:cs="Times New Roman"/>
                <w:lang w:val="bg-BG"/>
              </w:rPr>
            </w:pPr>
          </w:p>
        </w:tc>
      </w:tr>
      <w:tr w:rsidR="00650AD8" w:rsidRPr="007E54FE" w:rsidTr="00650AD8">
        <w:trPr>
          <w:trHeight w:val="735"/>
        </w:trPr>
        <w:tc>
          <w:tcPr>
            <w:tcW w:w="3670" w:type="dxa"/>
            <w:shd w:val="clear" w:color="auto" w:fill="auto"/>
          </w:tcPr>
          <w:p w:rsidR="00D32D3D" w:rsidRPr="0025584A" w:rsidRDefault="00650AD8" w:rsidP="0085641C">
            <w:pPr>
              <w:rPr>
                <w:rFonts w:ascii="Times New Roman" w:hAnsi="Times New Roman" w:cs="Times New Roman"/>
              </w:rPr>
            </w:pPr>
            <w:r w:rsidRPr="0025584A">
              <w:rPr>
                <w:rFonts w:ascii="Times New Roman" w:hAnsi="Times New Roman" w:cs="Times New Roman"/>
              </w:rPr>
              <w:t>Guarantees for protection against discrimination (Article 14 and Protocol 12). Protection of the rights of vulnerable groups</w:t>
            </w:r>
          </w:p>
        </w:tc>
        <w:tc>
          <w:tcPr>
            <w:tcW w:w="2631" w:type="dxa"/>
            <w:shd w:val="clear" w:color="auto" w:fill="auto"/>
          </w:tcPr>
          <w:p w:rsidR="00D32D3D" w:rsidRPr="0025584A" w:rsidRDefault="00650AD8" w:rsidP="00426A81">
            <w:pPr>
              <w:rPr>
                <w:rFonts w:ascii="Times New Roman" w:hAnsi="Times New Roman" w:cs="Times New Roman"/>
              </w:rPr>
            </w:pPr>
            <w:r w:rsidRPr="0025584A">
              <w:rPr>
                <w:rFonts w:ascii="Times New Roman" w:hAnsi="Times New Roman" w:cs="Times New Roman"/>
              </w:rPr>
              <w:t>The National Institute of Justice</w:t>
            </w:r>
          </w:p>
        </w:tc>
        <w:tc>
          <w:tcPr>
            <w:tcW w:w="1416" w:type="dxa"/>
            <w:shd w:val="clear" w:color="auto" w:fill="auto"/>
          </w:tcPr>
          <w:p w:rsidR="00D32D3D" w:rsidRPr="0025584A" w:rsidRDefault="00D32D3D" w:rsidP="00426A81">
            <w:pPr>
              <w:rPr>
                <w:rFonts w:ascii="Times New Roman" w:hAnsi="Times New Roman" w:cs="Times New Roman"/>
                <w:lang w:val="bg-BG"/>
              </w:rPr>
            </w:pPr>
            <w:r w:rsidRPr="0025584A">
              <w:rPr>
                <w:rFonts w:ascii="Times New Roman" w:hAnsi="Times New Roman" w:cs="Times New Roman"/>
                <w:lang w:val="bg-BG"/>
              </w:rPr>
              <w:t>5</w:t>
            </w:r>
          </w:p>
        </w:tc>
        <w:tc>
          <w:tcPr>
            <w:tcW w:w="1548" w:type="dxa"/>
            <w:shd w:val="clear" w:color="auto" w:fill="auto"/>
          </w:tcPr>
          <w:p w:rsidR="00D32D3D" w:rsidRPr="0025584A" w:rsidRDefault="00D32D3D" w:rsidP="0085641C">
            <w:pPr>
              <w:rPr>
                <w:rFonts w:ascii="Times New Roman" w:hAnsi="Times New Roman" w:cs="Times New Roman"/>
                <w:lang w:val="bg-BG"/>
              </w:rPr>
            </w:pPr>
            <w:r w:rsidRPr="0025584A">
              <w:rPr>
                <w:rFonts w:ascii="Times New Roman" w:hAnsi="Times New Roman" w:cs="Times New Roman"/>
                <w:lang w:val="bg-BG"/>
              </w:rPr>
              <w:t>3</w:t>
            </w:r>
          </w:p>
        </w:tc>
      </w:tr>
      <w:tr w:rsidR="00650AD8" w:rsidRPr="007E54FE" w:rsidTr="00650AD8">
        <w:trPr>
          <w:trHeight w:val="735"/>
        </w:trPr>
        <w:tc>
          <w:tcPr>
            <w:tcW w:w="3670" w:type="dxa"/>
            <w:shd w:val="clear" w:color="auto" w:fill="BFBFBF" w:themeFill="background1" w:themeFillShade="BF"/>
          </w:tcPr>
          <w:p w:rsidR="007E54FE" w:rsidRPr="0025584A" w:rsidRDefault="00650AD8" w:rsidP="0085641C">
            <w:pPr>
              <w:rPr>
                <w:rFonts w:ascii="Times New Roman" w:hAnsi="Times New Roman" w:cs="Times New Roman"/>
              </w:rPr>
            </w:pPr>
            <w:r w:rsidRPr="0025584A">
              <w:rPr>
                <w:rFonts w:ascii="Times New Roman" w:hAnsi="Times New Roman" w:cs="Times New Roman"/>
              </w:rPr>
              <w:t>Total: 3 trainings</w:t>
            </w:r>
          </w:p>
        </w:tc>
        <w:tc>
          <w:tcPr>
            <w:tcW w:w="2631" w:type="dxa"/>
            <w:shd w:val="clear" w:color="auto" w:fill="BFBFBF" w:themeFill="background1" w:themeFillShade="BF"/>
          </w:tcPr>
          <w:p w:rsidR="007E54FE" w:rsidRPr="0025584A" w:rsidRDefault="007E54FE" w:rsidP="00426A81">
            <w:pPr>
              <w:rPr>
                <w:rFonts w:ascii="Times New Roman" w:hAnsi="Times New Roman" w:cs="Times New Roman"/>
              </w:rPr>
            </w:pPr>
          </w:p>
        </w:tc>
        <w:tc>
          <w:tcPr>
            <w:tcW w:w="1416" w:type="dxa"/>
            <w:shd w:val="clear" w:color="auto" w:fill="BFBFBF" w:themeFill="background1" w:themeFillShade="BF"/>
          </w:tcPr>
          <w:p w:rsidR="007E54FE" w:rsidRPr="007E54FE" w:rsidRDefault="007E54FE" w:rsidP="00426A81">
            <w:pPr>
              <w:rPr>
                <w:rFonts w:ascii="Times New Roman" w:hAnsi="Times New Roman" w:cs="Times New Roman"/>
                <w:sz w:val="24"/>
                <w:szCs w:val="24"/>
                <w:lang w:val="bg-BG"/>
              </w:rPr>
            </w:pPr>
            <w:r w:rsidRPr="007E54FE">
              <w:rPr>
                <w:rFonts w:ascii="Times New Roman" w:hAnsi="Times New Roman" w:cs="Times New Roman"/>
                <w:sz w:val="24"/>
                <w:szCs w:val="24"/>
                <w:lang w:val="bg-BG"/>
              </w:rPr>
              <w:t>13</w:t>
            </w:r>
          </w:p>
        </w:tc>
        <w:tc>
          <w:tcPr>
            <w:tcW w:w="1548" w:type="dxa"/>
            <w:shd w:val="clear" w:color="auto" w:fill="BFBFBF" w:themeFill="background1" w:themeFillShade="BF"/>
          </w:tcPr>
          <w:p w:rsidR="007E54FE" w:rsidRPr="007E54FE" w:rsidRDefault="007E54FE" w:rsidP="0085641C">
            <w:pPr>
              <w:rPr>
                <w:rFonts w:ascii="Times New Roman" w:hAnsi="Times New Roman" w:cs="Times New Roman"/>
                <w:sz w:val="24"/>
                <w:szCs w:val="24"/>
                <w:lang w:val="bg-BG"/>
              </w:rPr>
            </w:pPr>
            <w:r w:rsidRPr="007E54FE">
              <w:rPr>
                <w:rFonts w:ascii="Times New Roman" w:hAnsi="Times New Roman" w:cs="Times New Roman"/>
                <w:sz w:val="24"/>
                <w:szCs w:val="24"/>
                <w:lang w:val="bg-BG"/>
              </w:rPr>
              <w:t>3</w:t>
            </w:r>
          </w:p>
        </w:tc>
      </w:tr>
      <w:tr w:rsidR="007E54FE" w:rsidRPr="007E54FE" w:rsidTr="00650AD8">
        <w:trPr>
          <w:trHeight w:val="735"/>
        </w:trPr>
        <w:tc>
          <w:tcPr>
            <w:tcW w:w="9265" w:type="dxa"/>
            <w:gridSpan w:val="4"/>
            <w:shd w:val="clear" w:color="auto" w:fill="F2F2F2" w:themeFill="background1" w:themeFillShade="F2"/>
          </w:tcPr>
          <w:p w:rsidR="00750C41" w:rsidRPr="0025584A" w:rsidRDefault="00750C41" w:rsidP="007E54FE">
            <w:pPr>
              <w:jc w:val="center"/>
              <w:rPr>
                <w:rFonts w:ascii="Times New Roman" w:hAnsi="Times New Roman" w:cs="Times New Roman"/>
              </w:rPr>
            </w:pPr>
          </w:p>
          <w:p w:rsidR="007E54FE" w:rsidRPr="0025584A" w:rsidRDefault="007E54FE" w:rsidP="007E54FE">
            <w:pPr>
              <w:jc w:val="center"/>
              <w:rPr>
                <w:rFonts w:ascii="Times New Roman" w:hAnsi="Times New Roman" w:cs="Times New Roman"/>
              </w:rPr>
            </w:pPr>
            <w:r w:rsidRPr="0025584A">
              <w:rPr>
                <w:rFonts w:ascii="Times New Roman" w:hAnsi="Times New Roman" w:cs="Times New Roman"/>
              </w:rPr>
              <w:t>2015</w:t>
            </w:r>
          </w:p>
          <w:p w:rsidR="00750C41" w:rsidRPr="0025584A" w:rsidRDefault="00750C41" w:rsidP="007E54FE">
            <w:pPr>
              <w:jc w:val="center"/>
              <w:rPr>
                <w:rFonts w:ascii="Times New Roman" w:hAnsi="Times New Roman" w:cs="Times New Roman"/>
              </w:rPr>
            </w:pPr>
          </w:p>
        </w:tc>
      </w:tr>
      <w:tr w:rsidR="00650AD8" w:rsidRPr="007E54FE" w:rsidTr="00650AD8">
        <w:trPr>
          <w:trHeight w:val="735"/>
        </w:trPr>
        <w:tc>
          <w:tcPr>
            <w:tcW w:w="3670" w:type="dxa"/>
            <w:shd w:val="clear" w:color="auto" w:fill="auto"/>
          </w:tcPr>
          <w:p w:rsidR="00D32D3D" w:rsidRPr="0025584A" w:rsidRDefault="00650AD8" w:rsidP="007630FC">
            <w:pPr>
              <w:rPr>
                <w:rFonts w:ascii="Times New Roman" w:hAnsi="Times New Roman" w:cs="Times New Roman"/>
              </w:rPr>
            </w:pPr>
            <w:r w:rsidRPr="0025584A">
              <w:rPr>
                <w:rFonts w:ascii="Times New Roman" w:hAnsi="Times New Roman" w:cs="Times New Roman"/>
              </w:rPr>
              <w:t>Hate crimes and other crimes</w:t>
            </w:r>
            <w:r w:rsidR="007630FC" w:rsidRPr="0025584A">
              <w:rPr>
                <w:rFonts w:ascii="Times New Roman" w:hAnsi="Times New Roman" w:cs="Times New Roman"/>
              </w:rPr>
              <w:t xml:space="preserve"> with a discrimination element</w:t>
            </w:r>
          </w:p>
        </w:tc>
        <w:tc>
          <w:tcPr>
            <w:tcW w:w="2631" w:type="dxa"/>
            <w:shd w:val="clear" w:color="auto" w:fill="auto"/>
          </w:tcPr>
          <w:p w:rsidR="00D32D3D" w:rsidRPr="0025584A" w:rsidRDefault="007630FC" w:rsidP="0085641C">
            <w:pPr>
              <w:rPr>
                <w:rFonts w:ascii="Times New Roman" w:hAnsi="Times New Roman" w:cs="Times New Roman"/>
              </w:rPr>
            </w:pPr>
            <w:r w:rsidRPr="0025584A">
              <w:rPr>
                <w:rFonts w:ascii="Times New Roman" w:hAnsi="Times New Roman" w:cs="Times New Roman"/>
              </w:rPr>
              <w:t>Training Calendar for in-house training at the Prosecutor's Office of Republic of Bulgaria for the second half of 2015</w:t>
            </w:r>
          </w:p>
        </w:tc>
        <w:tc>
          <w:tcPr>
            <w:tcW w:w="1416" w:type="dxa"/>
            <w:shd w:val="clear" w:color="auto" w:fill="auto"/>
          </w:tcPr>
          <w:p w:rsidR="00D32D3D" w:rsidRPr="007E54FE" w:rsidRDefault="00D32D3D" w:rsidP="0085641C">
            <w:pPr>
              <w:rPr>
                <w:rFonts w:ascii="Times New Roman" w:hAnsi="Times New Roman" w:cs="Times New Roman"/>
                <w:sz w:val="24"/>
                <w:szCs w:val="24"/>
                <w:lang w:val="bg-BG"/>
              </w:rPr>
            </w:pPr>
            <w:r w:rsidRPr="007E54FE">
              <w:rPr>
                <w:rFonts w:ascii="Times New Roman" w:hAnsi="Times New Roman" w:cs="Times New Roman"/>
                <w:sz w:val="24"/>
                <w:szCs w:val="24"/>
                <w:lang w:val="bg-BG"/>
              </w:rPr>
              <w:t>15</w:t>
            </w:r>
          </w:p>
        </w:tc>
        <w:tc>
          <w:tcPr>
            <w:tcW w:w="1548" w:type="dxa"/>
            <w:shd w:val="clear" w:color="auto" w:fill="auto"/>
          </w:tcPr>
          <w:p w:rsidR="00D32D3D" w:rsidRPr="007E54FE" w:rsidRDefault="00D32D3D" w:rsidP="0085641C">
            <w:pPr>
              <w:rPr>
                <w:rFonts w:ascii="Times New Roman" w:hAnsi="Times New Roman" w:cs="Times New Roman"/>
                <w:sz w:val="24"/>
                <w:szCs w:val="24"/>
                <w:lang w:val="bg-BG"/>
              </w:rPr>
            </w:pPr>
            <w:r w:rsidRPr="007E54FE">
              <w:rPr>
                <w:rFonts w:ascii="Times New Roman" w:hAnsi="Times New Roman" w:cs="Times New Roman"/>
                <w:sz w:val="24"/>
                <w:szCs w:val="24"/>
                <w:lang w:val="bg-BG"/>
              </w:rPr>
              <w:t>5</w:t>
            </w:r>
          </w:p>
        </w:tc>
      </w:tr>
      <w:tr w:rsidR="00650AD8" w:rsidRPr="007E54FE" w:rsidTr="00650AD8">
        <w:trPr>
          <w:trHeight w:val="735"/>
        </w:trPr>
        <w:tc>
          <w:tcPr>
            <w:tcW w:w="3670" w:type="dxa"/>
            <w:shd w:val="clear" w:color="auto" w:fill="auto"/>
          </w:tcPr>
          <w:p w:rsidR="00D32D3D" w:rsidRPr="0025584A" w:rsidRDefault="007630FC" w:rsidP="007630FC">
            <w:pPr>
              <w:rPr>
                <w:rFonts w:ascii="Times New Roman" w:hAnsi="Times New Roman" w:cs="Times New Roman"/>
                <w:lang w:val="bg-BG"/>
              </w:rPr>
            </w:pPr>
            <w:r w:rsidRPr="0025584A">
              <w:rPr>
                <w:rFonts w:ascii="Times New Roman" w:hAnsi="Times New Roman" w:cs="Times New Roman"/>
              </w:rPr>
              <w:t xml:space="preserve">Guarantees for protection of discrimination (Article 14 ECHR and Protocol </w:t>
            </w:r>
            <w:r w:rsidRPr="0025584A">
              <w:rPr>
                <w:rFonts w:ascii="Times New Roman" w:hAnsi="Times New Roman" w:cs="Times New Roman"/>
                <w:lang w:val="bg-BG"/>
              </w:rPr>
              <w:t>№</w:t>
            </w:r>
            <w:r w:rsidRPr="0025584A">
              <w:rPr>
                <w:rFonts w:ascii="Times New Roman" w:hAnsi="Times New Roman" w:cs="Times New Roman"/>
              </w:rPr>
              <w:t>2 of the Convention)</w:t>
            </w:r>
          </w:p>
        </w:tc>
        <w:tc>
          <w:tcPr>
            <w:tcW w:w="2631" w:type="dxa"/>
            <w:shd w:val="clear" w:color="auto" w:fill="auto"/>
          </w:tcPr>
          <w:p w:rsidR="00D32D3D" w:rsidRPr="0025584A" w:rsidRDefault="007630FC" w:rsidP="0085641C">
            <w:pPr>
              <w:rPr>
                <w:rFonts w:ascii="Times New Roman" w:hAnsi="Times New Roman" w:cs="Times New Roman"/>
                <w:lang w:val="bg-BG"/>
              </w:rPr>
            </w:pPr>
            <w:r w:rsidRPr="0025584A">
              <w:rPr>
                <w:rFonts w:ascii="Times New Roman" w:hAnsi="Times New Roman" w:cs="Times New Roman"/>
                <w:lang w:val="bg-BG"/>
              </w:rPr>
              <w:t>The National Institute of Justice</w:t>
            </w:r>
          </w:p>
        </w:tc>
        <w:tc>
          <w:tcPr>
            <w:tcW w:w="1416" w:type="dxa"/>
            <w:shd w:val="clear" w:color="auto" w:fill="auto"/>
          </w:tcPr>
          <w:p w:rsidR="00D32D3D" w:rsidRPr="007E54FE" w:rsidRDefault="00D32D3D" w:rsidP="0085641C">
            <w:pPr>
              <w:rPr>
                <w:rFonts w:ascii="Times New Roman" w:hAnsi="Times New Roman" w:cs="Times New Roman"/>
                <w:sz w:val="24"/>
                <w:szCs w:val="24"/>
                <w:lang w:val="bg-BG"/>
              </w:rPr>
            </w:pPr>
            <w:r w:rsidRPr="007E54FE">
              <w:rPr>
                <w:rFonts w:ascii="Times New Roman" w:hAnsi="Times New Roman" w:cs="Times New Roman"/>
                <w:sz w:val="24"/>
                <w:szCs w:val="24"/>
                <w:lang w:val="bg-BG"/>
              </w:rPr>
              <w:t>3</w:t>
            </w:r>
          </w:p>
        </w:tc>
        <w:tc>
          <w:tcPr>
            <w:tcW w:w="1548" w:type="dxa"/>
            <w:shd w:val="clear" w:color="auto" w:fill="auto"/>
          </w:tcPr>
          <w:p w:rsidR="00D32D3D" w:rsidRPr="007E54FE" w:rsidRDefault="00D32D3D" w:rsidP="0085641C">
            <w:pPr>
              <w:rPr>
                <w:rFonts w:ascii="Times New Roman" w:hAnsi="Times New Roman" w:cs="Times New Roman"/>
                <w:sz w:val="24"/>
                <w:szCs w:val="24"/>
                <w:lang w:val="bg-BG"/>
              </w:rPr>
            </w:pPr>
          </w:p>
        </w:tc>
      </w:tr>
      <w:tr w:rsidR="00650AD8" w:rsidRPr="007E54FE" w:rsidTr="00650AD8">
        <w:trPr>
          <w:trHeight w:val="735"/>
        </w:trPr>
        <w:tc>
          <w:tcPr>
            <w:tcW w:w="3670" w:type="dxa"/>
            <w:shd w:val="clear" w:color="auto" w:fill="BFBFBF" w:themeFill="background1" w:themeFillShade="BF"/>
          </w:tcPr>
          <w:p w:rsidR="007E54FE" w:rsidRPr="0025584A" w:rsidRDefault="007630FC" w:rsidP="0085641C">
            <w:pPr>
              <w:rPr>
                <w:rFonts w:ascii="Times New Roman" w:hAnsi="Times New Roman" w:cs="Times New Roman"/>
              </w:rPr>
            </w:pPr>
            <w:r w:rsidRPr="0025584A">
              <w:rPr>
                <w:rFonts w:ascii="Times New Roman" w:hAnsi="Times New Roman" w:cs="Times New Roman"/>
              </w:rPr>
              <w:t>Total: 2 trainings</w:t>
            </w:r>
          </w:p>
        </w:tc>
        <w:tc>
          <w:tcPr>
            <w:tcW w:w="2631" w:type="dxa"/>
            <w:shd w:val="clear" w:color="auto" w:fill="BFBFBF" w:themeFill="background1" w:themeFillShade="BF"/>
          </w:tcPr>
          <w:p w:rsidR="007E54FE" w:rsidRPr="0025584A" w:rsidRDefault="007E54FE" w:rsidP="0085641C">
            <w:pPr>
              <w:rPr>
                <w:rFonts w:ascii="Times New Roman" w:hAnsi="Times New Roman" w:cs="Times New Roman"/>
                <w:lang w:val="bg-BG"/>
              </w:rPr>
            </w:pPr>
          </w:p>
        </w:tc>
        <w:tc>
          <w:tcPr>
            <w:tcW w:w="1416" w:type="dxa"/>
            <w:shd w:val="clear" w:color="auto" w:fill="BFBFBF" w:themeFill="background1" w:themeFillShade="BF"/>
          </w:tcPr>
          <w:p w:rsidR="007E54FE" w:rsidRPr="007E54FE" w:rsidRDefault="007E54FE" w:rsidP="0085641C">
            <w:pPr>
              <w:rPr>
                <w:rFonts w:ascii="Times New Roman" w:hAnsi="Times New Roman" w:cs="Times New Roman"/>
                <w:sz w:val="24"/>
                <w:szCs w:val="24"/>
                <w:lang w:val="bg-BG"/>
              </w:rPr>
            </w:pPr>
            <w:r w:rsidRPr="007E54FE">
              <w:rPr>
                <w:rFonts w:ascii="Times New Roman" w:hAnsi="Times New Roman" w:cs="Times New Roman"/>
                <w:sz w:val="24"/>
                <w:szCs w:val="24"/>
                <w:lang w:val="bg-BG"/>
              </w:rPr>
              <w:t>18</w:t>
            </w:r>
          </w:p>
        </w:tc>
        <w:tc>
          <w:tcPr>
            <w:tcW w:w="1548" w:type="dxa"/>
            <w:shd w:val="clear" w:color="auto" w:fill="BFBFBF" w:themeFill="background1" w:themeFillShade="BF"/>
          </w:tcPr>
          <w:p w:rsidR="007E54FE" w:rsidRPr="007E54FE" w:rsidRDefault="007E54FE" w:rsidP="0085641C">
            <w:pPr>
              <w:rPr>
                <w:rFonts w:ascii="Times New Roman" w:hAnsi="Times New Roman" w:cs="Times New Roman"/>
                <w:sz w:val="24"/>
                <w:szCs w:val="24"/>
                <w:lang w:val="bg-BG"/>
              </w:rPr>
            </w:pPr>
          </w:p>
        </w:tc>
      </w:tr>
      <w:tr w:rsidR="007E54FE" w:rsidRPr="007E54FE" w:rsidTr="00650AD8">
        <w:trPr>
          <w:trHeight w:val="735"/>
        </w:trPr>
        <w:tc>
          <w:tcPr>
            <w:tcW w:w="9265" w:type="dxa"/>
            <w:gridSpan w:val="4"/>
            <w:shd w:val="clear" w:color="auto" w:fill="F2F2F2" w:themeFill="background1" w:themeFillShade="F2"/>
          </w:tcPr>
          <w:p w:rsidR="006D1EFE" w:rsidRPr="0025584A" w:rsidRDefault="006D1EFE" w:rsidP="007E54FE">
            <w:pPr>
              <w:jc w:val="center"/>
              <w:rPr>
                <w:rFonts w:ascii="Times New Roman" w:hAnsi="Times New Roman" w:cs="Times New Roman"/>
              </w:rPr>
            </w:pPr>
          </w:p>
          <w:p w:rsidR="007E54FE" w:rsidRPr="0025584A" w:rsidRDefault="007E54FE" w:rsidP="007E54FE">
            <w:pPr>
              <w:jc w:val="center"/>
              <w:rPr>
                <w:rFonts w:ascii="Times New Roman" w:hAnsi="Times New Roman" w:cs="Times New Roman"/>
              </w:rPr>
            </w:pPr>
            <w:r w:rsidRPr="0025584A">
              <w:rPr>
                <w:rFonts w:ascii="Times New Roman" w:hAnsi="Times New Roman" w:cs="Times New Roman"/>
                <w:lang w:val="bg-BG"/>
              </w:rPr>
              <w:t>2016</w:t>
            </w:r>
          </w:p>
          <w:p w:rsidR="006D1EFE" w:rsidRPr="0025584A" w:rsidRDefault="006D1EFE" w:rsidP="007E54FE">
            <w:pPr>
              <w:jc w:val="center"/>
              <w:rPr>
                <w:rFonts w:ascii="Times New Roman" w:hAnsi="Times New Roman" w:cs="Times New Roman"/>
              </w:rPr>
            </w:pPr>
          </w:p>
        </w:tc>
      </w:tr>
      <w:tr w:rsidR="00650AD8" w:rsidRPr="007E54FE" w:rsidTr="00650AD8">
        <w:trPr>
          <w:trHeight w:val="735"/>
        </w:trPr>
        <w:tc>
          <w:tcPr>
            <w:tcW w:w="3670" w:type="dxa"/>
            <w:shd w:val="clear" w:color="auto" w:fill="auto"/>
          </w:tcPr>
          <w:p w:rsidR="00D32D3D" w:rsidRPr="0025584A" w:rsidRDefault="007630FC" w:rsidP="0085641C">
            <w:pPr>
              <w:rPr>
                <w:rFonts w:ascii="Times New Roman" w:hAnsi="Times New Roman" w:cs="Times New Roman"/>
                <w:lang w:val="bg-BG"/>
              </w:rPr>
            </w:pPr>
            <w:r w:rsidRPr="0025584A">
              <w:rPr>
                <w:rFonts w:ascii="Times New Roman" w:hAnsi="Times New Roman" w:cs="Times New Roman"/>
              </w:rPr>
              <w:t>Hate crimes – 4 trainings, 2 of them for trainers</w:t>
            </w:r>
            <w:r w:rsidR="00D32D3D" w:rsidRPr="0025584A">
              <w:rPr>
                <w:rFonts w:ascii="Times New Roman" w:hAnsi="Times New Roman" w:cs="Times New Roman"/>
                <w:lang w:val="bg-BG"/>
              </w:rPr>
              <w:t xml:space="preserve"> </w:t>
            </w:r>
          </w:p>
        </w:tc>
        <w:tc>
          <w:tcPr>
            <w:tcW w:w="2631" w:type="dxa"/>
            <w:shd w:val="clear" w:color="auto" w:fill="auto"/>
          </w:tcPr>
          <w:p w:rsidR="00D32D3D" w:rsidRPr="0025584A" w:rsidRDefault="007630FC" w:rsidP="007630FC">
            <w:pPr>
              <w:rPr>
                <w:rFonts w:ascii="Times New Roman" w:hAnsi="Times New Roman" w:cs="Times New Roman"/>
                <w:lang w:val="bg-BG"/>
              </w:rPr>
            </w:pPr>
            <w:r w:rsidRPr="0025584A">
              <w:rPr>
                <w:rFonts w:ascii="Times New Roman" w:hAnsi="Times New Roman" w:cs="Times New Roman"/>
                <w:iCs/>
              </w:rPr>
              <w:t>in-house training</w:t>
            </w:r>
            <w:r w:rsidR="009B24BA" w:rsidRPr="0025584A">
              <w:rPr>
                <w:rFonts w:ascii="Times New Roman" w:hAnsi="Times New Roman" w:cs="Times New Roman"/>
                <w:iCs/>
              </w:rPr>
              <w:t xml:space="preserve"> seminars</w:t>
            </w:r>
            <w:r w:rsidRPr="0025584A">
              <w:rPr>
                <w:rFonts w:ascii="Times New Roman" w:hAnsi="Times New Roman" w:cs="Times New Roman"/>
                <w:iCs/>
              </w:rPr>
              <w:t xml:space="preserve"> and</w:t>
            </w:r>
            <w:r w:rsidR="00D32D3D" w:rsidRPr="0025584A">
              <w:rPr>
                <w:rFonts w:ascii="Times New Roman" w:hAnsi="Times New Roman" w:cs="Times New Roman"/>
                <w:iCs/>
                <w:lang w:val="bg-BG"/>
              </w:rPr>
              <w:t xml:space="preserve"> </w:t>
            </w:r>
            <w:r w:rsidRPr="0025584A">
              <w:rPr>
                <w:rFonts w:ascii="Times New Roman" w:hAnsi="Times New Roman" w:cs="Times New Roman"/>
                <w:iCs/>
              </w:rPr>
              <w:t>OSCE, NIJ</w:t>
            </w:r>
          </w:p>
        </w:tc>
        <w:tc>
          <w:tcPr>
            <w:tcW w:w="1416" w:type="dxa"/>
            <w:shd w:val="clear" w:color="auto" w:fill="auto"/>
          </w:tcPr>
          <w:p w:rsidR="00D32D3D" w:rsidRPr="007E54FE" w:rsidRDefault="00D32D3D" w:rsidP="00426A81">
            <w:pPr>
              <w:rPr>
                <w:rFonts w:ascii="Times New Roman" w:hAnsi="Times New Roman" w:cs="Times New Roman"/>
                <w:sz w:val="24"/>
                <w:szCs w:val="24"/>
                <w:lang w:val="bg-BG"/>
              </w:rPr>
            </w:pPr>
            <w:r w:rsidRPr="007E54FE">
              <w:rPr>
                <w:rFonts w:ascii="Times New Roman" w:hAnsi="Times New Roman" w:cs="Times New Roman"/>
                <w:sz w:val="24"/>
                <w:szCs w:val="24"/>
                <w:lang w:val="bg-BG"/>
              </w:rPr>
              <w:t>34</w:t>
            </w:r>
          </w:p>
        </w:tc>
        <w:tc>
          <w:tcPr>
            <w:tcW w:w="1548" w:type="dxa"/>
            <w:shd w:val="clear" w:color="auto" w:fill="auto"/>
          </w:tcPr>
          <w:p w:rsidR="00D32D3D" w:rsidRPr="007E54FE" w:rsidRDefault="00D32D3D" w:rsidP="00426A81">
            <w:pPr>
              <w:rPr>
                <w:rFonts w:ascii="Times New Roman" w:hAnsi="Times New Roman" w:cs="Times New Roman"/>
                <w:sz w:val="24"/>
                <w:szCs w:val="24"/>
                <w:lang w:val="bg-BG"/>
              </w:rPr>
            </w:pPr>
            <w:r w:rsidRPr="007E54FE">
              <w:rPr>
                <w:rFonts w:ascii="Times New Roman" w:hAnsi="Times New Roman" w:cs="Times New Roman"/>
                <w:sz w:val="24"/>
                <w:szCs w:val="24"/>
                <w:lang w:val="bg-BG"/>
              </w:rPr>
              <w:t>1</w:t>
            </w:r>
          </w:p>
        </w:tc>
      </w:tr>
      <w:tr w:rsidR="00650AD8" w:rsidRPr="007E54FE" w:rsidTr="00650AD8">
        <w:trPr>
          <w:trHeight w:val="735"/>
        </w:trPr>
        <w:tc>
          <w:tcPr>
            <w:tcW w:w="3670" w:type="dxa"/>
            <w:shd w:val="clear" w:color="auto" w:fill="BFBFBF" w:themeFill="background1" w:themeFillShade="BF"/>
          </w:tcPr>
          <w:p w:rsidR="00D32D3D" w:rsidRPr="0025584A" w:rsidRDefault="007E54FE" w:rsidP="0085641C">
            <w:pPr>
              <w:rPr>
                <w:rFonts w:ascii="Times New Roman" w:hAnsi="Times New Roman" w:cs="Times New Roman"/>
                <w:lang w:val="bg-BG"/>
              </w:rPr>
            </w:pPr>
            <w:r w:rsidRPr="0025584A">
              <w:rPr>
                <w:rFonts w:ascii="Times New Roman" w:hAnsi="Times New Roman" w:cs="Times New Roman"/>
                <w:lang w:val="bg-BG"/>
              </w:rPr>
              <w:t>Общо 4 обучения</w:t>
            </w:r>
          </w:p>
        </w:tc>
        <w:tc>
          <w:tcPr>
            <w:tcW w:w="2631" w:type="dxa"/>
            <w:shd w:val="clear" w:color="auto" w:fill="BFBFBF" w:themeFill="background1" w:themeFillShade="BF"/>
          </w:tcPr>
          <w:p w:rsidR="00D32D3D" w:rsidRPr="0025584A" w:rsidRDefault="00D32D3D" w:rsidP="0085641C">
            <w:pPr>
              <w:rPr>
                <w:rFonts w:ascii="Times New Roman" w:hAnsi="Times New Roman" w:cs="Times New Roman"/>
                <w:lang w:val="bg-BG"/>
              </w:rPr>
            </w:pPr>
          </w:p>
        </w:tc>
        <w:tc>
          <w:tcPr>
            <w:tcW w:w="1416" w:type="dxa"/>
            <w:shd w:val="clear" w:color="auto" w:fill="BFBFBF" w:themeFill="background1" w:themeFillShade="BF"/>
          </w:tcPr>
          <w:p w:rsidR="00D32D3D" w:rsidRPr="007E54FE" w:rsidRDefault="007E54FE" w:rsidP="0085641C">
            <w:pPr>
              <w:rPr>
                <w:rFonts w:ascii="Times New Roman" w:hAnsi="Times New Roman" w:cs="Times New Roman"/>
                <w:sz w:val="24"/>
                <w:szCs w:val="24"/>
                <w:lang w:val="bg-BG"/>
              </w:rPr>
            </w:pPr>
            <w:r w:rsidRPr="007E54FE">
              <w:rPr>
                <w:rFonts w:ascii="Times New Roman" w:hAnsi="Times New Roman" w:cs="Times New Roman"/>
                <w:sz w:val="24"/>
                <w:szCs w:val="24"/>
                <w:lang w:val="bg-BG"/>
              </w:rPr>
              <w:t>34</w:t>
            </w:r>
          </w:p>
        </w:tc>
        <w:tc>
          <w:tcPr>
            <w:tcW w:w="1548" w:type="dxa"/>
            <w:shd w:val="clear" w:color="auto" w:fill="BFBFBF" w:themeFill="background1" w:themeFillShade="BF"/>
          </w:tcPr>
          <w:p w:rsidR="00D32D3D" w:rsidRPr="007E54FE" w:rsidRDefault="007E54FE" w:rsidP="0085641C">
            <w:pPr>
              <w:rPr>
                <w:rFonts w:ascii="Times New Roman" w:hAnsi="Times New Roman" w:cs="Times New Roman"/>
                <w:sz w:val="24"/>
                <w:szCs w:val="24"/>
                <w:lang w:val="bg-BG"/>
              </w:rPr>
            </w:pPr>
            <w:r w:rsidRPr="007E54FE">
              <w:rPr>
                <w:rFonts w:ascii="Times New Roman" w:hAnsi="Times New Roman" w:cs="Times New Roman"/>
                <w:sz w:val="24"/>
                <w:szCs w:val="24"/>
                <w:lang w:val="bg-BG"/>
              </w:rPr>
              <w:t>1</w:t>
            </w:r>
          </w:p>
        </w:tc>
      </w:tr>
      <w:tr w:rsidR="003B5A0B" w:rsidRPr="007E54FE" w:rsidTr="00650AD8">
        <w:trPr>
          <w:trHeight w:val="735"/>
        </w:trPr>
        <w:tc>
          <w:tcPr>
            <w:tcW w:w="9265" w:type="dxa"/>
            <w:gridSpan w:val="4"/>
            <w:shd w:val="clear" w:color="auto" w:fill="D9D9D9" w:themeFill="background1" w:themeFillShade="D9"/>
          </w:tcPr>
          <w:p w:rsidR="006D1EFE" w:rsidRPr="0025584A" w:rsidRDefault="006D1EFE" w:rsidP="003B5A0B">
            <w:pPr>
              <w:jc w:val="center"/>
              <w:rPr>
                <w:rFonts w:ascii="Times New Roman" w:hAnsi="Times New Roman" w:cs="Times New Roman"/>
              </w:rPr>
            </w:pPr>
          </w:p>
          <w:p w:rsidR="003B5A0B" w:rsidRPr="0025584A" w:rsidRDefault="003B5A0B" w:rsidP="003B5A0B">
            <w:pPr>
              <w:jc w:val="center"/>
              <w:rPr>
                <w:rFonts w:ascii="Times New Roman" w:hAnsi="Times New Roman" w:cs="Times New Roman"/>
              </w:rPr>
            </w:pPr>
            <w:r w:rsidRPr="0025584A">
              <w:rPr>
                <w:rFonts w:ascii="Times New Roman" w:hAnsi="Times New Roman" w:cs="Times New Roman"/>
              </w:rPr>
              <w:t>2017</w:t>
            </w:r>
          </w:p>
          <w:p w:rsidR="006D1EFE" w:rsidRPr="0025584A" w:rsidRDefault="006D1EFE" w:rsidP="003B5A0B">
            <w:pPr>
              <w:jc w:val="center"/>
              <w:rPr>
                <w:rFonts w:ascii="Times New Roman" w:hAnsi="Times New Roman" w:cs="Times New Roman"/>
              </w:rPr>
            </w:pPr>
          </w:p>
        </w:tc>
      </w:tr>
      <w:tr w:rsidR="00650AD8" w:rsidRPr="007E54FE" w:rsidTr="00650AD8">
        <w:trPr>
          <w:trHeight w:val="735"/>
        </w:trPr>
        <w:tc>
          <w:tcPr>
            <w:tcW w:w="3670" w:type="dxa"/>
            <w:shd w:val="clear" w:color="auto" w:fill="auto"/>
          </w:tcPr>
          <w:p w:rsidR="003B5A0B" w:rsidRPr="0025584A" w:rsidRDefault="009B24BA" w:rsidP="009B24BA">
            <w:pPr>
              <w:rPr>
                <w:rFonts w:ascii="Times New Roman" w:hAnsi="Times New Roman" w:cs="Times New Roman"/>
                <w:lang w:val="bg-BG"/>
              </w:rPr>
            </w:pPr>
            <w:r w:rsidRPr="0025584A">
              <w:rPr>
                <w:rFonts w:ascii="Times New Roman" w:hAnsi="Times New Roman" w:cs="Times New Roman"/>
                <w:bCs/>
              </w:rPr>
              <w:t>A round-table discussion on the topic</w:t>
            </w:r>
            <w:r w:rsidR="003B5A0B" w:rsidRPr="0025584A">
              <w:rPr>
                <w:rFonts w:ascii="Times New Roman" w:hAnsi="Times New Roman" w:cs="Times New Roman"/>
                <w:bCs/>
                <w:lang w:val="bg-BG"/>
              </w:rPr>
              <w:t>: „</w:t>
            </w:r>
            <w:r w:rsidRPr="0025584A">
              <w:rPr>
                <w:rFonts w:ascii="Times New Roman" w:hAnsi="Times New Roman" w:cs="Times New Roman"/>
                <w:bCs/>
              </w:rPr>
              <w:t xml:space="preserve">Implementation of Article 5 of the </w:t>
            </w:r>
            <w:r w:rsidR="005C430F" w:rsidRPr="0025584A">
              <w:rPr>
                <w:rFonts w:ascii="Times New Roman" w:hAnsi="Times New Roman" w:cs="Times New Roman"/>
                <w:bCs/>
              </w:rPr>
              <w:t xml:space="preserve">European Convention on Human Rights </w:t>
            </w:r>
            <w:r w:rsidRPr="0025584A">
              <w:rPr>
                <w:rFonts w:ascii="Times New Roman" w:hAnsi="Times New Roman" w:cs="Times New Roman"/>
                <w:bCs/>
              </w:rPr>
              <w:t>in the Bulgarian legislation and practice</w:t>
            </w:r>
            <w:r w:rsidR="003B5A0B" w:rsidRPr="0025584A">
              <w:rPr>
                <w:rFonts w:ascii="Times New Roman" w:hAnsi="Times New Roman" w:cs="Times New Roman"/>
                <w:bCs/>
                <w:lang w:val="bg-BG"/>
              </w:rPr>
              <w:t xml:space="preserve"> </w:t>
            </w:r>
            <w:r w:rsidRPr="0025584A">
              <w:rPr>
                <w:rFonts w:ascii="Times New Roman" w:hAnsi="Times New Roman" w:cs="Times New Roman"/>
                <w:bCs/>
              </w:rPr>
              <w:t>- criminal, civil and administrative law aspects</w:t>
            </w:r>
            <w:r w:rsidR="003B5A0B" w:rsidRPr="0025584A">
              <w:rPr>
                <w:rFonts w:ascii="Times New Roman" w:hAnsi="Times New Roman" w:cs="Times New Roman"/>
                <w:bCs/>
                <w:lang w:val="bg-BG"/>
              </w:rPr>
              <w:t>“</w:t>
            </w:r>
          </w:p>
        </w:tc>
        <w:tc>
          <w:tcPr>
            <w:tcW w:w="2631" w:type="dxa"/>
            <w:shd w:val="clear" w:color="auto" w:fill="auto"/>
          </w:tcPr>
          <w:p w:rsidR="003B5A0B" w:rsidRPr="0025584A" w:rsidRDefault="009B24BA" w:rsidP="00FF7D10">
            <w:pPr>
              <w:rPr>
                <w:rFonts w:ascii="Times New Roman" w:hAnsi="Times New Roman" w:cs="Times New Roman"/>
                <w:lang w:val="bg-BG"/>
              </w:rPr>
            </w:pPr>
            <w:r w:rsidRPr="0025584A">
              <w:rPr>
                <w:rFonts w:ascii="Times New Roman" w:hAnsi="Times New Roman" w:cs="Times New Roman"/>
                <w:lang w:val="bg-BG"/>
              </w:rPr>
              <w:t>The National Institute of Justice</w:t>
            </w:r>
          </w:p>
        </w:tc>
        <w:tc>
          <w:tcPr>
            <w:tcW w:w="1416" w:type="dxa"/>
            <w:shd w:val="clear" w:color="auto" w:fill="auto"/>
          </w:tcPr>
          <w:p w:rsidR="003B5A0B" w:rsidRPr="007E54FE" w:rsidRDefault="003B5A0B" w:rsidP="00FF7D10">
            <w:pPr>
              <w:rPr>
                <w:rFonts w:ascii="Times New Roman" w:hAnsi="Times New Roman" w:cs="Times New Roman"/>
                <w:sz w:val="24"/>
                <w:szCs w:val="24"/>
                <w:lang w:val="bg-BG"/>
              </w:rPr>
            </w:pPr>
            <w:r>
              <w:rPr>
                <w:rFonts w:ascii="Times New Roman" w:hAnsi="Times New Roman" w:cs="Times New Roman"/>
                <w:sz w:val="24"/>
                <w:szCs w:val="24"/>
                <w:lang w:val="bg-BG"/>
              </w:rPr>
              <w:t>4</w:t>
            </w:r>
          </w:p>
        </w:tc>
        <w:tc>
          <w:tcPr>
            <w:tcW w:w="1548" w:type="dxa"/>
            <w:shd w:val="clear" w:color="auto" w:fill="auto"/>
          </w:tcPr>
          <w:p w:rsidR="003B5A0B" w:rsidRPr="007E54FE" w:rsidRDefault="003B5A0B" w:rsidP="0085641C">
            <w:pPr>
              <w:rPr>
                <w:rFonts w:ascii="Times New Roman" w:hAnsi="Times New Roman" w:cs="Times New Roman"/>
                <w:sz w:val="24"/>
                <w:szCs w:val="24"/>
                <w:lang w:val="bg-BG"/>
              </w:rPr>
            </w:pPr>
          </w:p>
        </w:tc>
      </w:tr>
      <w:tr w:rsidR="00650AD8" w:rsidRPr="007E54FE" w:rsidTr="00650AD8">
        <w:trPr>
          <w:trHeight w:val="735"/>
        </w:trPr>
        <w:tc>
          <w:tcPr>
            <w:tcW w:w="3670" w:type="dxa"/>
            <w:shd w:val="clear" w:color="auto" w:fill="auto"/>
          </w:tcPr>
          <w:p w:rsidR="00AD5DF3" w:rsidRPr="0025584A" w:rsidRDefault="009B24BA" w:rsidP="009B24BA">
            <w:pPr>
              <w:rPr>
                <w:rFonts w:ascii="Times New Roman" w:hAnsi="Times New Roman" w:cs="Times New Roman"/>
                <w:bCs/>
                <w:lang w:val="bg-BG"/>
              </w:rPr>
            </w:pPr>
            <w:r w:rsidRPr="0025584A">
              <w:rPr>
                <w:rFonts w:ascii="Times New Roman" w:hAnsi="Times New Roman" w:cs="Times New Roman"/>
                <w:bCs/>
              </w:rPr>
              <w:t xml:space="preserve">A round-table discussion on the implementation of Article 3 of the </w:t>
            </w:r>
            <w:r w:rsidR="005C430F" w:rsidRPr="0025584A">
              <w:rPr>
                <w:rFonts w:ascii="Times New Roman" w:hAnsi="Times New Roman" w:cs="Times New Roman"/>
                <w:bCs/>
              </w:rPr>
              <w:t>European Convention on Human Rights</w:t>
            </w:r>
          </w:p>
        </w:tc>
        <w:tc>
          <w:tcPr>
            <w:tcW w:w="2631" w:type="dxa"/>
            <w:shd w:val="clear" w:color="auto" w:fill="auto"/>
          </w:tcPr>
          <w:p w:rsidR="00AD5DF3" w:rsidRPr="0025584A" w:rsidRDefault="009B24BA" w:rsidP="00FF7D10">
            <w:pPr>
              <w:rPr>
                <w:rFonts w:ascii="Times New Roman" w:hAnsi="Times New Roman" w:cs="Times New Roman"/>
                <w:lang w:val="bg-BG"/>
              </w:rPr>
            </w:pPr>
            <w:r w:rsidRPr="0025584A">
              <w:rPr>
                <w:rFonts w:ascii="Times New Roman" w:hAnsi="Times New Roman" w:cs="Times New Roman"/>
                <w:lang w:val="bg-BG"/>
              </w:rPr>
              <w:t>The National Institute of Justice</w:t>
            </w:r>
          </w:p>
        </w:tc>
        <w:tc>
          <w:tcPr>
            <w:tcW w:w="1416" w:type="dxa"/>
            <w:shd w:val="clear" w:color="auto" w:fill="auto"/>
          </w:tcPr>
          <w:p w:rsidR="00AD5DF3" w:rsidRPr="007E54FE" w:rsidRDefault="00AD5DF3" w:rsidP="00FF7D10">
            <w:pPr>
              <w:rPr>
                <w:rFonts w:ascii="Times New Roman" w:hAnsi="Times New Roman" w:cs="Times New Roman"/>
                <w:sz w:val="24"/>
                <w:szCs w:val="24"/>
                <w:lang w:val="bg-BG"/>
              </w:rPr>
            </w:pPr>
            <w:r>
              <w:rPr>
                <w:rFonts w:ascii="Times New Roman" w:hAnsi="Times New Roman" w:cs="Times New Roman"/>
                <w:sz w:val="24"/>
                <w:szCs w:val="24"/>
                <w:lang w:val="bg-BG"/>
              </w:rPr>
              <w:t>10</w:t>
            </w:r>
          </w:p>
        </w:tc>
        <w:tc>
          <w:tcPr>
            <w:tcW w:w="1548" w:type="dxa"/>
            <w:shd w:val="clear" w:color="auto" w:fill="auto"/>
          </w:tcPr>
          <w:p w:rsidR="00AD5DF3" w:rsidRPr="007E54FE" w:rsidRDefault="00AD5DF3" w:rsidP="0085641C">
            <w:pPr>
              <w:rPr>
                <w:rFonts w:ascii="Times New Roman" w:hAnsi="Times New Roman" w:cs="Times New Roman"/>
                <w:sz w:val="24"/>
                <w:szCs w:val="24"/>
                <w:lang w:val="bg-BG"/>
              </w:rPr>
            </w:pPr>
          </w:p>
        </w:tc>
      </w:tr>
      <w:tr w:rsidR="00650AD8" w:rsidRPr="007E54FE" w:rsidTr="00650AD8">
        <w:trPr>
          <w:trHeight w:val="735"/>
        </w:trPr>
        <w:tc>
          <w:tcPr>
            <w:tcW w:w="3670" w:type="dxa"/>
            <w:shd w:val="clear" w:color="auto" w:fill="auto"/>
          </w:tcPr>
          <w:p w:rsidR="00AD5DF3" w:rsidRPr="0025584A" w:rsidRDefault="005C430F" w:rsidP="0085641C">
            <w:pPr>
              <w:rPr>
                <w:rFonts w:ascii="Times New Roman" w:hAnsi="Times New Roman" w:cs="Times New Roman"/>
                <w:bCs/>
              </w:rPr>
            </w:pPr>
            <w:r w:rsidRPr="0025584A">
              <w:rPr>
                <w:rFonts w:ascii="Times New Roman" w:hAnsi="Times New Roman" w:cs="Times New Roman"/>
                <w:bCs/>
              </w:rPr>
              <w:t>Procedural violations in pre - trial proceedings. Practical issues related to the effective investigation of criminal cases in the context of compliance with the standards of the European Convention on Human Rights and Fundamental Freedoms</w:t>
            </w:r>
          </w:p>
        </w:tc>
        <w:tc>
          <w:tcPr>
            <w:tcW w:w="2631" w:type="dxa"/>
            <w:shd w:val="clear" w:color="auto" w:fill="auto"/>
          </w:tcPr>
          <w:p w:rsidR="00AD5DF3" w:rsidRPr="0025584A" w:rsidRDefault="009B24BA" w:rsidP="00FF7D10">
            <w:pPr>
              <w:rPr>
                <w:rFonts w:ascii="Times New Roman" w:hAnsi="Times New Roman" w:cs="Times New Roman"/>
                <w:lang w:val="bg-BG"/>
              </w:rPr>
            </w:pPr>
            <w:r w:rsidRPr="0025584A">
              <w:rPr>
                <w:rFonts w:ascii="Times New Roman" w:hAnsi="Times New Roman" w:cs="Times New Roman"/>
                <w:lang w:val="bg-BG"/>
              </w:rPr>
              <w:t>The National Institute of Justice</w:t>
            </w:r>
          </w:p>
        </w:tc>
        <w:tc>
          <w:tcPr>
            <w:tcW w:w="1416" w:type="dxa"/>
            <w:shd w:val="clear" w:color="auto" w:fill="auto"/>
          </w:tcPr>
          <w:p w:rsidR="00AD5DF3" w:rsidRPr="007E54FE" w:rsidRDefault="00AD5DF3" w:rsidP="00FF7D10">
            <w:pPr>
              <w:rPr>
                <w:rFonts w:ascii="Times New Roman" w:hAnsi="Times New Roman" w:cs="Times New Roman"/>
                <w:sz w:val="24"/>
                <w:szCs w:val="24"/>
                <w:lang w:val="bg-BG"/>
              </w:rPr>
            </w:pPr>
            <w:r>
              <w:rPr>
                <w:rFonts w:ascii="Times New Roman" w:hAnsi="Times New Roman" w:cs="Times New Roman"/>
                <w:sz w:val="24"/>
                <w:szCs w:val="24"/>
                <w:lang w:val="bg-BG"/>
              </w:rPr>
              <w:t>14</w:t>
            </w:r>
          </w:p>
        </w:tc>
        <w:tc>
          <w:tcPr>
            <w:tcW w:w="1548" w:type="dxa"/>
            <w:shd w:val="clear" w:color="auto" w:fill="auto"/>
          </w:tcPr>
          <w:p w:rsidR="00AD5DF3" w:rsidRPr="007E54FE" w:rsidRDefault="00AD5DF3" w:rsidP="0085641C">
            <w:pPr>
              <w:rPr>
                <w:rFonts w:ascii="Times New Roman" w:hAnsi="Times New Roman" w:cs="Times New Roman"/>
                <w:sz w:val="24"/>
                <w:szCs w:val="24"/>
                <w:lang w:val="bg-BG"/>
              </w:rPr>
            </w:pPr>
            <w:r>
              <w:rPr>
                <w:rFonts w:ascii="Times New Roman" w:hAnsi="Times New Roman" w:cs="Times New Roman"/>
                <w:sz w:val="24"/>
                <w:szCs w:val="24"/>
                <w:lang w:val="bg-BG"/>
              </w:rPr>
              <w:t>11</w:t>
            </w:r>
          </w:p>
        </w:tc>
      </w:tr>
      <w:tr w:rsidR="00650AD8" w:rsidRPr="007E54FE" w:rsidTr="00650AD8">
        <w:trPr>
          <w:trHeight w:val="735"/>
        </w:trPr>
        <w:tc>
          <w:tcPr>
            <w:tcW w:w="3670" w:type="dxa"/>
            <w:shd w:val="clear" w:color="auto" w:fill="auto"/>
          </w:tcPr>
          <w:p w:rsidR="00AD5DF3" w:rsidRPr="0025584A" w:rsidRDefault="005C430F" w:rsidP="0085641C">
            <w:pPr>
              <w:rPr>
                <w:rFonts w:ascii="Times New Roman" w:hAnsi="Times New Roman" w:cs="Times New Roman"/>
                <w:bCs/>
              </w:rPr>
            </w:pPr>
            <w:r w:rsidRPr="0025584A">
              <w:rPr>
                <w:rFonts w:ascii="Times New Roman" w:hAnsi="Times New Roman" w:cs="Times New Roman"/>
                <w:bCs/>
              </w:rPr>
              <w:t>A round-table discussion on the implementation of Article 3 of the European Convention on Human Rights</w:t>
            </w:r>
          </w:p>
        </w:tc>
        <w:tc>
          <w:tcPr>
            <w:tcW w:w="2631" w:type="dxa"/>
            <w:shd w:val="clear" w:color="auto" w:fill="auto"/>
          </w:tcPr>
          <w:p w:rsidR="00AD5DF3" w:rsidRPr="0025584A" w:rsidRDefault="009B24BA" w:rsidP="00FF7D10">
            <w:pPr>
              <w:rPr>
                <w:rFonts w:ascii="Times New Roman" w:hAnsi="Times New Roman" w:cs="Times New Roman"/>
                <w:lang w:val="bg-BG"/>
              </w:rPr>
            </w:pPr>
            <w:r w:rsidRPr="0025584A">
              <w:rPr>
                <w:rFonts w:ascii="Times New Roman" w:hAnsi="Times New Roman" w:cs="Times New Roman"/>
                <w:lang w:val="bg-BG"/>
              </w:rPr>
              <w:t>The National Institute of Justice</w:t>
            </w:r>
          </w:p>
        </w:tc>
        <w:tc>
          <w:tcPr>
            <w:tcW w:w="1416" w:type="dxa"/>
            <w:shd w:val="clear" w:color="auto" w:fill="auto"/>
          </w:tcPr>
          <w:p w:rsidR="00AD5DF3" w:rsidRPr="007E54FE" w:rsidRDefault="00AD5DF3" w:rsidP="00FF7D10">
            <w:pPr>
              <w:rPr>
                <w:rFonts w:ascii="Times New Roman" w:hAnsi="Times New Roman" w:cs="Times New Roman"/>
                <w:sz w:val="24"/>
                <w:szCs w:val="24"/>
                <w:lang w:val="bg-BG"/>
              </w:rPr>
            </w:pPr>
            <w:r>
              <w:rPr>
                <w:rFonts w:ascii="Times New Roman" w:hAnsi="Times New Roman" w:cs="Times New Roman"/>
                <w:sz w:val="24"/>
                <w:szCs w:val="24"/>
                <w:lang w:val="bg-BG"/>
              </w:rPr>
              <w:t>10</w:t>
            </w:r>
          </w:p>
        </w:tc>
        <w:tc>
          <w:tcPr>
            <w:tcW w:w="1548" w:type="dxa"/>
            <w:shd w:val="clear" w:color="auto" w:fill="auto"/>
          </w:tcPr>
          <w:p w:rsidR="00AD5DF3" w:rsidRPr="007E54FE" w:rsidRDefault="00AD5DF3" w:rsidP="00FF7D10">
            <w:pPr>
              <w:rPr>
                <w:rFonts w:ascii="Times New Roman" w:hAnsi="Times New Roman" w:cs="Times New Roman"/>
                <w:sz w:val="24"/>
                <w:szCs w:val="24"/>
                <w:lang w:val="bg-BG"/>
              </w:rPr>
            </w:pPr>
          </w:p>
        </w:tc>
      </w:tr>
      <w:tr w:rsidR="00650AD8" w:rsidRPr="007E54FE" w:rsidTr="00650AD8">
        <w:trPr>
          <w:trHeight w:val="735"/>
        </w:trPr>
        <w:tc>
          <w:tcPr>
            <w:tcW w:w="3670" w:type="dxa"/>
            <w:shd w:val="clear" w:color="auto" w:fill="auto"/>
          </w:tcPr>
          <w:p w:rsidR="004004B3" w:rsidRPr="0025584A" w:rsidRDefault="005C430F" w:rsidP="0085641C">
            <w:pPr>
              <w:rPr>
                <w:rFonts w:ascii="Times New Roman" w:hAnsi="Times New Roman" w:cs="Times New Roman"/>
                <w:bCs/>
              </w:rPr>
            </w:pPr>
            <w:r w:rsidRPr="0025584A">
              <w:rPr>
                <w:rFonts w:ascii="Times New Roman" w:hAnsi="Times New Roman" w:cs="Times New Roman"/>
                <w:bCs/>
              </w:rPr>
              <w:t>5 trainings on “Effective Investigation - Practice of the ECHR and Analysis of the Prosecutor‘s office of Republic of Bulgaria "</w:t>
            </w:r>
          </w:p>
          <w:p w:rsidR="004004B3" w:rsidRPr="0025584A" w:rsidRDefault="004004B3" w:rsidP="0085641C">
            <w:pPr>
              <w:rPr>
                <w:rFonts w:ascii="Times New Roman" w:hAnsi="Times New Roman" w:cs="Times New Roman"/>
                <w:bCs/>
                <w:lang w:val="bg-BG"/>
              </w:rPr>
            </w:pPr>
          </w:p>
        </w:tc>
        <w:tc>
          <w:tcPr>
            <w:tcW w:w="2631" w:type="dxa"/>
            <w:shd w:val="clear" w:color="auto" w:fill="auto"/>
          </w:tcPr>
          <w:p w:rsidR="004004B3" w:rsidRPr="0025584A" w:rsidRDefault="004004B3" w:rsidP="00FF7D10">
            <w:pPr>
              <w:rPr>
                <w:rFonts w:ascii="Times New Roman" w:hAnsi="Times New Roman" w:cs="Times New Roman"/>
                <w:lang w:val="bg-BG"/>
              </w:rPr>
            </w:pPr>
          </w:p>
          <w:p w:rsidR="004004B3" w:rsidRPr="0025584A" w:rsidRDefault="009B24BA" w:rsidP="00FF7D10">
            <w:pPr>
              <w:rPr>
                <w:rFonts w:ascii="Times New Roman" w:hAnsi="Times New Roman" w:cs="Times New Roman"/>
                <w:lang w:val="bg-BG"/>
              </w:rPr>
            </w:pPr>
            <w:r w:rsidRPr="0025584A">
              <w:rPr>
                <w:rFonts w:ascii="Times New Roman" w:hAnsi="Times New Roman" w:cs="Times New Roman"/>
                <w:lang w:val="bg-BG"/>
              </w:rPr>
              <w:t>Prosecutor‘s office of Republic of Bulgaria</w:t>
            </w:r>
          </w:p>
        </w:tc>
        <w:tc>
          <w:tcPr>
            <w:tcW w:w="1416" w:type="dxa"/>
            <w:shd w:val="clear" w:color="auto" w:fill="auto"/>
          </w:tcPr>
          <w:p w:rsidR="004004B3" w:rsidRDefault="004004B3" w:rsidP="00FF7D10">
            <w:pPr>
              <w:rPr>
                <w:rFonts w:ascii="Times New Roman" w:hAnsi="Times New Roman" w:cs="Times New Roman"/>
                <w:sz w:val="24"/>
                <w:szCs w:val="24"/>
                <w:lang w:val="bg-BG"/>
              </w:rPr>
            </w:pPr>
            <w:r>
              <w:rPr>
                <w:rFonts w:ascii="Times New Roman" w:hAnsi="Times New Roman" w:cs="Times New Roman"/>
                <w:sz w:val="24"/>
                <w:szCs w:val="24"/>
                <w:lang w:val="bg-BG"/>
              </w:rPr>
              <w:t>110</w:t>
            </w:r>
          </w:p>
        </w:tc>
        <w:tc>
          <w:tcPr>
            <w:tcW w:w="1548" w:type="dxa"/>
            <w:shd w:val="clear" w:color="auto" w:fill="auto"/>
          </w:tcPr>
          <w:p w:rsidR="004004B3" w:rsidRPr="007E54FE" w:rsidRDefault="004004B3" w:rsidP="00FF7D10">
            <w:pPr>
              <w:rPr>
                <w:rFonts w:ascii="Times New Roman" w:hAnsi="Times New Roman" w:cs="Times New Roman"/>
                <w:sz w:val="24"/>
                <w:szCs w:val="24"/>
                <w:lang w:val="bg-BG"/>
              </w:rPr>
            </w:pPr>
          </w:p>
        </w:tc>
      </w:tr>
      <w:tr w:rsidR="00650AD8" w:rsidRPr="007E54FE" w:rsidTr="00650AD8">
        <w:trPr>
          <w:trHeight w:val="735"/>
        </w:trPr>
        <w:tc>
          <w:tcPr>
            <w:tcW w:w="3670" w:type="dxa"/>
            <w:shd w:val="clear" w:color="auto" w:fill="auto"/>
          </w:tcPr>
          <w:p w:rsidR="004004B3" w:rsidRPr="0025584A" w:rsidRDefault="009B24BA" w:rsidP="0085641C">
            <w:pPr>
              <w:rPr>
                <w:rFonts w:ascii="Times New Roman" w:hAnsi="Times New Roman" w:cs="Times New Roman"/>
                <w:bCs/>
              </w:rPr>
            </w:pPr>
            <w:r w:rsidRPr="0025584A">
              <w:rPr>
                <w:rFonts w:ascii="Times New Roman" w:hAnsi="Times New Roman" w:cs="Times New Roman"/>
                <w:bCs/>
              </w:rPr>
              <w:t>Total: 9 trainings</w:t>
            </w:r>
          </w:p>
        </w:tc>
        <w:tc>
          <w:tcPr>
            <w:tcW w:w="2631" w:type="dxa"/>
            <w:shd w:val="clear" w:color="auto" w:fill="auto"/>
          </w:tcPr>
          <w:p w:rsidR="004004B3" w:rsidRPr="0025584A" w:rsidRDefault="004004B3" w:rsidP="00FF7D10">
            <w:pPr>
              <w:rPr>
                <w:rFonts w:ascii="Times New Roman" w:hAnsi="Times New Roman" w:cs="Times New Roman"/>
                <w:lang w:val="bg-BG"/>
              </w:rPr>
            </w:pPr>
          </w:p>
        </w:tc>
        <w:tc>
          <w:tcPr>
            <w:tcW w:w="1416" w:type="dxa"/>
            <w:shd w:val="clear" w:color="auto" w:fill="auto"/>
          </w:tcPr>
          <w:p w:rsidR="004004B3" w:rsidRDefault="004004B3" w:rsidP="00FF7D10">
            <w:pPr>
              <w:rPr>
                <w:rFonts w:ascii="Times New Roman" w:hAnsi="Times New Roman" w:cs="Times New Roman"/>
                <w:sz w:val="24"/>
                <w:szCs w:val="24"/>
                <w:lang w:val="bg-BG"/>
              </w:rPr>
            </w:pPr>
            <w:r>
              <w:rPr>
                <w:rFonts w:ascii="Times New Roman" w:hAnsi="Times New Roman" w:cs="Times New Roman"/>
                <w:sz w:val="24"/>
                <w:szCs w:val="24"/>
                <w:lang w:val="bg-BG"/>
              </w:rPr>
              <w:t>148</w:t>
            </w:r>
          </w:p>
        </w:tc>
        <w:tc>
          <w:tcPr>
            <w:tcW w:w="1548" w:type="dxa"/>
            <w:shd w:val="clear" w:color="auto" w:fill="auto"/>
          </w:tcPr>
          <w:p w:rsidR="004004B3" w:rsidRPr="007E54FE" w:rsidRDefault="004004B3" w:rsidP="00FF7D10">
            <w:pPr>
              <w:rPr>
                <w:rFonts w:ascii="Times New Roman" w:hAnsi="Times New Roman" w:cs="Times New Roman"/>
                <w:sz w:val="24"/>
                <w:szCs w:val="24"/>
                <w:lang w:val="bg-BG"/>
              </w:rPr>
            </w:pPr>
            <w:r>
              <w:rPr>
                <w:rFonts w:ascii="Times New Roman" w:hAnsi="Times New Roman" w:cs="Times New Roman"/>
                <w:sz w:val="24"/>
                <w:szCs w:val="24"/>
                <w:lang w:val="bg-BG"/>
              </w:rPr>
              <w:t>11</w:t>
            </w:r>
          </w:p>
        </w:tc>
      </w:tr>
      <w:tr w:rsidR="004004B3" w:rsidRPr="007E54FE" w:rsidTr="00650AD8">
        <w:trPr>
          <w:trHeight w:val="735"/>
        </w:trPr>
        <w:tc>
          <w:tcPr>
            <w:tcW w:w="9265" w:type="dxa"/>
            <w:gridSpan w:val="4"/>
            <w:shd w:val="clear" w:color="auto" w:fill="D9D9D9" w:themeFill="background1" w:themeFillShade="D9"/>
          </w:tcPr>
          <w:p w:rsidR="006D1EFE" w:rsidRPr="0025584A" w:rsidRDefault="006D1EFE" w:rsidP="004004B3">
            <w:pPr>
              <w:jc w:val="center"/>
              <w:rPr>
                <w:rFonts w:ascii="Times New Roman" w:hAnsi="Times New Roman" w:cs="Times New Roman"/>
              </w:rPr>
            </w:pPr>
          </w:p>
          <w:p w:rsidR="004004B3" w:rsidRPr="0025584A" w:rsidRDefault="005C430F" w:rsidP="004004B3">
            <w:pPr>
              <w:jc w:val="center"/>
              <w:rPr>
                <w:rFonts w:ascii="Times New Roman" w:hAnsi="Times New Roman" w:cs="Times New Roman"/>
              </w:rPr>
            </w:pPr>
            <w:r w:rsidRPr="0025584A">
              <w:rPr>
                <w:rFonts w:ascii="Times New Roman" w:hAnsi="Times New Roman" w:cs="Times New Roman"/>
                <w:lang w:val="bg-BG"/>
              </w:rPr>
              <w:t>2018</w:t>
            </w:r>
            <w:r w:rsidR="004004B3" w:rsidRPr="0025584A">
              <w:rPr>
                <w:rFonts w:ascii="Times New Roman" w:hAnsi="Times New Roman" w:cs="Times New Roman"/>
                <w:lang w:val="bg-BG"/>
              </w:rPr>
              <w:t xml:space="preserve"> </w:t>
            </w:r>
            <w:r w:rsidR="009B24BA" w:rsidRPr="0025584A">
              <w:rPr>
                <w:rFonts w:ascii="Times New Roman" w:hAnsi="Times New Roman" w:cs="Times New Roman"/>
              </w:rPr>
              <w:t>(first three months)</w:t>
            </w:r>
          </w:p>
          <w:p w:rsidR="006D1EFE" w:rsidRPr="0025584A" w:rsidRDefault="006D1EFE" w:rsidP="004004B3">
            <w:pPr>
              <w:jc w:val="center"/>
              <w:rPr>
                <w:rFonts w:ascii="Times New Roman" w:hAnsi="Times New Roman" w:cs="Times New Roman"/>
              </w:rPr>
            </w:pPr>
          </w:p>
        </w:tc>
      </w:tr>
      <w:tr w:rsidR="00650AD8" w:rsidRPr="007E54FE" w:rsidTr="00650AD8">
        <w:trPr>
          <w:trHeight w:val="735"/>
        </w:trPr>
        <w:tc>
          <w:tcPr>
            <w:tcW w:w="3670" w:type="dxa"/>
            <w:shd w:val="clear" w:color="auto" w:fill="auto"/>
          </w:tcPr>
          <w:p w:rsidR="004004B3" w:rsidRPr="0025584A" w:rsidRDefault="009B24BA" w:rsidP="009B24BA">
            <w:pPr>
              <w:rPr>
                <w:rFonts w:ascii="Times New Roman" w:hAnsi="Times New Roman" w:cs="Times New Roman"/>
                <w:bCs/>
                <w:lang w:val="bg-BG"/>
              </w:rPr>
            </w:pPr>
            <w:r w:rsidRPr="0025584A">
              <w:rPr>
                <w:rFonts w:ascii="Times New Roman" w:hAnsi="Times New Roman" w:cs="Times New Roman"/>
                <w:bCs/>
              </w:rPr>
              <w:t>3 trainings on the topic: “Hate crimes”</w:t>
            </w:r>
            <w:r w:rsidR="004004B3" w:rsidRPr="0025584A">
              <w:rPr>
                <w:rFonts w:ascii="Times New Roman" w:hAnsi="Times New Roman" w:cs="Times New Roman"/>
                <w:bCs/>
                <w:lang w:val="bg-BG"/>
              </w:rPr>
              <w:t xml:space="preserve"> </w:t>
            </w:r>
          </w:p>
        </w:tc>
        <w:tc>
          <w:tcPr>
            <w:tcW w:w="2631" w:type="dxa"/>
            <w:shd w:val="clear" w:color="auto" w:fill="auto"/>
          </w:tcPr>
          <w:p w:rsidR="004004B3" w:rsidRPr="0025584A" w:rsidRDefault="009B24BA" w:rsidP="009B24BA">
            <w:pPr>
              <w:rPr>
                <w:rFonts w:ascii="Times New Roman" w:hAnsi="Times New Roman" w:cs="Times New Roman"/>
                <w:lang w:val="bg-BG"/>
              </w:rPr>
            </w:pPr>
            <w:r w:rsidRPr="0025584A">
              <w:rPr>
                <w:rFonts w:ascii="Times New Roman" w:hAnsi="Times New Roman" w:cs="Times New Roman"/>
                <w:lang w:val="bg-BG"/>
              </w:rPr>
              <w:t xml:space="preserve">Prosecutor‘s office of Republic of Bulgaria </w:t>
            </w:r>
            <w:r w:rsidRPr="0025584A">
              <w:rPr>
                <w:rFonts w:ascii="Times New Roman" w:hAnsi="Times New Roman" w:cs="Times New Roman"/>
              </w:rPr>
              <w:t>in</w:t>
            </w:r>
            <w:r w:rsidRPr="0025584A">
              <w:rPr>
                <w:rFonts w:ascii="Times New Roman" w:hAnsi="Times New Roman" w:cs="Times New Roman"/>
                <w:lang w:val="bg-BG"/>
              </w:rPr>
              <w:t xml:space="preserve"> cooperation with ODIHR to</w:t>
            </w:r>
            <w:r w:rsidR="004004B3" w:rsidRPr="0025584A">
              <w:rPr>
                <w:rFonts w:ascii="Times New Roman" w:hAnsi="Times New Roman" w:cs="Times New Roman"/>
                <w:lang w:val="bg-BG"/>
              </w:rPr>
              <w:t xml:space="preserve"> </w:t>
            </w:r>
            <w:r w:rsidRPr="0025584A">
              <w:rPr>
                <w:rFonts w:ascii="Times New Roman" w:hAnsi="Times New Roman" w:cs="Times New Roman"/>
                <w:lang w:val="bg-BG"/>
              </w:rPr>
              <w:t>OSCE</w:t>
            </w:r>
          </w:p>
        </w:tc>
        <w:tc>
          <w:tcPr>
            <w:tcW w:w="1416" w:type="dxa"/>
            <w:shd w:val="clear" w:color="auto" w:fill="auto"/>
          </w:tcPr>
          <w:p w:rsidR="004004B3" w:rsidRDefault="004004B3" w:rsidP="00FF7D10">
            <w:pPr>
              <w:rPr>
                <w:rFonts w:ascii="Times New Roman" w:hAnsi="Times New Roman" w:cs="Times New Roman"/>
                <w:sz w:val="24"/>
                <w:szCs w:val="24"/>
                <w:lang w:val="bg-BG"/>
              </w:rPr>
            </w:pPr>
            <w:r>
              <w:rPr>
                <w:rFonts w:ascii="Times New Roman" w:hAnsi="Times New Roman" w:cs="Times New Roman"/>
                <w:sz w:val="24"/>
                <w:szCs w:val="24"/>
                <w:lang w:val="bg-BG"/>
              </w:rPr>
              <w:t>35</w:t>
            </w:r>
          </w:p>
        </w:tc>
        <w:tc>
          <w:tcPr>
            <w:tcW w:w="1548" w:type="dxa"/>
            <w:shd w:val="clear" w:color="auto" w:fill="auto"/>
          </w:tcPr>
          <w:p w:rsidR="004004B3" w:rsidRPr="007E54FE" w:rsidRDefault="004004B3" w:rsidP="00FF7D10">
            <w:pPr>
              <w:rPr>
                <w:rFonts w:ascii="Times New Roman" w:hAnsi="Times New Roman" w:cs="Times New Roman"/>
                <w:sz w:val="24"/>
                <w:szCs w:val="24"/>
                <w:lang w:val="bg-BG"/>
              </w:rPr>
            </w:pPr>
          </w:p>
        </w:tc>
      </w:tr>
    </w:tbl>
    <w:p w:rsidR="0025584A" w:rsidRDefault="0025584A" w:rsidP="006D1EFE">
      <w:pPr>
        <w:tabs>
          <w:tab w:val="left" w:pos="1065"/>
        </w:tabs>
        <w:rPr>
          <w:rFonts w:ascii="Times New Roman" w:hAnsi="Times New Roman" w:cs="Times New Roman"/>
          <w:sz w:val="24"/>
          <w:szCs w:val="24"/>
        </w:rPr>
      </w:pPr>
    </w:p>
    <w:p w:rsidR="0025584A" w:rsidRDefault="0025584A" w:rsidP="006D1EFE">
      <w:pPr>
        <w:tabs>
          <w:tab w:val="left" w:pos="1065"/>
        </w:tabs>
        <w:rPr>
          <w:rFonts w:ascii="Times New Roman" w:hAnsi="Times New Roman" w:cs="Times New Roman"/>
          <w:sz w:val="24"/>
          <w:szCs w:val="24"/>
        </w:rPr>
      </w:pPr>
    </w:p>
    <w:p w:rsidR="0025584A" w:rsidRDefault="0025584A" w:rsidP="006D1EFE">
      <w:pPr>
        <w:tabs>
          <w:tab w:val="left" w:pos="1065"/>
        </w:tabs>
        <w:rPr>
          <w:rFonts w:ascii="Times New Roman" w:hAnsi="Times New Roman" w:cs="Times New Roman"/>
          <w:sz w:val="24"/>
          <w:szCs w:val="24"/>
        </w:rPr>
      </w:pPr>
    </w:p>
    <w:p w:rsidR="0025584A" w:rsidRDefault="0025584A" w:rsidP="006D1EFE">
      <w:pPr>
        <w:tabs>
          <w:tab w:val="left" w:pos="1065"/>
        </w:tabs>
        <w:rPr>
          <w:rFonts w:ascii="Times New Roman" w:hAnsi="Times New Roman" w:cs="Times New Roman"/>
          <w:sz w:val="24"/>
          <w:szCs w:val="24"/>
        </w:rPr>
      </w:pPr>
    </w:p>
    <w:p w:rsidR="0025584A" w:rsidRDefault="0025584A" w:rsidP="006D1EFE">
      <w:pPr>
        <w:tabs>
          <w:tab w:val="left" w:pos="1065"/>
        </w:tabs>
        <w:rPr>
          <w:rFonts w:ascii="Times New Roman" w:hAnsi="Times New Roman" w:cs="Times New Roman"/>
          <w:sz w:val="24"/>
          <w:szCs w:val="24"/>
        </w:rPr>
      </w:pPr>
    </w:p>
    <w:p w:rsidR="0025584A" w:rsidRDefault="0025584A" w:rsidP="006D1EFE">
      <w:pPr>
        <w:tabs>
          <w:tab w:val="left" w:pos="1065"/>
        </w:tabs>
        <w:rPr>
          <w:rFonts w:ascii="Times New Roman" w:hAnsi="Times New Roman" w:cs="Times New Roman"/>
          <w:sz w:val="24"/>
          <w:szCs w:val="24"/>
        </w:rPr>
      </w:pPr>
    </w:p>
    <w:p w:rsidR="0025584A" w:rsidRPr="0025584A" w:rsidRDefault="0025584A" w:rsidP="0025584A">
      <w:pPr>
        <w:spacing w:after="120" w:line="240" w:lineRule="auto"/>
        <w:jc w:val="center"/>
        <w:rPr>
          <w:rFonts w:ascii="Times New Roman" w:hAnsi="Times New Roman" w:cs="Times New Roman"/>
          <w:b/>
          <w:sz w:val="28"/>
          <w:szCs w:val="24"/>
          <w:lang w:val="en-GB"/>
        </w:rPr>
      </w:pPr>
      <w:r w:rsidRPr="0025584A">
        <w:rPr>
          <w:rFonts w:ascii="Times New Roman" w:hAnsi="Times New Roman" w:cs="Times New Roman"/>
          <w:b/>
          <w:sz w:val="28"/>
          <w:szCs w:val="24"/>
          <w:lang w:val="en-GB"/>
        </w:rPr>
        <w:lastRenderedPageBreak/>
        <w:t>Trainings</w:t>
      </w:r>
      <w:r>
        <w:rPr>
          <w:rFonts w:ascii="Times New Roman" w:hAnsi="Times New Roman" w:cs="Times New Roman"/>
          <w:b/>
          <w:sz w:val="28"/>
          <w:szCs w:val="24"/>
          <w:lang w:val="en-GB"/>
        </w:rPr>
        <w:t xml:space="preserve"> – further information</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Within the period February 2013 – April 2016, in collaboration with the Council of Europe (CoE), the NIJ implemented its major project in the field of fundamental rights’ protection focused on</w:t>
      </w:r>
      <w:r w:rsidRPr="0025584A">
        <w:rPr>
          <w:rFonts w:ascii="Times New Roman" w:hAnsi="Times New Roman" w:cs="Times New Roman"/>
          <w:i/>
          <w:sz w:val="24"/>
          <w:szCs w:val="24"/>
          <w:lang w:val="en-GB"/>
        </w:rPr>
        <w:t xml:space="preserve"> “Increasing the capacity of the Judiciary and Training on the European Convention on Human Rights and Fundamental Freedoms at the National Institute of Justice”</w:t>
      </w:r>
      <w:r w:rsidRPr="0025584A">
        <w:rPr>
          <w:rFonts w:ascii="Times New Roman" w:hAnsi="Times New Roman" w:cs="Times New Roman"/>
          <w:sz w:val="24"/>
          <w:szCs w:val="24"/>
          <w:lang w:val="en-GB"/>
        </w:rPr>
        <w:t xml:space="preserve"> </w:t>
      </w:r>
      <w:r w:rsidRPr="0025584A">
        <w:rPr>
          <w:rFonts w:ascii="Times New Roman" w:hAnsi="Times New Roman" w:cs="Times New Roman"/>
          <w:i/>
          <w:sz w:val="24"/>
          <w:szCs w:val="24"/>
          <w:lang w:val="en-GB"/>
        </w:rPr>
        <w:t xml:space="preserve">funded under Program BG 14 of the Norway Financial Mechanism 2009-2014. </w:t>
      </w:r>
      <w:r w:rsidRPr="0025584A">
        <w:rPr>
          <w:rFonts w:ascii="Times New Roman" w:hAnsi="Times New Roman" w:cs="Times New Roman"/>
          <w:sz w:val="24"/>
          <w:szCs w:val="24"/>
          <w:lang w:val="en-GB"/>
        </w:rPr>
        <w:t xml:space="preserve">This project has had the largest contribution for strengthening the capacity of Bulgarian magistrates in the daily application of the established standards at European level. As a result, a specialized training curriculum for magistrates on </w:t>
      </w:r>
      <w:r w:rsidRPr="0025584A">
        <w:rPr>
          <w:rFonts w:ascii="Times New Roman" w:hAnsi="Times New Roman" w:cs="Times New Roman"/>
          <w:i/>
          <w:sz w:val="24"/>
          <w:szCs w:val="24"/>
          <w:lang w:val="en-GB"/>
        </w:rPr>
        <w:t>Domestic violence</w:t>
      </w:r>
      <w:r w:rsidRPr="0025584A">
        <w:rPr>
          <w:rFonts w:ascii="Times New Roman" w:hAnsi="Times New Roman" w:cs="Times New Roman"/>
          <w:sz w:val="24"/>
          <w:szCs w:val="24"/>
          <w:lang w:val="en-GB"/>
        </w:rPr>
        <w:t xml:space="preserve"> was elaborated. It was developed jointly by Bulgarian magistrates and CoE experts, covering both international and national aspects, an overview of the relevant ECtHR case-law and the national court practice, incl. reviewing the practical issues springing from the application of the Act for Protection against Domestic Violence. </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 xml:space="preserve">A special emphasis was put on the implementation of identified best practices of the CoE member states, aimed at counteracting </w:t>
      </w:r>
      <w:r w:rsidRPr="0025584A">
        <w:rPr>
          <w:rFonts w:ascii="Times New Roman" w:hAnsi="Times New Roman" w:cs="Times New Roman"/>
          <w:i/>
          <w:sz w:val="24"/>
          <w:szCs w:val="24"/>
          <w:lang w:val="en-GB"/>
        </w:rPr>
        <w:t>all forms of discrimination and domestic violence</w:t>
      </w:r>
      <w:r w:rsidRPr="0025584A">
        <w:rPr>
          <w:rFonts w:ascii="Times New Roman" w:hAnsi="Times New Roman" w:cs="Times New Roman"/>
          <w:sz w:val="24"/>
          <w:szCs w:val="24"/>
          <w:lang w:val="en-GB"/>
        </w:rPr>
        <w:t>. Two trainings based on the newly-developed curriculum were organized by the NIJ under the above-mentioned project in 2014. 62 participants in total (48 judges, 7 prosecutors, 3 investigating magistrates and 4 officers of the Ministry of Interior) attended them.</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Additional focus was put on</w:t>
      </w:r>
      <w:r w:rsidRPr="0025584A">
        <w:rPr>
          <w:rFonts w:ascii="Times New Roman" w:hAnsi="Times New Roman" w:cs="Times New Roman"/>
          <w:i/>
          <w:sz w:val="24"/>
          <w:szCs w:val="24"/>
          <w:lang w:val="en-GB"/>
        </w:rPr>
        <w:t xml:space="preserve"> Protection against the discrimination of the rights of vulnerable groups</w:t>
      </w:r>
      <w:r w:rsidRPr="0025584A">
        <w:rPr>
          <w:rFonts w:ascii="Times New Roman" w:hAnsi="Times New Roman" w:cs="Times New Roman"/>
          <w:sz w:val="24"/>
          <w:szCs w:val="24"/>
          <w:lang w:val="en-GB"/>
        </w:rPr>
        <w:t>. In 2014-2015, the NIJ organized a series of regional trainings on the subject of “</w:t>
      </w:r>
      <w:r w:rsidRPr="0025584A">
        <w:rPr>
          <w:rFonts w:ascii="Times New Roman" w:hAnsi="Times New Roman" w:cs="Times New Roman"/>
          <w:i/>
          <w:sz w:val="24"/>
          <w:szCs w:val="24"/>
          <w:lang w:val="en-GB"/>
        </w:rPr>
        <w:t>Guarantees for the Protection against Discrimination (Article 14 and Protocol 12); Protection of the Rights of Vulnerable groups</w:t>
      </w:r>
      <w:r w:rsidRPr="0025584A">
        <w:rPr>
          <w:rFonts w:ascii="Times New Roman" w:hAnsi="Times New Roman" w:cs="Times New Roman"/>
          <w:sz w:val="24"/>
          <w:szCs w:val="24"/>
          <w:lang w:val="en-GB"/>
        </w:rPr>
        <w:t>”. The latter were attended by 61 participants (41 judges, 10 prosecutors, 3 investigating magistrates, 2 judicial assistants, 2 experts of the Ministry of Justice and 3 experts of the Ministry of Interior).</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 xml:space="preserve">In the period 2014-2017, the NIJ delivered four </w:t>
      </w:r>
      <w:r w:rsidRPr="0025584A">
        <w:rPr>
          <w:rFonts w:ascii="Times New Roman" w:hAnsi="Times New Roman" w:cs="Times New Roman"/>
          <w:i/>
          <w:sz w:val="24"/>
          <w:szCs w:val="24"/>
          <w:lang w:val="en-GB"/>
        </w:rPr>
        <w:t>e-learning courses</w:t>
      </w:r>
      <w:r w:rsidRPr="0025584A">
        <w:rPr>
          <w:rFonts w:ascii="Times New Roman" w:hAnsi="Times New Roman" w:cs="Times New Roman"/>
          <w:sz w:val="24"/>
          <w:szCs w:val="24"/>
          <w:lang w:val="en-GB"/>
        </w:rPr>
        <w:t xml:space="preserve"> for magistrates and court clerks on </w:t>
      </w:r>
      <w:r w:rsidRPr="0025584A">
        <w:rPr>
          <w:rFonts w:ascii="Times New Roman" w:hAnsi="Times New Roman" w:cs="Times New Roman"/>
          <w:i/>
          <w:sz w:val="24"/>
          <w:szCs w:val="24"/>
          <w:lang w:val="en-GB"/>
        </w:rPr>
        <w:t xml:space="preserve">“Proceedings for the imposition of protection measures against Domestic Violence” </w:t>
      </w:r>
      <w:r w:rsidRPr="0025584A">
        <w:rPr>
          <w:rFonts w:ascii="Times New Roman" w:hAnsi="Times New Roman" w:cs="Times New Roman"/>
          <w:sz w:val="24"/>
          <w:szCs w:val="24"/>
          <w:lang w:val="en-GB"/>
        </w:rPr>
        <w:t xml:space="preserve">(developed and piloted in 2012). </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 xml:space="preserve">The course covered the established national and international standards in the field of </w:t>
      </w:r>
      <w:r w:rsidRPr="0025584A">
        <w:rPr>
          <w:rFonts w:ascii="Times New Roman" w:hAnsi="Times New Roman" w:cs="Times New Roman"/>
          <w:i/>
          <w:sz w:val="24"/>
          <w:szCs w:val="24"/>
          <w:lang w:val="en-GB"/>
        </w:rPr>
        <w:t>domestic violence</w:t>
      </w:r>
      <w:r w:rsidRPr="0025584A">
        <w:rPr>
          <w:rFonts w:ascii="Times New Roman" w:hAnsi="Times New Roman" w:cs="Times New Roman"/>
          <w:sz w:val="24"/>
          <w:szCs w:val="24"/>
          <w:lang w:val="en-GB"/>
        </w:rPr>
        <w:t xml:space="preserve"> and the relevant case-law. It was also focused on practical issues related to the implementation of the Act on Protection against Domestic Violence </w:t>
      </w:r>
      <w:r w:rsidRPr="0025584A">
        <w:rPr>
          <w:rFonts w:ascii="Times New Roman" w:hAnsi="Times New Roman" w:cs="Times New Roman"/>
          <w:i/>
          <w:sz w:val="24"/>
          <w:szCs w:val="24"/>
          <w:lang w:val="en-GB"/>
        </w:rPr>
        <w:t>(both civil and criminal aspects).</w:t>
      </w:r>
      <w:r w:rsidRPr="0025584A">
        <w:rPr>
          <w:rFonts w:ascii="Times New Roman" w:hAnsi="Times New Roman" w:cs="Times New Roman"/>
          <w:sz w:val="24"/>
          <w:szCs w:val="24"/>
          <w:lang w:val="en-GB"/>
        </w:rPr>
        <w:t xml:space="preserve"> It was developed and tutored by an interdisciplinary team of trainers consisting of magistrates, a psychologist and a psychiatrist. The e-learning methodology provided for a thorough and systematic presentation of the course content and a higher level of interaction among trainees throughout the course, thus contributing to raising the effectiveness of the training. A total number of 122 participants (50 judges, 18 prosecutors, 1 investigating magistrate, 5 recordation judges, 1 state enforcement agent and 47 court clerks) successfully completed the course within the above mentioned period.  </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Pr>
          <w:rFonts w:ascii="Times New Roman" w:hAnsi="Times New Roman" w:cs="Times New Roman"/>
          <w:sz w:val="24"/>
          <w:szCs w:val="24"/>
          <w:lang w:val="en-GB"/>
        </w:rPr>
        <w:t>In 2015, in collaboration with NGOs</w:t>
      </w:r>
      <w:r w:rsidRPr="0025584A">
        <w:rPr>
          <w:rFonts w:ascii="Times New Roman" w:hAnsi="Times New Roman" w:cs="Times New Roman"/>
          <w:sz w:val="24"/>
          <w:szCs w:val="24"/>
          <w:lang w:val="en-GB"/>
        </w:rPr>
        <w:t xml:space="preserve"> and the </w:t>
      </w:r>
      <w:r>
        <w:rPr>
          <w:rFonts w:ascii="Times New Roman" w:hAnsi="Times New Roman" w:cs="Times New Roman"/>
          <w:sz w:val="24"/>
          <w:szCs w:val="24"/>
          <w:lang w:val="en-GB"/>
        </w:rPr>
        <w:t>MJ</w:t>
      </w:r>
      <w:r w:rsidRPr="0025584A">
        <w:rPr>
          <w:rFonts w:ascii="Times New Roman" w:hAnsi="Times New Roman" w:cs="Times New Roman"/>
          <w:sz w:val="24"/>
          <w:szCs w:val="24"/>
          <w:lang w:val="en-GB"/>
        </w:rPr>
        <w:t xml:space="preserve">, the NIJ organized three seminars under </w:t>
      </w:r>
      <w:r w:rsidRPr="0025584A">
        <w:rPr>
          <w:rFonts w:ascii="Times New Roman" w:hAnsi="Times New Roman" w:cs="Times New Roman"/>
          <w:i/>
          <w:sz w:val="24"/>
          <w:szCs w:val="24"/>
          <w:lang w:val="en-GB"/>
        </w:rPr>
        <w:t>the project “Application of Integral Approach in the field of Prevention and Protection against Domestic Violence; Training curricula for Magistrates and Programs for Victims’ Support”.</w:t>
      </w:r>
      <w:r w:rsidRPr="0025584A">
        <w:rPr>
          <w:rFonts w:ascii="Times New Roman" w:hAnsi="Times New Roman" w:cs="Times New Roman"/>
          <w:sz w:val="24"/>
          <w:szCs w:val="24"/>
          <w:lang w:val="en-GB"/>
        </w:rPr>
        <w:t xml:space="preserve"> These courses were developed by an interdisciplinary group of experts consisting of representatives of the court, prosecution offices, and NGOs. A total number of 54 Bulgarian magistrates (judges and prosecutors) from all over the country were trained on issues related to </w:t>
      </w:r>
      <w:r w:rsidRPr="0025584A">
        <w:rPr>
          <w:rFonts w:ascii="Times New Roman" w:hAnsi="Times New Roman" w:cs="Times New Roman"/>
          <w:i/>
          <w:sz w:val="24"/>
          <w:szCs w:val="24"/>
          <w:lang w:val="en-GB"/>
        </w:rPr>
        <w:t>domestic violence</w:t>
      </w:r>
      <w:r w:rsidRPr="0025584A">
        <w:rPr>
          <w:rFonts w:ascii="Times New Roman" w:hAnsi="Times New Roman" w:cs="Times New Roman"/>
          <w:sz w:val="24"/>
          <w:szCs w:val="24"/>
          <w:lang w:val="en-GB"/>
        </w:rPr>
        <w:t xml:space="preserve">, while the developed training materials were compiled in </w:t>
      </w:r>
      <w:r w:rsidRPr="0025584A">
        <w:rPr>
          <w:rFonts w:ascii="Times New Roman" w:hAnsi="Times New Roman" w:cs="Times New Roman"/>
          <w:i/>
          <w:sz w:val="24"/>
          <w:szCs w:val="24"/>
          <w:lang w:val="en-GB"/>
        </w:rPr>
        <w:t>the manual “Legal Aspects of Domestic Violence in Bulgaria”</w:t>
      </w:r>
      <w:r w:rsidRPr="0025584A">
        <w:rPr>
          <w:rFonts w:ascii="Times New Roman" w:hAnsi="Times New Roman" w:cs="Times New Roman"/>
          <w:sz w:val="24"/>
          <w:szCs w:val="24"/>
          <w:lang w:val="en-GB"/>
        </w:rPr>
        <w:t xml:space="preserve">. It comprised legal definitions, practical assignments </w:t>
      </w:r>
      <w:r w:rsidRPr="0025584A">
        <w:rPr>
          <w:rFonts w:ascii="Times New Roman" w:hAnsi="Times New Roman" w:cs="Times New Roman"/>
          <w:sz w:val="24"/>
          <w:szCs w:val="24"/>
          <w:lang w:val="en-GB"/>
        </w:rPr>
        <w:lastRenderedPageBreak/>
        <w:t xml:space="preserve">and European legal provisions pertaining to </w:t>
      </w:r>
      <w:r w:rsidRPr="0025584A">
        <w:rPr>
          <w:rFonts w:ascii="Times New Roman" w:hAnsi="Times New Roman" w:cs="Times New Roman"/>
          <w:i/>
          <w:sz w:val="24"/>
          <w:szCs w:val="24"/>
          <w:lang w:val="en-GB"/>
        </w:rPr>
        <w:t>domestic violence,</w:t>
      </w:r>
      <w:r w:rsidRPr="0025584A">
        <w:rPr>
          <w:rFonts w:ascii="Times New Roman" w:hAnsi="Times New Roman" w:cs="Times New Roman"/>
          <w:sz w:val="24"/>
          <w:szCs w:val="24"/>
          <w:lang w:val="en-GB"/>
        </w:rPr>
        <w:t xml:space="preserve"> and became a valuable tool in the daily work of Bulgarian justice professionals.</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 xml:space="preserve">Since 2015, the subject of </w:t>
      </w:r>
      <w:r w:rsidRPr="0025584A">
        <w:rPr>
          <w:rFonts w:ascii="Times New Roman" w:hAnsi="Times New Roman" w:cs="Times New Roman"/>
          <w:i/>
          <w:sz w:val="24"/>
          <w:szCs w:val="24"/>
          <w:lang w:val="en-GB"/>
        </w:rPr>
        <w:t xml:space="preserve">Domestic violence </w:t>
      </w:r>
      <w:r w:rsidRPr="0025584A">
        <w:rPr>
          <w:rFonts w:ascii="Times New Roman" w:hAnsi="Times New Roman" w:cs="Times New Roman"/>
          <w:sz w:val="24"/>
          <w:szCs w:val="24"/>
          <w:lang w:val="en-GB"/>
        </w:rPr>
        <w:t>also</w:t>
      </w:r>
      <w:r w:rsidRPr="0025584A">
        <w:rPr>
          <w:rFonts w:ascii="Times New Roman" w:hAnsi="Times New Roman" w:cs="Times New Roman"/>
          <w:i/>
          <w:sz w:val="24"/>
          <w:szCs w:val="24"/>
          <w:lang w:val="en-GB"/>
        </w:rPr>
        <w:t xml:space="preserve"> </w:t>
      </w:r>
      <w:r w:rsidRPr="0025584A">
        <w:rPr>
          <w:rFonts w:ascii="Times New Roman" w:hAnsi="Times New Roman" w:cs="Times New Roman"/>
          <w:sz w:val="24"/>
          <w:szCs w:val="24"/>
          <w:lang w:val="en-GB"/>
        </w:rPr>
        <w:t>falls within the NIJ Regional Training Program scope of activity.</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In 2018</w:t>
      </w:r>
      <w:r w:rsidRPr="0025584A">
        <w:rPr>
          <w:rFonts w:ascii="Times New Roman" w:hAnsi="Times New Roman" w:cs="Times New Roman"/>
          <w:i/>
          <w:sz w:val="24"/>
          <w:szCs w:val="24"/>
          <w:lang w:val="en-GB"/>
        </w:rPr>
        <w:t>,</w:t>
      </w:r>
      <w:r w:rsidRPr="0025584A">
        <w:rPr>
          <w:rFonts w:ascii="Times New Roman" w:hAnsi="Times New Roman" w:cs="Times New Roman"/>
          <w:sz w:val="24"/>
          <w:szCs w:val="24"/>
          <w:lang w:val="en-GB"/>
        </w:rPr>
        <w:t xml:space="preserve"> the NIJ developed and piloted an e-learning course on </w:t>
      </w:r>
      <w:r w:rsidRPr="0025584A">
        <w:rPr>
          <w:rFonts w:ascii="Times New Roman" w:hAnsi="Times New Roman" w:cs="Times New Roman"/>
          <w:i/>
          <w:sz w:val="24"/>
          <w:szCs w:val="24"/>
          <w:lang w:val="en-GB"/>
        </w:rPr>
        <w:t>Criminal aspects of Domestic violence /</w:t>
      </w:r>
      <w:r w:rsidRPr="0025584A">
        <w:rPr>
          <w:rFonts w:ascii="Times New Roman" w:hAnsi="Times New Roman" w:cs="Times New Roman"/>
          <w:sz w:val="24"/>
          <w:szCs w:val="24"/>
          <w:lang w:val="en-GB"/>
        </w:rPr>
        <w:t>under the project</w:t>
      </w:r>
      <w:r w:rsidRPr="0025584A">
        <w:rPr>
          <w:rFonts w:ascii="Times New Roman" w:hAnsi="Times New Roman" w:cs="Times New Roman"/>
          <w:i/>
          <w:sz w:val="24"/>
          <w:szCs w:val="24"/>
          <w:lang w:val="en-GB"/>
        </w:rPr>
        <w:t xml:space="preserve"> “Innovative Products and Services in the Training delivered by NIJ”, funded under Operational program “Good governance”</w:t>
      </w:r>
      <w:r w:rsidRPr="0025584A">
        <w:rPr>
          <w:rFonts w:ascii="Times New Roman" w:hAnsi="Times New Roman" w:cs="Times New Roman"/>
          <w:sz w:val="24"/>
          <w:szCs w:val="24"/>
          <w:lang w:val="en-GB"/>
        </w:rPr>
        <w:t xml:space="preserve"> </w:t>
      </w:r>
      <w:r w:rsidRPr="0025584A">
        <w:rPr>
          <w:rFonts w:ascii="Times New Roman" w:hAnsi="Times New Roman" w:cs="Times New Roman"/>
          <w:i/>
          <w:sz w:val="24"/>
          <w:szCs w:val="24"/>
          <w:lang w:val="en-GB"/>
        </w:rPr>
        <w:t>and co-funded by the EU/</w:t>
      </w:r>
      <w:r w:rsidRPr="0025584A">
        <w:rPr>
          <w:rFonts w:ascii="Times New Roman" w:hAnsi="Times New Roman" w:cs="Times New Roman"/>
          <w:sz w:val="24"/>
          <w:szCs w:val="24"/>
          <w:lang w:val="en-GB"/>
        </w:rPr>
        <w:t>. A team composed of academic (university instructor) and practitioner (prosecutor at the Supreme Prosecution Office of Cassation) developed the course. 38 participants (10 judges, 18 prosecutors, 2 investigating magistrates, 6 court clerks and 2 officers of the Ministry of Interior) graduated the training.</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 xml:space="preserve">Certain aspects of Gender-based Violence are covered also in the curriculum of other trainings organized by the NIJ and falling within the continuing qualification of magistrates’ scope of activity. Issues, such as </w:t>
      </w:r>
      <w:r w:rsidRPr="0025584A">
        <w:rPr>
          <w:rFonts w:ascii="Times New Roman" w:hAnsi="Times New Roman" w:cs="Times New Roman"/>
          <w:i/>
          <w:sz w:val="24"/>
          <w:szCs w:val="24"/>
          <w:lang w:val="en-GB"/>
        </w:rPr>
        <w:t>domestic violence and sexual abuse</w:t>
      </w:r>
      <w:r w:rsidRPr="0025584A">
        <w:rPr>
          <w:rFonts w:ascii="Times New Roman" w:hAnsi="Times New Roman" w:cs="Times New Roman"/>
          <w:sz w:val="24"/>
          <w:szCs w:val="24"/>
          <w:lang w:val="en-GB"/>
        </w:rPr>
        <w:t xml:space="preserve"> and </w:t>
      </w:r>
      <w:r w:rsidRPr="0025584A">
        <w:rPr>
          <w:rFonts w:ascii="Times New Roman" w:hAnsi="Times New Roman" w:cs="Times New Roman"/>
          <w:i/>
          <w:sz w:val="24"/>
          <w:szCs w:val="24"/>
          <w:lang w:val="en-GB"/>
        </w:rPr>
        <w:t>sex discrimination</w:t>
      </w:r>
      <w:r w:rsidRPr="0025584A">
        <w:rPr>
          <w:rFonts w:ascii="Times New Roman" w:hAnsi="Times New Roman" w:cs="Times New Roman"/>
          <w:sz w:val="24"/>
          <w:szCs w:val="24"/>
          <w:lang w:val="en-GB"/>
        </w:rPr>
        <w:t xml:space="preserve"> are examined thoroughly in the </w:t>
      </w:r>
      <w:r w:rsidRPr="0025584A">
        <w:rPr>
          <w:rFonts w:ascii="Times New Roman" w:hAnsi="Times New Roman" w:cs="Times New Roman"/>
          <w:i/>
          <w:sz w:val="24"/>
          <w:szCs w:val="24"/>
          <w:lang w:val="en-GB"/>
        </w:rPr>
        <w:t>HELP e-learning course on Family law and Human rights</w:t>
      </w:r>
      <w:r w:rsidRPr="0025584A">
        <w:rPr>
          <w:rFonts w:ascii="Times New Roman" w:hAnsi="Times New Roman" w:cs="Times New Roman"/>
          <w:sz w:val="24"/>
          <w:szCs w:val="24"/>
          <w:lang w:val="en-GB"/>
        </w:rPr>
        <w:t xml:space="preserve"> (adapted and carried out for Bulgarian magistrates on an annual basis in 2014-2016 and completed successfully by a totality of 53 participants, including 31 judges, 4 prosecutors, 3 state enforcement agents, 1 recordation judge and 14 court clerks). Questions pertaining to </w:t>
      </w:r>
      <w:r w:rsidRPr="0025584A">
        <w:rPr>
          <w:rFonts w:ascii="Times New Roman" w:hAnsi="Times New Roman" w:cs="Times New Roman"/>
          <w:i/>
          <w:sz w:val="24"/>
          <w:szCs w:val="24"/>
          <w:lang w:val="en-GB"/>
        </w:rPr>
        <w:t>discrimination on the grounds of sexual orientation and gender identity</w:t>
      </w:r>
      <w:r w:rsidRPr="0025584A">
        <w:rPr>
          <w:rFonts w:ascii="Times New Roman" w:hAnsi="Times New Roman" w:cs="Times New Roman"/>
          <w:sz w:val="24"/>
          <w:szCs w:val="24"/>
          <w:lang w:val="en-GB"/>
        </w:rPr>
        <w:t xml:space="preserve"> are considered in detail in the curriculum of the </w:t>
      </w:r>
      <w:r w:rsidRPr="0025584A">
        <w:rPr>
          <w:rFonts w:ascii="Times New Roman" w:hAnsi="Times New Roman" w:cs="Times New Roman"/>
          <w:i/>
          <w:sz w:val="24"/>
          <w:szCs w:val="24"/>
          <w:lang w:val="en-GB"/>
        </w:rPr>
        <w:t>HELP course on Antidiscrimination</w:t>
      </w:r>
      <w:r w:rsidRPr="0025584A">
        <w:rPr>
          <w:rFonts w:ascii="Times New Roman" w:hAnsi="Times New Roman" w:cs="Times New Roman"/>
          <w:sz w:val="24"/>
          <w:szCs w:val="24"/>
          <w:lang w:val="en-GB"/>
        </w:rPr>
        <w:t xml:space="preserve"> (offered to justice professionals in three editions within the period 2015-2017 and completed by 74 trainees, including 48 judges, 6 prosecutors, 3 state enforcement agents, 2 recordation judges and 15 court clerks). Both HELP e-learning courses are integrated in the NIJ curriculum for subsequent delivery in the continuing training of magistrates. Whenever possible, they are organized for mixed groups of participants for the purpose of bettering the collaboration and the exchange of best practices between the different groups of professionals. </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 xml:space="preserve">A series of trainings on Financial investigation and Trafficking in Human beings (especially involving women and girls) were developed and implemented at the end of 2013 by the NIJ and the Dutch Training and Study Centre for the Judiciary under </w:t>
      </w:r>
      <w:r w:rsidRPr="0025584A">
        <w:rPr>
          <w:rFonts w:ascii="Times New Roman" w:hAnsi="Times New Roman" w:cs="Times New Roman"/>
          <w:i/>
          <w:sz w:val="24"/>
          <w:szCs w:val="24"/>
          <w:lang w:val="en-GB"/>
        </w:rPr>
        <w:t>the EU funded project “Bulgarian Law-enforcement and Judicial Chain in the Field of Human Trafficking focused on Financial investigation and Asset recovery”.</w:t>
      </w:r>
      <w:r w:rsidRPr="0025584A">
        <w:rPr>
          <w:rFonts w:ascii="Times New Roman" w:hAnsi="Times New Roman" w:cs="Times New Roman"/>
          <w:sz w:val="24"/>
          <w:szCs w:val="24"/>
          <w:lang w:val="en-GB"/>
        </w:rPr>
        <w:t xml:space="preserve"> Though the course content emphasis was placed on </w:t>
      </w:r>
      <w:r w:rsidRPr="0025584A">
        <w:rPr>
          <w:rFonts w:ascii="Times New Roman" w:hAnsi="Times New Roman" w:cs="Times New Roman"/>
          <w:i/>
          <w:sz w:val="24"/>
          <w:szCs w:val="24"/>
          <w:lang w:val="en-GB"/>
        </w:rPr>
        <w:t>financial investigation and seizure</w:t>
      </w:r>
      <w:r w:rsidRPr="0025584A">
        <w:rPr>
          <w:rFonts w:ascii="Times New Roman" w:hAnsi="Times New Roman" w:cs="Times New Roman"/>
          <w:sz w:val="24"/>
          <w:szCs w:val="24"/>
          <w:lang w:val="en-GB"/>
        </w:rPr>
        <w:t xml:space="preserve"> it also paid attention to some important issues of </w:t>
      </w:r>
      <w:r w:rsidRPr="0025584A">
        <w:rPr>
          <w:rFonts w:ascii="Times New Roman" w:hAnsi="Times New Roman" w:cs="Times New Roman"/>
          <w:i/>
          <w:sz w:val="24"/>
          <w:szCs w:val="24"/>
          <w:lang w:val="en-GB"/>
        </w:rPr>
        <w:t>Gender-based violence</w:t>
      </w:r>
      <w:r w:rsidRPr="0025584A">
        <w:rPr>
          <w:rFonts w:ascii="Times New Roman" w:hAnsi="Times New Roman" w:cs="Times New Roman"/>
          <w:sz w:val="24"/>
          <w:szCs w:val="24"/>
          <w:lang w:val="en-GB"/>
        </w:rPr>
        <w:t xml:space="preserve">. These trainings were organized for Bulgarian magistrates and attended by 35 participants (12 judges, 10 prosecutors, 10 investigating magistrates and 3 experts at the State Agency for National Security). A specialized Train the Trainer course </w:t>
      </w:r>
      <w:r w:rsidRPr="0025584A">
        <w:rPr>
          <w:rFonts w:ascii="Times New Roman" w:hAnsi="Times New Roman" w:cs="Times New Roman"/>
          <w:i/>
          <w:sz w:val="24"/>
          <w:szCs w:val="24"/>
          <w:lang w:val="en-GB"/>
        </w:rPr>
        <w:t xml:space="preserve">focused on investigation of financial crimes related to trafficking in human beings </w:t>
      </w:r>
      <w:r w:rsidRPr="0025584A">
        <w:rPr>
          <w:rFonts w:ascii="Times New Roman" w:hAnsi="Times New Roman" w:cs="Times New Roman"/>
          <w:sz w:val="24"/>
          <w:szCs w:val="24"/>
          <w:lang w:val="en-GB"/>
        </w:rPr>
        <w:t>was also organized under the project. A totality of 19 trainers was trained (7 judges, including also a judge at the Specialized Criminal court, 6 prosecutors and 6 experts at the State Agency for National Security).</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 xml:space="preserve">Issues pertaining to Gender-based Violence are included in the curriculum of the compulsory initial training of the candidates for junior judges and the candidates for junior prosecutors. </w:t>
      </w:r>
      <w:r w:rsidRPr="0025584A">
        <w:rPr>
          <w:rFonts w:ascii="Times New Roman" w:hAnsi="Times New Roman" w:cs="Times New Roman"/>
          <w:i/>
          <w:sz w:val="24"/>
          <w:szCs w:val="24"/>
          <w:lang w:val="en-GB"/>
        </w:rPr>
        <w:t>The proceedings for the imposition of protection measures against domestic violence</w:t>
      </w:r>
      <w:r w:rsidRPr="0025584A">
        <w:rPr>
          <w:rFonts w:ascii="Times New Roman" w:hAnsi="Times New Roman" w:cs="Times New Roman"/>
          <w:sz w:val="24"/>
          <w:szCs w:val="24"/>
          <w:lang w:val="en-GB"/>
        </w:rPr>
        <w:t xml:space="preserve"> are presented as a separate topic within the training module on Family law for the candidates of junior judges, while 12 astronomical hours of the training curriculum of the candidates for junior investigators are dedicated to the topic</w:t>
      </w:r>
      <w:r w:rsidRPr="0025584A">
        <w:rPr>
          <w:rFonts w:ascii="Times New Roman" w:hAnsi="Times New Roman" w:cs="Times New Roman"/>
          <w:i/>
          <w:sz w:val="24"/>
          <w:szCs w:val="24"/>
          <w:lang w:val="en-GB"/>
        </w:rPr>
        <w:t xml:space="preserve"> “Trafficking in Human Beings”</w:t>
      </w:r>
      <w:r w:rsidRPr="0025584A">
        <w:rPr>
          <w:rFonts w:ascii="Times New Roman" w:hAnsi="Times New Roman" w:cs="Times New Roman"/>
          <w:sz w:val="24"/>
          <w:szCs w:val="24"/>
          <w:lang w:val="en-GB"/>
        </w:rPr>
        <w:t xml:space="preserve"> with focus on </w:t>
      </w:r>
      <w:r w:rsidRPr="0025584A">
        <w:rPr>
          <w:rFonts w:ascii="Times New Roman" w:hAnsi="Times New Roman" w:cs="Times New Roman"/>
          <w:i/>
          <w:sz w:val="24"/>
          <w:szCs w:val="24"/>
          <w:lang w:val="en-GB"/>
        </w:rPr>
        <w:t>the illegal trafficking of women for sexual exploitation</w:t>
      </w:r>
      <w:r w:rsidRPr="0025584A">
        <w:rPr>
          <w:rFonts w:ascii="Times New Roman" w:hAnsi="Times New Roman" w:cs="Times New Roman"/>
          <w:sz w:val="24"/>
          <w:szCs w:val="24"/>
          <w:lang w:val="en-GB"/>
        </w:rPr>
        <w:t>.</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lastRenderedPageBreak/>
        <w:t xml:space="preserve">Until 2017 a module on </w:t>
      </w:r>
      <w:r w:rsidRPr="0025584A">
        <w:rPr>
          <w:rFonts w:ascii="Times New Roman" w:hAnsi="Times New Roman" w:cs="Times New Roman"/>
          <w:i/>
          <w:sz w:val="24"/>
          <w:szCs w:val="24"/>
          <w:lang w:val="en-GB"/>
        </w:rPr>
        <w:t xml:space="preserve">Trafficking in Human Beings </w:t>
      </w:r>
      <w:r w:rsidRPr="0025584A">
        <w:rPr>
          <w:rFonts w:ascii="Times New Roman" w:hAnsi="Times New Roman" w:cs="Times New Roman"/>
          <w:sz w:val="24"/>
          <w:szCs w:val="24"/>
          <w:lang w:val="en-GB"/>
        </w:rPr>
        <w:t>was presented as part of the training curriculum of the candidates for junior judges and the candidates for junior prosecutors, but due to the fact that such cases fall within the jurisdiction of district courts.</w:t>
      </w:r>
    </w:p>
    <w:p w:rsidR="0025584A" w:rsidRPr="0025584A" w:rsidRDefault="0025584A" w:rsidP="002558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 xml:space="preserve">Over the last decade ERA has run two series of seminars on Gender Equality Law and Anti-discrimination Law with a focus on </w:t>
      </w:r>
      <w:hyperlink r:id="rId7" w:tgtFrame="_blank" w:history="1">
        <w:r w:rsidRPr="0025584A">
          <w:rPr>
            <w:rStyle w:val="Hyperlink"/>
            <w:rFonts w:ascii="Times New Roman" w:hAnsi="Times New Roman" w:cs="Times New Roman"/>
            <w:sz w:val="24"/>
            <w:szCs w:val="24"/>
            <w:lang w:val="en-GB"/>
          </w:rPr>
          <w:t>Directive 2000/43</w:t>
        </w:r>
      </w:hyperlink>
      <w:r w:rsidRPr="0025584A">
        <w:rPr>
          <w:rFonts w:ascii="Times New Roman" w:hAnsi="Times New Roman" w:cs="Times New Roman"/>
          <w:sz w:val="24"/>
          <w:szCs w:val="24"/>
          <w:lang w:val="en-GB"/>
        </w:rPr>
        <w:t xml:space="preserve"> that prohibits all forms of discrimination based on race or ethnic origin and on </w:t>
      </w:r>
      <w:hyperlink r:id="rId8" w:tgtFrame="_blank" w:history="1">
        <w:r w:rsidRPr="0025584A">
          <w:rPr>
            <w:rStyle w:val="Hyperlink"/>
            <w:rFonts w:ascii="Times New Roman" w:hAnsi="Times New Roman" w:cs="Times New Roman"/>
            <w:sz w:val="24"/>
            <w:szCs w:val="24"/>
            <w:lang w:val="en-GB"/>
          </w:rPr>
          <w:t>Directive 2000/78</w:t>
        </w:r>
      </w:hyperlink>
      <w:r w:rsidRPr="0025584A">
        <w:rPr>
          <w:rFonts w:ascii="Times New Roman" w:hAnsi="Times New Roman" w:cs="Times New Roman"/>
          <w:sz w:val="24"/>
          <w:szCs w:val="24"/>
          <w:lang w:val="en-GB"/>
        </w:rPr>
        <w:t xml:space="preserve"> that prohibits all forms of discrimination in employment and occupation based on religion or convictions, handicap, age and sexual orientation. The majority of those seminars addressed the judiciary from all EU Member States. 72 Bulgarian judges and prosecutors took part in those venues.</w:t>
      </w:r>
    </w:p>
    <w:p w:rsidR="0025584A" w:rsidRDefault="0025584A" w:rsidP="0093664A">
      <w:pPr>
        <w:spacing w:after="120" w:line="240" w:lineRule="auto"/>
        <w:ind w:firstLine="425"/>
        <w:jc w:val="both"/>
        <w:rPr>
          <w:rFonts w:ascii="Times New Roman" w:hAnsi="Times New Roman" w:cs="Times New Roman"/>
          <w:sz w:val="24"/>
          <w:szCs w:val="24"/>
          <w:lang w:val="en-GB"/>
        </w:rPr>
      </w:pPr>
      <w:r w:rsidRPr="0025584A">
        <w:rPr>
          <w:rFonts w:ascii="Times New Roman" w:hAnsi="Times New Roman" w:cs="Times New Roman"/>
          <w:sz w:val="24"/>
          <w:szCs w:val="24"/>
          <w:lang w:val="en-GB"/>
        </w:rPr>
        <w:t xml:space="preserve">Since both series are coming to an end in December 2018, the European Commission has published a new call for tenders aiming at continuing the project. The </w:t>
      </w:r>
      <w:r>
        <w:rPr>
          <w:rFonts w:ascii="Times New Roman" w:hAnsi="Times New Roman" w:cs="Times New Roman"/>
          <w:sz w:val="24"/>
          <w:szCs w:val="24"/>
          <w:lang w:val="en-GB"/>
        </w:rPr>
        <w:t>NIJ</w:t>
      </w:r>
      <w:r w:rsidRPr="0025584A">
        <w:rPr>
          <w:rFonts w:ascii="Times New Roman" w:hAnsi="Times New Roman" w:cs="Times New Roman"/>
          <w:sz w:val="24"/>
          <w:szCs w:val="24"/>
          <w:lang w:val="en-GB"/>
        </w:rPr>
        <w:t xml:space="preserve"> has recently supported ERA with a partnership declaration and declared its willingness to host a seminar on antidiscrimination in Bulgaria in 2020.</w:t>
      </w:r>
    </w:p>
    <w:p w:rsidR="0093664A" w:rsidRPr="0093664A" w:rsidRDefault="0093664A" w:rsidP="0093664A">
      <w:pPr>
        <w:spacing w:after="120" w:line="240" w:lineRule="auto"/>
        <w:ind w:firstLine="425"/>
        <w:jc w:val="both"/>
        <w:rPr>
          <w:rFonts w:ascii="Times New Roman" w:hAnsi="Times New Roman" w:cs="Times New Roman"/>
          <w:sz w:val="24"/>
          <w:szCs w:val="24"/>
          <w:lang w:val="en-GB"/>
        </w:rPr>
      </w:pPr>
      <w:r w:rsidRPr="0093664A">
        <w:rPr>
          <w:rFonts w:ascii="Times New Roman" w:hAnsi="Times New Roman" w:cs="Times New Roman"/>
          <w:sz w:val="24"/>
          <w:szCs w:val="24"/>
          <w:lang w:val="en-GB"/>
        </w:rPr>
        <w:t>Additionally</w:t>
      </w:r>
      <w:r w:rsidRPr="0093664A">
        <w:rPr>
          <w:rFonts w:ascii="Times New Roman" w:hAnsi="Times New Roman" w:cs="Times New Roman"/>
          <w:b/>
          <w:sz w:val="24"/>
          <w:szCs w:val="24"/>
          <w:lang w:val="en-GB"/>
        </w:rPr>
        <w:t xml:space="preserve">, </w:t>
      </w:r>
      <w:r w:rsidRPr="0093664A">
        <w:rPr>
          <w:rFonts w:ascii="Times New Roman" w:hAnsi="Times New Roman" w:cs="Times New Roman"/>
          <w:sz w:val="24"/>
          <w:szCs w:val="24"/>
          <w:lang w:val="en-GB"/>
        </w:rPr>
        <w:t xml:space="preserve"> in the period 2018 – 2020 the OSCE in partnership with the Institute for Police Education at Linnaeus University and in co-ordination with the OSCE Gender Section &amp; ODIHR is implementing an EU co-funded </w:t>
      </w:r>
      <w:r w:rsidRPr="0093664A">
        <w:rPr>
          <w:rFonts w:ascii="Times New Roman" w:hAnsi="Times New Roman" w:cs="Times New Roman"/>
          <w:i/>
          <w:sz w:val="24"/>
          <w:szCs w:val="24"/>
          <w:lang w:val="en-GB"/>
        </w:rPr>
        <w:t>project “Effective Criminal Justice Strategies and Practices to Combat Gender-based Violence in Eastern Europe”</w:t>
      </w:r>
      <w:r w:rsidRPr="0093664A">
        <w:rPr>
          <w:rFonts w:ascii="Times New Roman" w:hAnsi="Times New Roman" w:cs="Times New Roman"/>
          <w:sz w:val="24"/>
          <w:szCs w:val="24"/>
          <w:lang w:val="en-GB"/>
        </w:rPr>
        <w:t xml:space="preserve"> in Bulgaria, Hungary and Romania. </w:t>
      </w:r>
    </w:p>
    <w:p w:rsidR="0093664A" w:rsidRPr="0093664A" w:rsidRDefault="0093664A" w:rsidP="0093664A">
      <w:pPr>
        <w:spacing w:after="120" w:line="240" w:lineRule="auto"/>
        <w:ind w:firstLine="425"/>
        <w:jc w:val="both"/>
        <w:rPr>
          <w:rFonts w:ascii="Times New Roman" w:hAnsi="Times New Roman" w:cs="Times New Roman"/>
          <w:sz w:val="24"/>
          <w:szCs w:val="24"/>
          <w:lang w:val="en-GB"/>
        </w:rPr>
      </w:pPr>
      <w:r w:rsidRPr="0093664A">
        <w:rPr>
          <w:rFonts w:ascii="Times New Roman" w:hAnsi="Times New Roman" w:cs="Times New Roman"/>
          <w:sz w:val="24"/>
          <w:szCs w:val="24"/>
          <w:lang w:val="en-GB"/>
        </w:rPr>
        <w:t>The project is aimed at enhancing the responsiveness, professional knowledge, skills and technical capacities of criminal justice practitioners, in particular first responder police officers, investigators and prosecutors in addressing GBV, thus contributing to an increased public trust in the criminal justice system response and subsequently an expected higher l</w:t>
      </w:r>
      <w:r>
        <w:rPr>
          <w:rFonts w:ascii="Times New Roman" w:hAnsi="Times New Roman" w:cs="Times New Roman"/>
          <w:sz w:val="24"/>
          <w:szCs w:val="24"/>
          <w:lang w:val="en-GB"/>
        </w:rPr>
        <w:t>evel of reporting of GBV cases.</w:t>
      </w:r>
    </w:p>
    <w:p w:rsidR="0093664A" w:rsidRPr="0093664A" w:rsidRDefault="0093664A" w:rsidP="0093664A">
      <w:pPr>
        <w:spacing w:after="120" w:line="240" w:lineRule="auto"/>
        <w:ind w:firstLine="425"/>
        <w:jc w:val="both"/>
        <w:rPr>
          <w:rFonts w:ascii="Times New Roman" w:hAnsi="Times New Roman" w:cs="Times New Roman"/>
          <w:sz w:val="24"/>
          <w:szCs w:val="24"/>
          <w:lang w:val="en-GB"/>
        </w:rPr>
      </w:pPr>
      <w:r w:rsidRPr="0093664A">
        <w:rPr>
          <w:rFonts w:ascii="Times New Roman" w:hAnsi="Times New Roman" w:cs="Times New Roman"/>
          <w:sz w:val="24"/>
          <w:szCs w:val="24"/>
          <w:lang w:val="en-GB"/>
        </w:rPr>
        <w:t xml:space="preserve">Under the new program cycle of the Norwegian Financial Mechanism 2014-2021, NIJ is a promoter of a pre-defined project focused on </w:t>
      </w:r>
      <w:r w:rsidRPr="0093664A">
        <w:rPr>
          <w:rFonts w:ascii="Times New Roman" w:hAnsi="Times New Roman" w:cs="Times New Roman"/>
          <w:b/>
          <w:sz w:val="24"/>
          <w:szCs w:val="24"/>
          <w:lang w:val="en-GB"/>
        </w:rPr>
        <w:t>Domestic Violence</w:t>
      </w:r>
      <w:r w:rsidRPr="0093664A">
        <w:rPr>
          <w:rFonts w:ascii="Times New Roman" w:hAnsi="Times New Roman" w:cs="Times New Roman"/>
          <w:sz w:val="24"/>
          <w:szCs w:val="24"/>
          <w:lang w:val="en-GB"/>
        </w:rPr>
        <w:t xml:space="preserve"> – </w:t>
      </w:r>
      <w:r w:rsidRPr="0093664A">
        <w:rPr>
          <w:rFonts w:ascii="Times New Roman" w:hAnsi="Times New Roman" w:cs="Times New Roman"/>
          <w:b/>
          <w:i/>
          <w:sz w:val="24"/>
          <w:szCs w:val="24"/>
          <w:lang w:val="en-GB"/>
        </w:rPr>
        <w:t>“Preventing and Combating Violence against Women and Domestic Violence”</w:t>
      </w:r>
      <w:r w:rsidRPr="0093664A">
        <w:rPr>
          <w:rFonts w:ascii="Times New Roman" w:hAnsi="Times New Roman" w:cs="Times New Roman"/>
          <w:sz w:val="24"/>
          <w:szCs w:val="24"/>
          <w:lang w:val="en-GB"/>
        </w:rPr>
        <w:t xml:space="preserve">. The project will be implemented by NIJ in collaboration with the </w:t>
      </w:r>
      <w:r>
        <w:rPr>
          <w:rFonts w:ascii="Times New Roman" w:hAnsi="Times New Roman" w:cs="Times New Roman"/>
          <w:sz w:val="24"/>
          <w:szCs w:val="24"/>
          <w:lang w:val="en-GB"/>
        </w:rPr>
        <w:t>MJ</w:t>
      </w:r>
      <w:r w:rsidRPr="0093664A">
        <w:rPr>
          <w:rFonts w:ascii="Times New Roman" w:hAnsi="Times New Roman" w:cs="Times New Roman"/>
          <w:sz w:val="24"/>
          <w:szCs w:val="24"/>
          <w:lang w:val="en-GB"/>
        </w:rPr>
        <w:t xml:space="preserve"> for a period of 4 years. Its budget amounts to 250 000 Euro.</w:t>
      </w:r>
    </w:p>
    <w:p w:rsidR="0093664A" w:rsidRPr="0093664A" w:rsidRDefault="0093664A" w:rsidP="0093664A">
      <w:pPr>
        <w:spacing w:after="120" w:line="240" w:lineRule="auto"/>
        <w:ind w:firstLine="425"/>
        <w:jc w:val="both"/>
        <w:rPr>
          <w:rFonts w:ascii="Times New Roman" w:hAnsi="Times New Roman" w:cs="Times New Roman"/>
          <w:bCs/>
          <w:sz w:val="24"/>
          <w:szCs w:val="24"/>
          <w:lang w:val="en-GB"/>
        </w:rPr>
      </w:pPr>
      <w:r w:rsidRPr="0093664A">
        <w:rPr>
          <w:rFonts w:ascii="Times New Roman" w:hAnsi="Times New Roman" w:cs="Times New Roman"/>
          <w:sz w:val="24"/>
          <w:szCs w:val="24"/>
          <w:lang w:val="en-GB"/>
        </w:rPr>
        <w:t>The project focuses on strengthening the capacity of Bulgarian authorities (laying an emphasis on reinforcement of the capacity of the justice professionals as NIJ main target group) to comply with the institutional practices and European standards in the area of Domestic and Gender-based Violence.</w:t>
      </w:r>
    </w:p>
    <w:p w:rsidR="0093664A" w:rsidRPr="0093664A" w:rsidRDefault="0093664A" w:rsidP="0093664A">
      <w:pPr>
        <w:spacing w:after="120" w:line="240" w:lineRule="auto"/>
        <w:ind w:firstLine="425"/>
        <w:jc w:val="both"/>
        <w:rPr>
          <w:rFonts w:ascii="Times New Roman" w:hAnsi="Times New Roman" w:cs="Times New Roman"/>
          <w:bCs/>
          <w:sz w:val="24"/>
          <w:szCs w:val="24"/>
          <w:lang w:val="en-GB"/>
        </w:rPr>
      </w:pPr>
      <w:r w:rsidRPr="0093664A">
        <w:rPr>
          <w:rFonts w:ascii="Times New Roman" w:hAnsi="Times New Roman" w:cs="Times New Roman"/>
          <w:bCs/>
          <w:sz w:val="24"/>
          <w:szCs w:val="24"/>
          <w:lang w:val="en-GB"/>
        </w:rPr>
        <w:t>In the course of the implementation of the extended EASO Special Support Plan to Bulgaria, in the fall of 2018, the NIJ and EASO are jointly planning a study visit to an EU-member country. Target administrative courts, identified by the partners, are due to specify the practical issues, to be discussed during the visit, while EASO will designate foreign experts to act as trainers and proceed with the adaptation of the training materials.</w:t>
      </w:r>
    </w:p>
    <w:p w:rsidR="0093664A" w:rsidRPr="0093664A" w:rsidRDefault="0093664A" w:rsidP="0093664A">
      <w:pPr>
        <w:spacing w:after="120" w:line="240" w:lineRule="auto"/>
        <w:ind w:firstLine="425"/>
        <w:jc w:val="both"/>
        <w:rPr>
          <w:rFonts w:ascii="Times New Roman" w:hAnsi="Times New Roman" w:cs="Times New Roman"/>
          <w:bCs/>
          <w:sz w:val="24"/>
          <w:szCs w:val="24"/>
          <w:lang w:val="en-GB"/>
        </w:rPr>
      </w:pPr>
      <w:r w:rsidRPr="0093664A">
        <w:rPr>
          <w:rFonts w:ascii="Times New Roman" w:hAnsi="Times New Roman" w:cs="Times New Roman"/>
          <w:sz w:val="24"/>
          <w:szCs w:val="24"/>
          <w:lang w:val="en-GB"/>
        </w:rPr>
        <w:t xml:space="preserve">Furthermore, </w:t>
      </w:r>
      <w:r w:rsidRPr="0093664A">
        <w:rPr>
          <w:rFonts w:ascii="Times New Roman" w:hAnsi="Times New Roman" w:cs="Times New Roman"/>
          <w:bCs/>
          <w:sz w:val="24"/>
          <w:szCs w:val="24"/>
          <w:lang w:val="en-GB"/>
        </w:rPr>
        <w:t>an international project “Honour Ambass</w:t>
      </w:r>
      <w:r>
        <w:rPr>
          <w:rFonts w:ascii="Times New Roman" w:hAnsi="Times New Roman" w:cs="Times New Roman"/>
          <w:bCs/>
          <w:sz w:val="24"/>
          <w:szCs w:val="24"/>
          <w:lang w:val="en-GB"/>
        </w:rPr>
        <w:t>adors against Shame Practices”</w:t>
      </w:r>
      <w:r w:rsidRPr="0093664A">
        <w:rPr>
          <w:rFonts w:ascii="Times New Roman" w:hAnsi="Times New Roman" w:cs="Times New Roman"/>
          <w:bCs/>
          <w:sz w:val="24"/>
          <w:szCs w:val="24"/>
          <w:lang w:val="en-GB"/>
        </w:rPr>
        <w:t>, involving a multi-disciplinary consortium from Italy, Bulgaria, Greece, Spain and Britain, intended was conducted, aiming at identifying and sharing good practices in the prevention and combating of violent practices (early marriages and the so-called ‘honour crimes’).</w:t>
      </w:r>
    </w:p>
    <w:p w:rsidR="004B74B8" w:rsidRPr="006D1EFE" w:rsidRDefault="0093664A" w:rsidP="0093664A">
      <w:pPr>
        <w:spacing w:after="120" w:line="240" w:lineRule="auto"/>
        <w:ind w:firstLine="425"/>
        <w:jc w:val="both"/>
        <w:rPr>
          <w:rFonts w:ascii="Times New Roman" w:hAnsi="Times New Roman" w:cs="Times New Roman"/>
          <w:sz w:val="24"/>
          <w:szCs w:val="24"/>
        </w:rPr>
      </w:pPr>
      <w:r w:rsidRPr="0093664A">
        <w:rPr>
          <w:rFonts w:ascii="Times New Roman" w:hAnsi="Times New Roman" w:cs="Times New Roman"/>
          <w:bCs/>
          <w:sz w:val="24"/>
          <w:szCs w:val="24"/>
          <w:lang w:val="en-GB"/>
        </w:rPr>
        <w:t xml:space="preserve">The MI, jointly with </w:t>
      </w:r>
      <w:r>
        <w:rPr>
          <w:rFonts w:ascii="Times New Roman" w:hAnsi="Times New Roman" w:cs="Times New Roman"/>
          <w:bCs/>
          <w:sz w:val="24"/>
          <w:szCs w:val="24"/>
          <w:lang w:val="en-GB"/>
        </w:rPr>
        <w:t>NGOs</w:t>
      </w:r>
      <w:r w:rsidRPr="0093664A">
        <w:rPr>
          <w:rFonts w:ascii="Times New Roman" w:hAnsi="Times New Roman" w:cs="Times New Roman"/>
          <w:bCs/>
          <w:sz w:val="24"/>
          <w:szCs w:val="24"/>
          <w:lang w:val="en-GB"/>
        </w:rPr>
        <w:t>, organised 18 trainings with 404 participants, of which 7 were conducted at police departments in the City of Sofia, the Region of Sofia, the City of Pernik, the City of Pleven, the City of Ruse and the City of Silistra (November – December 2017) and the City of Plovdiv (March 2018). A total of 307 police officers were trained.</w:t>
      </w:r>
      <w:bookmarkStart w:id="0" w:name="_GoBack"/>
      <w:bookmarkEnd w:id="0"/>
    </w:p>
    <w:sectPr w:rsidR="004B74B8" w:rsidRPr="006D1EFE" w:rsidSect="0025584A">
      <w:pgSz w:w="12240" w:h="15840"/>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C88" w:rsidRDefault="00B77C88" w:rsidP="000F6FE8">
      <w:pPr>
        <w:spacing w:after="0" w:line="240" w:lineRule="auto"/>
      </w:pPr>
      <w:r>
        <w:separator/>
      </w:r>
    </w:p>
  </w:endnote>
  <w:endnote w:type="continuationSeparator" w:id="0">
    <w:p w:rsidR="00B77C88" w:rsidRDefault="00B77C88" w:rsidP="000F6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C88" w:rsidRDefault="00B77C88" w:rsidP="000F6FE8">
      <w:pPr>
        <w:spacing w:after="0" w:line="240" w:lineRule="auto"/>
      </w:pPr>
      <w:r>
        <w:separator/>
      </w:r>
    </w:p>
  </w:footnote>
  <w:footnote w:type="continuationSeparator" w:id="0">
    <w:p w:rsidR="00B77C88" w:rsidRDefault="00B77C88" w:rsidP="000F6F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046E3"/>
    <w:multiLevelType w:val="hybridMultilevel"/>
    <w:tmpl w:val="5726C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AF719B"/>
    <w:multiLevelType w:val="hybridMultilevel"/>
    <w:tmpl w:val="86C26736"/>
    <w:lvl w:ilvl="0" w:tplc="04020003">
      <w:start w:val="1"/>
      <w:numFmt w:val="bullet"/>
      <w:lvlText w:val="o"/>
      <w:lvlJc w:val="left"/>
      <w:pPr>
        <w:ind w:left="1854" w:hanging="360"/>
      </w:pPr>
      <w:rPr>
        <w:rFonts w:ascii="Courier New" w:hAnsi="Courier New" w:cs="Courier New"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2" w15:restartNumberingAfterBreak="0">
    <w:nsid w:val="7FEB2EE7"/>
    <w:multiLevelType w:val="hybridMultilevel"/>
    <w:tmpl w:val="36CCBB8E"/>
    <w:lvl w:ilvl="0" w:tplc="04020001">
      <w:start w:val="1"/>
      <w:numFmt w:val="bullet"/>
      <w:lvlText w:val=""/>
      <w:lvlJc w:val="left"/>
      <w:pPr>
        <w:ind w:left="1381" w:hanging="360"/>
      </w:pPr>
      <w:rPr>
        <w:rFonts w:ascii="Symbol" w:hAnsi="Symbol" w:hint="default"/>
      </w:rPr>
    </w:lvl>
    <w:lvl w:ilvl="1" w:tplc="04020003" w:tentative="1">
      <w:start w:val="1"/>
      <w:numFmt w:val="bullet"/>
      <w:lvlText w:val="o"/>
      <w:lvlJc w:val="left"/>
      <w:pPr>
        <w:ind w:left="2101" w:hanging="360"/>
      </w:pPr>
      <w:rPr>
        <w:rFonts w:ascii="Courier New" w:hAnsi="Courier New" w:cs="Courier New" w:hint="default"/>
      </w:rPr>
    </w:lvl>
    <w:lvl w:ilvl="2" w:tplc="04020005" w:tentative="1">
      <w:start w:val="1"/>
      <w:numFmt w:val="bullet"/>
      <w:lvlText w:val=""/>
      <w:lvlJc w:val="left"/>
      <w:pPr>
        <w:ind w:left="2821" w:hanging="360"/>
      </w:pPr>
      <w:rPr>
        <w:rFonts w:ascii="Wingdings" w:hAnsi="Wingdings" w:hint="default"/>
      </w:rPr>
    </w:lvl>
    <w:lvl w:ilvl="3" w:tplc="04020001" w:tentative="1">
      <w:start w:val="1"/>
      <w:numFmt w:val="bullet"/>
      <w:lvlText w:val=""/>
      <w:lvlJc w:val="left"/>
      <w:pPr>
        <w:ind w:left="3541" w:hanging="360"/>
      </w:pPr>
      <w:rPr>
        <w:rFonts w:ascii="Symbol" w:hAnsi="Symbol" w:hint="default"/>
      </w:rPr>
    </w:lvl>
    <w:lvl w:ilvl="4" w:tplc="04020003" w:tentative="1">
      <w:start w:val="1"/>
      <w:numFmt w:val="bullet"/>
      <w:lvlText w:val="o"/>
      <w:lvlJc w:val="left"/>
      <w:pPr>
        <w:ind w:left="4261" w:hanging="360"/>
      </w:pPr>
      <w:rPr>
        <w:rFonts w:ascii="Courier New" w:hAnsi="Courier New" w:cs="Courier New" w:hint="default"/>
      </w:rPr>
    </w:lvl>
    <w:lvl w:ilvl="5" w:tplc="04020005" w:tentative="1">
      <w:start w:val="1"/>
      <w:numFmt w:val="bullet"/>
      <w:lvlText w:val=""/>
      <w:lvlJc w:val="left"/>
      <w:pPr>
        <w:ind w:left="4981" w:hanging="360"/>
      </w:pPr>
      <w:rPr>
        <w:rFonts w:ascii="Wingdings" w:hAnsi="Wingdings" w:hint="default"/>
      </w:rPr>
    </w:lvl>
    <w:lvl w:ilvl="6" w:tplc="04020001" w:tentative="1">
      <w:start w:val="1"/>
      <w:numFmt w:val="bullet"/>
      <w:lvlText w:val=""/>
      <w:lvlJc w:val="left"/>
      <w:pPr>
        <w:ind w:left="5701" w:hanging="360"/>
      </w:pPr>
      <w:rPr>
        <w:rFonts w:ascii="Symbol" w:hAnsi="Symbol" w:hint="default"/>
      </w:rPr>
    </w:lvl>
    <w:lvl w:ilvl="7" w:tplc="04020003" w:tentative="1">
      <w:start w:val="1"/>
      <w:numFmt w:val="bullet"/>
      <w:lvlText w:val="o"/>
      <w:lvlJc w:val="left"/>
      <w:pPr>
        <w:ind w:left="6421" w:hanging="360"/>
      </w:pPr>
      <w:rPr>
        <w:rFonts w:ascii="Courier New" w:hAnsi="Courier New" w:cs="Courier New" w:hint="default"/>
      </w:rPr>
    </w:lvl>
    <w:lvl w:ilvl="8" w:tplc="04020005" w:tentative="1">
      <w:start w:val="1"/>
      <w:numFmt w:val="bullet"/>
      <w:lvlText w:val=""/>
      <w:lvlJc w:val="left"/>
      <w:pPr>
        <w:ind w:left="714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01B"/>
    <w:rsid w:val="000527A0"/>
    <w:rsid w:val="000604DE"/>
    <w:rsid w:val="00072F2F"/>
    <w:rsid w:val="000844CD"/>
    <w:rsid w:val="000853FB"/>
    <w:rsid w:val="000F6FE8"/>
    <w:rsid w:val="001407D5"/>
    <w:rsid w:val="001639F1"/>
    <w:rsid w:val="001643AF"/>
    <w:rsid w:val="00175F73"/>
    <w:rsid w:val="001A202D"/>
    <w:rsid w:val="0023112E"/>
    <w:rsid w:val="00242655"/>
    <w:rsid w:val="0025584A"/>
    <w:rsid w:val="002878C9"/>
    <w:rsid w:val="00296521"/>
    <w:rsid w:val="002C73F3"/>
    <w:rsid w:val="00313C35"/>
    <w:rsid w:val="00385FFC"/>
    <w:rsid w:val="003958A1"/>
    <w:rsid w:val="003B5A0B"/>
    <w:rsid w:val="004004B3"/>
    <w:rsid w:val="00416991"/>
    <w:rsid w:val="00427A35"/>
    <w:rsid w:val="00434227"/>
    <w:rsid w:val="004B74B8"/>
    <w:rsid w:val="004F367B"/>
    <w:rsid w:val="00523B36"/>
    <w:rsid w:val="00586760"/>
    <w:rsid w:val="005A499E"/>
    <w:rsid w:val="005C430F"/>
    <w:rsid w:val="00606DF7"/>
    <w:rsid w:val="00650AD8"/>
    <w:rsid w:val="006A4799"/>
    <w:rsid w:val="006D1EFE"/>
    <w:rsid w:val="006D501B"/>
    <w:rsid w:val="00721C54"/>
    <w:rsid w:val="00750C41"/>
    <w:rsid w:val="007526BF"/>
    <w:rsid w:val="007630FC"/>
    <w:rsid w:val="007A0382"/>
    <w:rsid w:val="007A0C65"/>
    <w:rsid w:val="007E54FE"/>
    <w:rsid w:val="00816A2B"/>
    <w:rsid w:val="00903F48"/>
    <w:rsid w:val="0093664A"/>
    <w:rsid w:val="00974B8F"/>
    <w:rsid w:val="00985816"/>
    <w:rsid w:val="00990B04"/>
    <w:rsid w:val="009B24BA"/>
    <w:rsid w:val="009D04DA"/>
    <w:rsid w:val="00A141D4"/>
    <w:rsid w:val="00A83AD6"/>
    <w:rsid w:val="00AD5749"/>
    <w:rsid w:val="00AD5DF3"/>
    <w:rsid w:val="00AD6133"/>
    <w:rsid w:val="00B07E59"/>
    <w:rsid w:val="00B7217B"/>
    <w:rsid w:val="00B74EAF"/>
    <w:rsid w:val="00B77C88"/>
    <w:rsid w:val="00B80307"/>
    <w:rsid w:val="00BA465F"/>
    <w:rsid w:val="00BB15C1"/>
    <w:rsid w:val="00BE29E1"/>
    <w:rsid w:val="00C409B1"/>
    <w:rsid w:val="00C76FC2"/>
    <w:rsid w:val="00CA1DA0"/>
    <w:rsid w:val="00D1570B"/>
    <w:rsid w:val="00D22BB8"/>
    <w:rsid w:val="00D32D3D"/>
    <w:rsid w:val="00D4678E"/>
    <w:rsid w:val="00D46E2F"/>
    <w:rsid w:val="00D47AF4"/>
    <w:rsid w:val="00D64086"/>
    <w:rsid w:val="00D77549"/>
    <w:rsid w:val="00D93DD9"/>
    <w:rsid w:val="00DC41E0"/>
    <w:rsid w:val="00E0482E"/>
    <w:rsid w:val="00E44A80"/>
    <w:rsid w:val="00EA169A"/>
    <w:rsid w:val="00EA4CD0"/>
    <w:rsid w:val="00EF1E9B"/>
    <w:rsid w:val="00F11ED1"/>
    <w:rsid w:val="00F554CC"/>
    <w:rsid w:val="00FF7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8EC42"/>
  <w15:docId w15:val="{7BB25FE0-292B-4BC6-A58D-166EF9B16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6FE8"/>
    <w:pPr>
      <w:tabs>
        <w:tab w:val="center" w:pos="4703"/>
        <w:tab w:val="right" w:pos="9406"/>
      </w:tabs>
      <w:spacing w:after="0" w:line="240" w:lineRule="auto"/>
    </w:pPr>
  </w:style>
  <w:style w:type="character" w:customStyle="1" w:styleId="HeaderChar">
    <w:name w:val="Header Char"/>
    <w:basedOn w:val="DefaultParagraphFont"/>
    <w:link w:val="Header"/>
    <w:uiPriority w:val="99"/>
    <w:rsid w:val="000F6FE8"/>
  </w:style>
  <w:style w:type="paragraph" w:styleId="Footer">
    <w:name w:val="footer"/>
    <w:basedOn w:val="Normal"/>
    <w:link w:val="FooterChar"/>
    <w:uiPriority w:val="99"/>
    <w:unhideWhenUsed/>
    <w:rsid w:val="000F6FE8"/>
    <w:pPr>
      <w:tabs>
        <w:tab w:val="center" w:pos="4703"/>
        <w:tab w:val="right" w:pos="9406"/>
      </w:tabs>
      <w:spacing w:after="0" w:line="240" w:lineRule="auto"/>
    </w:pPr>
  </w:style>
  <w:style w:type="character" w:customStyle="1" w:styleId="FooterChar">
    <w:name w:val="Footer Char"/>
    <w:basedOn w:val="DefaultParagraphFont"/>
    <w:link w:val="Footer"/>
    <w:uiPriority w:val="99"/>
    <w:rsid w:val="000F6FE8"/>
  </w:style>
  <w:style w:type="paragraph" w:styleId="BalloonText">
    <w:name w:val="Balloon Text"/>
    <w:basedOn w:val="Normal"/>
    <w:link w:val="BalloonTextChar"/>
    <w:uiPriority w:val="99"/>
    <w:semiHidden/>
    <w:unhideWhenUsed/>
    <w:rsid w:val="00052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27A0"/>
    <w:rPr>
      <w:rFonts w:ascii="Tahoma" w:hAnsi="Tahoma" w:cs="Tahoma"/>
      <w:sz w:val="16"/>
      <w:szCs w:val="16"/>
    </w:rPr>
  </w:style>
  <w:style w:type="character" w:styleId="Hyperlink">
    <w:name w:val="Hyperlink"/>
    <w:basedOn w:val="DefaultParagraphFont"/>
    <w:uiPriority w:val="99"/>
    <w:unhideWhenUsed/>
    <w:rsid w:val="002558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65777">
      <w:bodyDiv w:val="1"/>
      <w:marLeft w:val="0"/>
      <w:marRight w:val="0"/>
      <w:marTop w:val="0"/>
      <w:marBottom w:val="0"/>
      <w:divBdr>
        <w:top w:val="none" w:sz="0" w:space="0" w:color="auto"/>
        <w:left w:val="none" w:sz="0" w:space="0" w:color="auto"/>
        <w:bottom w:val="none" w:sz="0" w:space="0" w:color="auto"/>
        <w:right w:val="none" w:sz="0" w:space="0" w:color="auto"/>
      </w:divBdr>
    </w:div>
    <w:div w:id="69654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OJ:L:2000:303:0016:0022:EN:PDF" TargetMode="External"/><Relationship Id="rId3" Type="http://schemas.openxmlformats.org/officeDocument/2006/relationships/settings" Target="settings.xml"/><Relationship Id="rId7" Type="http://schemas.openxmlformats.org/officeDocument/2006/relationships/hyperlink" Target="http://eur-lex.europa.eu/LexUriServ/LexUriServ.do?uri=OJ:L:2000:180:0022:0026: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2076</Words>
  <Characters>11839</Characters>
  <Application>Microsoft Office Word</Application>
  <DocSecurity>0</DocSecurity>
  <Lines>98</Lines>
  <Paragraphs>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Илиана Георгиева</dc:creator>
  <cp:lastModifiedBy>Aleksandra Dimitrova</cp:lastModifiedBy>
  <cp:revision>6</cp:revision>
  <cp:lastPrinted>2018-07-16T14:39:00Z</cp:lastPrinted>
  <dcterms:created xsi:type="dcterms:W3CDTF">2018-08-08T09:48:00Z</dcterms:created>
  <dcterms:modified xsi:type="dcterms:W3CDTF">2018-10-18T08:42:00Z</dcterms:modified>
</cp:coreProperties>
</file>