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DF1" w:rsidRPr="003E5402" w:rsidRDefault="000A0DF1" w:rsidP="006A641D">
      <w:pPr>
        <w:spacing w:after="0" w:line="240" w:lineRule="auto"/>
        <w:jc w:val="center"/>
        <w:rPr>
          <w:rFonts w:asciiTheme="majorHAnsi" w:hAnsiTheme="majorHAnsi"/>
          <w:b/>
          <w:sz w:val="24"/>
          <w:szCs w:val="24"/>
          <w:lang w:val="en-GB"/>
        </w:rPr>
      </w:pPr>
    </w:p>
    <w:p w:rsidR="00D43166" w:rsidRPr="003E5402" w:rsidRDefault="00501C94" w:rsidP="00D43166">
      <w:pPr>
        <w:pStyle w:val="PlainText"/>
        <w:rPr>
          <w:rFonts w:ascii="Cambria" w:eastAsia="Calibri" w:hAnsi="Cambria" w:cs="Times New Roman"/>
          <w:lang w:val="en-GB"/>
        </w:rPr>
      </w:pPr>
      <w:r w:rsidRPr="003E5402">
        <w:rPr>
          <w:rFonts w:ascii="Cambria" w:eastAsia="Cambria" w:hAnsi="Cambria" w:cs="Cambria"/>
          <w:b/>
          <w:sz w:val="24"/>
          <w:szCs w:val="24"/>
          <w:lang w:val="en-GB" w:bidi="en-US"/>
        </w:rPr>
        <w:t>Technical Specification regarding: Supply and assembly of furniture for furbishing the residence of the Ambassador of the Republic of Bulgaria in Riyadh, the Kingdom of Saudi Arabia, and of the Embassy of the Republic of Bulgaria in Riyadh, the Kingdom of Saudi Arabia, with the attaching residence part, in two lots:  Lot 2: “Supply and assembly of upholstered furniture”]</w:t>
      </w:r>
    </w:p>
    <w:p w:rsidR="00280F1C" w:rsidRPr="003E5402" w:rsidRDefault="00280F1C" w:rsidP="00D43166">
      <w:pPr>
        <w:spacing w:after="0" w:line="240" w:lineRule="auto"/>
        <w:jc w:val="center"/>
        <w:rPr>
          <w:rFonts w:asciiTheme="majorHAnsi" w:hAnsiTheme="majorHAnsi"/>
          <w:sz w:val="24"/>
          <w:szCs w:val="24"/>
          <w:lang w:val="en-GB"/>
        </w:rPr>
      </w:pPr>
    </w:p>
    <w:p w:rsidR="00276089" w:rsidRPr="003E5402" w:rsidRDefault="00276089" w:rsidP="00276089">
      <w:pPr>
        <w:pStyle w:val="ListParagraph"/>
        <w:numPr>
          <w:ilvl w:val="0"/>
          <w:numId w:val="1"/>
        </w:numPr>
        <w:tabs>
          <w:tab w:val="left" w:pos="284"/>
        </w:tabs>
        <w:ind w:left="0" w:firstLine="0"/>
        <w:rPr>
          <w:rFonts w:asciiTheme="majorHAnsi" w:hAnsiTheme="majorHAnsi"/>
          <w:b/>
          <w:sz w:val="24"/>
          <w:szCs w:val="24"/>
          <w:lang w:val="en-GB"/>
        </w:rPr>
      </w:pPr>
      <w:r w:rsidRPr="003E5402">
        <w:rPr>
          <w:rFonts w:asciiTheme="majorHAnsi" w:hAnsiTheme="majorHAnsi"/>
          <w:b/>
          <w:sz w:val="24"/>
          <w:szCs w:val="24"/>
          <w:lang w:val="en-GB" w:bidi="en-US"/>
        </w:rPr>
        <w:t>Description of the items</w:t>
      </w:r>
    </w:p>
    <w:tbl>
      <w:tblPr>
        <w:tblStyle w:val="TableGrid"/>
        <w:tblW w:w="9886" w:type="dxa"/>
        <w:tblLook w:val="04A0" w:firstRow="1" w:lastRow="0" w:firstColumn="1" w:lastColumn="0" w:noHBand="0" w:noVBand="1"/>
      </w:tblPr>
      <w:tblGrid>
        <w:gridCol w:w="576"/>
        <w:gridCol w:w="9310"/>
      </w:tblGrid>
      <w:tr w:rsidR="00280F1C" w:rsidRPr="003E5402" w:rsidTr="0030737C">
        <w:trPr>
          <w:trHeight w:val="630"/>
        </w:trPr>
        <w:tc>
          <w:tcPr>
            <w:tcW w:w="576" w:type="dxa"/>
            <w:hideMark/>
          </w:tcPr>
          <w:p w:rsidR="00280F1C" w:rsidRPr="003E5402" w:rsidRDefault="00280F1C" w:rsidP="00232F71">
            <w:pPr>
              <w:jc w:val="right"/>
              <w:rPr>
                <w:rFonts w:asciiTheme="majorHAnsi" w:hAnsiTheme="majorHAnsi"/>
                <w:sz w:val="24"/>
                <w:szCs w:val="24"/>
                <w:lang w:val="en-GB" w:eastAsia="bg-BG"/>
              </w:rPr>
            </w:pPr>
          </w:p>
        </w:tc>
        <w:tc>
          <w:tcPr>
            <w:tcW w:w="9310" w:type="dxa"/>
            <w:hideMark/>
          </w:tcPr>
          <w:p w:rsidR="00280F1C" w:rsidRPr="003E5402" w:rsidRDefault="00280F1C" w:rsidP="00081667">
            <w:pPr>
              <w:rPr>
                <w:rFonts w:asciiTheme="majorHAnsi" w:hAnsiTheme="majorHAnsi"/>
                <w:sz w:val="24"/>
                <w:szCs w:val="24"/>
                <w:lang w:val="en-GB" w:eastAsia="bg-BG"/>
              </w:rPr>
            </w:pPr>
          </w:p>
          <w:p w:rsidR="005D17AD" w:rsidRPr="003E5402" w:rsidRDefault="005D17AD" w:rsidP="00081667">
            <w:pPr>
              <w:rPr>
                <w:rFonts w:asciiTheme="majorHAnsi" w:hAnsiTheme="majorHAnsi"/>
                <w:b/>
                <w:sz w:val="24"/>
                <w:szCs w:val="24"/>
                <w:lang w:val="en-GB" w:eastAsia="bg-BG"/>
              </w:rPr>
            </w:pPr>
            <w:r w:rsidRPr="003E5402">
              <w:rPr>
                <w:rFonts w:asciiTheme="majorHAnsi" w:hAnsiTheme="majorHAnsi"/>
                <w:b/>
                <w:sz w:val="24"/>
                <w:szCs w:val="24"/>
                <w:lang w:val="en-GB" w:bidi="en-US"/>
              </w:rPr>
              <w:t>Item; size: length/width (depth)/height cm</w:t>
            </w:r>
          </w:p>
        </w:tc>
      </w:tr>
      <w:tr w:rsidR="00A35939" w:rsidRPr="003E5402" w:rsidTr="0030737C">
        <w:trPr>
          <w:trHeight w:val="630"/>
        </w:trPr>
        <w:tc>
          <w:tcPr>
            <w:tcW w:w="576" w:type="dxa"/>
            <w:hideMark/>
          </w:tcPr>
          <w:p w:rsidR="00A35939" w:rsidRPr="003E5402" w:rsidRDefault="00A35939"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1</w:t>
            </w:r>
          </w:p>
        </w:tc>
        <w:tc>
          <w:tcPr>
            <w:tcW w:w="9310" w:type="dxa"/>
            <w:hideMark/>
          </w:tcPr>
          <w:p w:rsidR="00A35939" w:rsidRPr="003E5402" w:rsidRDefault="00A35939"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2-seater couch, eco leather with armrests; size: 145/95/85 cm </w:t>
            </w:r>
          </w:p>
        </w:tc>
      </w:tr>
      <w:tr w:rsidR="00A35939" w:rsidRPr="003E5402" w:rsidTr="0030737C">
        <w:trPr>
          <w:trHeight w:val="630"/>
        </w:trPr>
        <w:tc>
          <w:tcPr>
            <w:tcW w:w="576" w:type="dxa"/>
            <w:hideMark/>
          </w:tcPr>
          <w:p w:rsidR="00A35939" w:rsidRPr="003E5402" w:rsidRDefault="00A35939"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 xml:space="preserve">    2</w:t>
            </w:r>
          </w:p>
        </w:tc>
        <w:tc>
          <w:tcPr>
            <w:tcW w:w="9310" w:type="dxa"/>
          </w:tcPr>
          <w:p w:rsidR="00A35939" w:rsidRPr="003E5402" w:rsidRDefault="000C1331"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2-seater couch, textile fabrics with armrests; size: 145/95/85 cm </w:t>
            </w:r>
          </w:p>
        </w:tc>
      </w:tr>
      <w:tr w:rsidR="00A35939" w:rsidRPr="003E5402" w:rsidTr="0030737C">
        <w:trPr>
          <w:trHeight w:val="630"/>
        </w:trPr>
        <w:tc>
          <w:tcPr>
            <w:tcW w:w="576" w:type="dxa"/>
            <w:hideMark/>
          </w:tcPr>
          <w:p w:rsidR="00A35939" w:rsidRPr="003E5402" w:rsidRDefault="00A35939"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3</w:t>
            </w:r>
          </w:p>
        </w:tc>
        <w:tc>
          <w:tcPr>
            <w:tcW w:w="9310" w:type="dxa"/>
            <w:hideMark/>
          </w:tcPr>
          <w:p w:rsidR="00A35939" w:rsidRPr="003E5402" w:rsidRDefault="00A35939"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3-seater couch, eco leather with armrests; size: 195/95/85 cm </w:t>
            </w:r>
          </w:p>
        </w:tc>
      </w:tr>
      <w:tr w:rsidR="00A35939" w:rsidRPr="003E5402" w:rsidTr="0030737C">
        <w:trPr>
          <w:trHeight w:val="630"/>
        </w:trPr>
        <w:tc>
          <w:tcPr>
            <w:tcW w:w="576" w:type="dxa"/>
            <w:hideMark/>
          </w:tcPr>
          <w:p w:rsidR="00A35939" w:rsidRPr="003E5402" w:rsidRDefault="00A35939"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4</w:t>
            </w:r>
          </w:p>
        </w:tc>
        <w:tc>
          <w:tcPr>
            <w:tcW w:w="9310" w:type="dxa"/>
            <w:hideMark/>
          </w:tcPr>
          <w:p w:rsidR="00A35939" w:rsidRPr="003E5402" w:rsidRDefault="00A35939"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3-seater couch, textile fabrics with armrests; size: 195/95/85 cm </w:t>
            </w:r>
          </w:p>
        </w:tc>
      </w:tr>
      <w:tr w:rsidR="00BF385F" w:rsidRPr="003E5402" w:rsidTr="0030737C">
        <w:trPr>
          <w:trHeight w:val="630"/>
        </w:trPr>
        <w:tc>
          <w:tcPr>
            <w:tcW w:w="576" w:type="dxa"/>
          </w:tcPr>
          <w:p w:rsidR="00BF385F" w:rsidRPr="003E5402" w:rsidRDefault="004203BE"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5</w:t>
            </w:r>
          </w:p>
        </w:tc>
        <w:tc>
          <w:tcPr>
            <w:tcW w:w="9310" w:type="dxa"/>
          </w:tcPr>
          <w:p w:rsidR="00BF385F" w:rsidRPr="003E5402" w:rsidRDefault="00BF385F" w:rsidP="00C93DAF">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4-seater couch, textile fabrics with armrests;</w:t>
            </w:r>
          </w:p>
        </w:tc>
      </w:tr>
      <w:tr w:rsidR="00A35939" w:rsidRPr="003E5402" w:rsidTr="0030737C">
        <w:trPr>
          <w:trHeight w:val="315"/>
        </w:trPr>
        <w:tc>
          <w:tcPr>
            <w:tcW w:w="576" w:type="dxa"/>
            <w:hideMark/>
          </w:tcPr>
          <w:p w:rsidR="00A35939" w:rsidRPr="003E5402" w:rsidRDefault="004203BE" w:rsidP="00232F71">
            <w:pPr>
              <w:jc w:val="right"/>
              <w:rPr>
                <w:rFonts w:asciiTheme="majorHAnsi" w:hAnsiTheme="majorHAnsi"/>
                <w:sz w:val="24"/>
                <w:szCs w:val="24"/>
                <w:lang w:val="en-GB" w:eastAsia="bg-BG"/>
              </w:rPr>
            </w:pPr>
            <w:r w:rsidRPr="003E5402">
              <w:rPr>
                <w:rFonts w:asciiTheme="majorHAnsi" w:hAnsiTheme="majorHAnsi"/>
                <w:sz w:val="24"/>
                <w:szCs w:val="24"/>
                <w:lang w:val="en-GB" w:bidi="en-US"/>
              </w:rPr>
              <w:t>6</w:t>
            </w:r>
          </w:p>
        </w:tc>
        <w:tc>
          <w:tcPr>
            <w:tcW w:w="9310" w:type="dxa"/>
            <w:hideMark/>
          </w:tcPr>
          <w:p w:rsidR="00A35939" w:rsidRPr="003E5402" w:rsidRDefault="00A35939"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Armchair, eco leather with armrests; size: 100/95/85 cm </w:t>
            </w:r>
          </w:p>
        </w:tc>
      </w:tr>
      <w:tr w:rsidR="00A35939" w:rsidRPr="003E5402" w:rsidTr="0030737C">
        <w:trPr>
          <w:trHeight w:val="315"/>
        </w:trPr>
        <w:tc>
          <w:tcPr>
            <w:tcW w:w="576" w:type="dxa"/>
            <w:hideMark/>
          </w:tcPr>
          <w:p w:rsidR="00A35939" w:rsidRPr="003E5402" w:rsidRDefault="004203BE" w:rsidP="00232F71">
            <w:pPr>
              <w:tabs>
                <w:tab w:val="left" w:pos="210"/>
                <w:tab w:val="right" w:pos="459"/>
              </w:tabs>
              <w:jc w:val="right"/>
              <w:rPr>
                <w:rFonts w:asciiTheme="majorHAnsi" w:hAnsiTheme="majorHAnsi"/>
                <w:sz w:val="24"/>
                <w:szCs w:val="24"/>
                <w:lang w:val="en-GB" w:eastAsia="bg-BG"/>
              </w:rPr>
            </w:pPr>
            <w:r w:rsidRPr="003E5402">
              <w:rPr>
                <w:rFonts w:asciiTheme="majorHAnsi" w:hAnsiTheme="majorHAnsi"/>
                <w:sz w:val="24"/>
                <w:szCs w:val="24"/>
                <w:lang w:val="en-GB" w:bidi="en-US"/>
              </w:rPr>
              <w:tab/>
              <w:t>7</w:t>
            </w:r>
          </w:p>
        </w:tc>
        <w:tc>
          <w:tcPr>
            <w:tcW w:w="9310" w:type="dxa"/>
            <w:hideMark/>
          </w:tcPr>
          <w:p w:rsidR="00A35939" w:rsidRPr="003E5402" w:rsidRDefault="00A35939"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Cambria" w:eastAsia="Cambria" w:hAnsi="Cambria" w:cs="Cambria"/>
                <w:sz w:val="24"/>
                <w:szCs w:val="24"/>
                <w:lang w:val="en-GB" w:bidi="en-US"/>
              </w:rPr>
              <w:t xml:space="preserve">Armchair, textile fabrics with armrests; size: 100/95/85 cm </w:t>
            </w:r>
          </w:p>
        </w:tc>
      </w:tr>
      <w:tr w:rsidR="00232F71" w:rsidRPr="003E5402" w:rsidTr="0030737C">
        <w:trPr>
          <w:trHeight w:val="315"/>
        </w:trPr>
        <w:tc>
          <w:tcPr>
            <w:tcW w:w="576" w:type="dxa"/>
          </w:tcPr>
          <w:p w:rsidR="00232F71" w:rsidRPr="003E5402" w:rsidRDefault="004203BE" w:rsidP="00232F71">
            <w:pPr>
              <w:tabs>
                <w:tab w:val="left" w:pos="210"/>
                <w:tab w:val="right" w:pos="459"/>
              </w:tabs>
              <w:jc w:val="right"/>
              <w:rPr>
                <w:rFonts w:asciiTheme="majorHAnsi" w:hAnsiTheme="majorHAnsi"/>
                <w:sz w:val="24"/>
                <w:szCs w:val="24"/>
                <w:lang w:val="en-GB" w:eastAsia="bg-BG"/>
              </w:rPr>
            </w:pPr>
            <w:r w:rsidRPr="003E5402">
              <w:rPr>
                <w:rFonts w:asciiTheme="majorHAnsi" w:hAnsiTheme="majorHAnsi"/>
                <w:sz w:val="24"/>
                <w:szCs w:val="24"/>
                <w:lang w:val="en-GB" w:bidi="en-US"/>
              </w:rPr>
              <w:t>8</w:t>
            </w:r>
          </w:p>
        </w:tc>
        <w:tc>
          <w:tcPr>
            <w:tcW w:w="9310" w:type="dxa"/>
          </w:tcPr>
          <w:p w:rsidR="00232F71" w:rsidRPr="003E5402" w:rsidRDefault="00232F71" w:rsidP="00DF2B1E">
            <w:pPr>
              <w:widowControl w:val="0"/>
              <w:tabs>
                <w:tab w:val="left" w:pos="567"/>
                <w:tab w:val="left" w:pos="709"/>
              </w:tabs>
              <w:autoSpaceDE w:val="0"/>
              <w:autoSpaceDN w:val="0"/>
              <w:adjustRightInd w:val="0"/>
              <w:spacing w:before="120" w:after="120"/>
              <w:ind w:right="28"/>
              <w:jc w:val="both"/>
              <w:rPr>
                <w:rFonts w:ascii="Cambria" w:hAnsi="Cambria"/>
                <w:sz w:val="24"/>
                <w:szCs w:val="24"/>
                <w:lang w:val="en-GB" w:eastAsia="en-GB"/>
              </w:rPr>
            </w:pPr>
            <w:r w:rsidRPr="003E5402">
              <w:rPr>
                <w:rFonts w:ascii="Times New Roman" w:eastAsia="Calibri" w:hAnsi="Times New Roman" w:cs="Times New Roman"/>
                <w:sz w:val="24"/>
                <w:szCs w:val="24"/>
                <w:lang w:val="en-GB" w:bidi="en-US"/>
              </w:rPr>
              <w:t xml:space="preserve">Small stool, eco leather; size:  90/45/45 cm </w:t>
            </w:r>
          </w:p>
        </w:tc>
      </w:tr>
      <w:tr w:rsidR="00232F71" w:rsidRPr="003E5402" w:rsidTr="0030737C">
        <w:trPr>
          <w:trHeight w:val="315"/>
        </w:trPr>
        <w:tc>
          <w:tcPr>
            <w:tcW w:w="576" w:type="dxa"/>
          </w:tcPr>
          <w:p w:rsidR="00232F71" w:rsidRPr="003E5402" w:rsidRDefault="004203BE" w:rsidP="00232F71">
            <w:pPr>
              <w:tabs>
                <w:tab w:val="left" w:pos="210"/>
                <w:tab w:val="right" w:pos="459"/>
              </w:tabs>
              <w:jc w:val="right"/>
              <w:rPr>
                <w:rFonts w:asciiTheme="majorHAnsi" w:hAnsiTheme="majorHAnsi"/>
                <w:sz w:val="24"/>
                <w:szCs w:val="24"/>
                <w:lang w:val="en-GB" w:eastAsia="bg-BG"/>
              </w:rPr>
            </w:pPr>
            <w:r w:rsidRPr="003E5402">
              <w:rPr>
                <w:rFonts w:asciiTheme="majorHAnsi" w:hAnsiTheme="majorHAnsi"/>
                <w:sz w:val="24"/>
                <w:szCs w:val="24"/>
                <w:lang w:val="en-GB" w:bidi="en-US"/>
              </w:rPr>
              <w:t>9</w:t>
            </w:r>
          </w:p>
        </w:tc>
        <w:tc>
          <w:tcPr>
            <w:tcW w:w="9310" w:type="dxa"/>
          </w:tcPr>
          <w:p w:rsidR="00232F71" w:rsidRPr="003E5402" w:rsidRDefault="00232F71" w:rsidP="00DF2B1E">
            <w:pPr>
              <w:widowControl w:val="0"/>
              <w:tabs>
                <w:tab w:val="left" w:pos="567"/>
                <w:tab w:val="left" w:pos="709"/>
              </w:tabs>
              <w:autoSpaceDE w:val="0"/>
              <w:autoSpaceDN w:val="0"/>
              <w:adjustRightInd w:val="0"/>
              <w:spacing w:before="120" w:after="120"/>
              <w:ind w:right="28"/>
              <w:jc w:val="both"/>
              <w:rPr>
                <w:rFonts w:ascii="Times New Roman" w:eastAsia="Calibri" w:hAnsi="Times New Roman" w:cs="Times New Roman"/>
                <w:sz w:val="24"/>
                <w:szCs w:val="24"/>
                <w:lang w:val="en-GB" w:eastAsia="en-GB"/>
              </w:rPr>
            </w:pPr>
            <w:r w:rsidRPr="003E5402">
              <w:rPr>
                <w:rFonts w:ascii="Times New Roman" w:eastAsia="Calibri" w:hAnsi="Times New Roman" w:cs="Times New Roman"/>
                <w:sz w:val="24"/>
                <w:szCs w:val="24"/>
                <w:lang w:val="en-GB" w:bidi="en-US"/>
              </w:rPr>
              <w:t xml:space="preserve">Small stool, textile fabrics; size:  90/45/45 cm </w:t>
            </w:r>
          </w:p>
        </w:tc>
      </w:tr>
      <w:tr w:rsidR="00232F71" w:rsidRPr="003E5402" w:rsidTr="0030737C">
        <w:trPr>
          <w:trHeight w:val="315"/>
        </w:trPr>
        <w:tc>
          <w:tcPr>
            <w:tcW w:w="576" w:type="dxa"/>
          </w:tcPr>
          <w:p w:rsidR="00232F71" w:rsidRPr="003E5402" w:rsidRDefault="004203BE" w:rsidP="00232F71">
            <w:pPr>
              <w:tabs>
                <w:tab w:val="left" w:pos="210"/>
                <w:tab w:val="right" w:pos="459"/>
              </w:tabs>
              <w:jc w:val="right"/>
              <w:rPr>
                <w:rFonts w:asciiTheme="majorHAnsi" w:hAnsiTheme="majorHAnsi"/>
                <w:sz w:val="24"/>
                <w:szCs w:val="24"/>
                <w:lang w:val="en-GB" w:eastAsia="bg-BG"/>
              </w:rPr>
            </w:pPr>
            <w:r w:rsidRPr="003E5402">
              <w:rPr>
                <w:rFonts w:asciiTheme="majorHAnsi" w:hAnsiTheme="majorHAnsi"/>
                <w:sz w:val="24"/>
                <w:szCs w:val="24"/>
                <w:lang w:val="en-GB" w:bidi="en-US"/>
              </w:rPr>
              <w:t>10</w:t>
            </w:r>
          </w:p>
        </w:tc>
        <w:tc>
          <w:tcPr>
            <w:tcW w:w="9310" w:type="dxa"/>
          </w:tcPr>
          <w:p w:rsidR="00232F71" w:rsidRPr="003E5402" w:rsidRDefault="00232F71" w:rsidP="00DF2B1E">
            <w:pPr>
              <w:widowControl w:val="0"/>
              <w:tabs>
                <w:tab w:val="left" w:pos="567"/>
                <w:tab w:val="left" w:pos="709"/>
              </w:tabs>
              <w:autoSpaceDE w:val="0"/>
              <w:autoSpaceDN w:val="0"/>
              <w:adjustRightInd w:val="0"/>
              <w:spacing w:before="120" w:after="120"/>
              <w:ind w:right="28"/>
              <w:jc w:val="both"/>
              <w:rPr>
                <w:rFonts w:ascii="Times New Roman" w:eastAsia="Calibri" w:hAnsi="Times New Roman" w:cs="Times New Roman"/>
                <w:sz w:val="24"/>
                <w:szCs w:val="24"/>
                <w:lang w:val="en-GB" w:eastAsia="en-GB"/>
              </w:rPr>
            </w:pPr>
            <w:r w:rsidRPr="003E5402">
              <w:rPr>
                <w:rFonts w:ascii="Times New Roman" w:eastAsia="Calibri" w:hAnsi="Times New Roman" w:cs="Times New Roman"/>
                <w:sz w:val="24"/>
                <w:szCs w:val="24"/>
                <w:lang w:val="en-GB" w:bidi="en-US"/>
              </w:rPr>
              <w:t xml:space="preserve">Office corner sofa set (single-seater with armrest, a corner and two-seater with one armrest), eco leather; size:  70/75/85 cm (single seater), 75/75 cm (corner), 125/75/85 cm (double-seater) </w:t>
            </w:r>
          </w:p>
        </w:tc>
      </w:tr>
      <w:tr w:rsidR="00B20BC5" w:rsidRPr="003E5402" w:rsidTr="0030737C">
        <w:trPr>
          <w:trHeight w:val="315"/>
        </w:trPr>
        <w:tc>
          <w:tcPr>
            <w:tcW w:w="576" w:type="dxa"/>
          </w:tcPr>
          <w:p w:rsidR="00B20BC5" w:rsidRPr="003E5402" w:rsidRDefault="00B20BC5" w:rsidP="00B20BC5">
            <w:pPr>
              <w:tabs>
                <w:tab w:val="left" w:pos="210"/>
                <w:tab w:val="right" w:pos="459"/>
              </w:tabs>
              <w:jc w:val="center"/>
              <w:rPr>
                <w:rFonts w:asciiTheme="majorHAnsi" w:hAnsiTheme="majorHAnsi"/>
                <w:sz w:val="24"/>
                <w:szCs w:val="24"/>
                <w:lang w:val="en-GB" w:eastAsia="bg-BG"/>
              </w:rPr>
            </w:pPr>
          </w:p>
        </w:tc>
        <w:tc>
          <w:tcPr>
            <w:tcW w:w="9310" w:type="dxa"/>
          </w:tcPr>
          <w:p w:rsidR="00B20BC5" w:rsidRPr="003E5402" w:rsidRDefault="00B20BC5" w:rsidP="00232F71">
            <w:pPr>
              <w:widowControl w:val="0"/>
              <w:tabs>
                <w:tab w:val="left" w:pos="567"/>
                <w:tab w:val="left" w:pos="709"/>
              </w:tabs>
              <w:autoSpaceDE w:val="0"/>
              <w:autoSpaceDN w:val="0"/>
              <w:adjustRightInd w:val="0"/>
              <w:spacing w:before="120" w:after="120"/>
              <w:ind w:right="28"/>
              <w:jc w:val="both"/>
              <w:rPr>
                <w:rFonts w:ascii="Times New Roman" w:eastAsia="Calibri" w:hAnsi="Times New Roman" w:cs="Times New Roman"/>
                <w:sz w:val="24"/>
                <w:szCs w:val="24"/>
                <w:lang w:val="en-GB" w:eastAsia="en-GB"/>
              </w:rPr>
            </w:pPr>
          </w:p>
        </w:tc>
      </w:tr>
    </w:tbl>
    <w:p w:rsidR="009A5506" w:rsidRPr="003E5402" w:rsidRDefault="009A5506" w:rsidP="009A5506">
      <w:pPr>
        <w:jc w:val="both"/>
        <w:rPr>
          <w:rFonts w:asciiTheme="majorHAnsi" w:hAnsiTheme="majorHAnsi"/>
          <w:i/>
          <w:sz w:val="24"/>
          <w:szCs w:val="24"/>
          <w:lang w:val="en-GB"/>
        </w:rPr>
      </w:pPr>
      <w:r w:rsidRPr="003E5402">
        <w:rPr>
          <w:rFonts w:asciiTheme="majorHAnsi" w:hAnsiTheme="majorHAnsi"/>
          <w:i/>
          <w:sz w:val="24"/>
          <w:szCs w:val="24"/>
          <w:lang w:val="en-GB" w:bidi="en-US"/>
        </w:rPr>
        <w:t xml:space="preserve">Note: Attached to the Proposal for the execution of the contract (Technical Proposal) shall be a colour catalogue, including photos of all proposed items. </w:t>
      </w:r>
    </w:p>
    <w:p w:rsidR="00905E82" w:rsidRPr="003E5402" w:rsidRDefault="0030737C" w:rsidP="00905E82">
      <w:pPr>
        <w:rPr>
          <w:rFonts w:asciiTheme="majorHAnsi" w:hAnsiTheme="majorHAnsi"/>
          <w:b/>
          <w:sz w:val="24"/>
          <w:szCs w:val="24"/>
          <w:lang w:val="en-GB"/>
        </w:rPr>
      </w:pPr>
      <w:r w:rsidRPr="003E5402">
        <w:rPr>
          <w:rFonts w:asciiTheme="majorHAnsi" w:hAnsiTheme="majorHAnsi"/>
          <w:b/>
          <w:sz w:val="24"/>
          <w:szCs w:val="24"/>
          <w:lang w:val="en-GB" w:bidi="en-US"/>
        </w:rPr>
        <w:t xml:space="preserve">2. General requirements to the goods </w:t>
      </w:r>
    </w:p>
    <w:p w:rsidR="00905E82" w:rsidRPr="003E5402" w:rsidRDefault="0030737C" w:rsidP="0030737C">
      <w:pPr>
        <w:jc w:val="both"/>
        <w:rPr>
          <w:rFonts w:asciiTheme="majorHAnsi" w:hAnsiTheme="majorHAnsi"/>
          <w:sz w:val="24"/>
          <w:szCs w:val="24"/>
          <w:lang w:val="en-GB"/>
        </w:rPr>
      </w:pPr>
      <w:r w:rsidRPr="003E5402">
        <w:rPr>
          <w:rFonts w:asciiTheme="majorHAnsi" w:hAnsiTheme="majorHAnsi"/>
          <w:sz w:val="24"/>
          <w:szCs w:val="24"/>
          <w:lang w:val="en-GB" w:bidi="en-US"/>
        </w:rPr>
        <w:t>2.1. The Contractor shall supply and assemble all items with sizes and parameters in accordance with the standards applicable to the Arab world.</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 The Contractor shall supply and assemble items: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2.2.1. which shall be new and unused;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lastRenderedPageBreak/>
        <w:t>2.2.2. which meet the legally set requirements for end-user quality and safety of use;</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2.2.3. which shall be  made of high-quality  materials, compliant with the effective technical norms and ensuring normal and problem-free operation for the period of their use;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2.2.4. which shall be safe, comfortable to use, functional, ergonomic, and with  good modern design;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2.2.5. which shall not have visible joining elements;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2.2.6. which shall be waterproof, thermoset, resistant to mechanical and chemical action within the proper limits for such type of furniture;</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2.2.7. which should be capable of being levelled (where applicable) to offset floor and wall bumps in the premises of their assembly;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2.2.8. which shall not contain harmful substances for the human body;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2.2.9. which shall not alter their colour  from direct sunlight and are easily serviced and cleaned;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2.2.10. which can  be dissembled and assembled multiple times without losing their quality;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2.2.11. whose metal elements in their structures shall be reliably protected against corrosion;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2.2.12. whose size is applicable to the standards in the Arab world. </w:t>
      </w:r>
    </w:p>
    <w:p w:rsidR="00905E82" w:rsidRPr="003E5402" w:rsidRDefault="005D4896" w:rsidP="0030737C">
      <w:pPr>
        <w:jc w:val="both"/>
        <w:rPr>
          <w:rFonts w:asciiTheme="majorHAnsi" w:hAnsiTheme="majorHAnsi"/>
          <w:b/>
          <w:sz w:val="24"/>
          <w:szCs w:val="24"/>
          <w:lang w:val="en-GB"/>
        </w:rPr>
      </w:pPr>
      <w:r w:rsidRPr="003E5402">
        <w:rPr>
          <w:rFonts w:asciiTheme="majorHAnsi" w:hAnsiTheme="majorHAnsi"/>
          <w:b/>
          <w:sz w:val="24"/>
          <w:szCs w:val="24"/>
          <w:lang w:val="en-GB" w:bidi="en-US"/>
        </w:rPr>
        <w:t>3. Specific minimum requirements to the goods</w:t>
      </w:r>
    </w:p>
    <w:p w:rsidR="007C31C9"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3.1. All items shall be made of high-quality and wearable furnishing fabrics (textile, eco leather), allowing for multi-year problem-free use. </w:t>
      </w:r>
    </w:p>
    <w:p w:rsidR="00905E82" w:rsidRPr="003E5402" w:rsidRDefault="005D4896"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3.2. When implementing the contract, the contracting authority reserves the right of choice of the size of the items included in the technical proposal and of the colour range from a catalogue of the contractor while preserving the unit prices indicated in the price proposal for the respective item.   </w:t>
      </w:r>
    </w:p>
    <w:p w:rsidR="00905E82" w:rsidRPr="003E5402" w:rsidRDefault="001B2A0D" w:rsidP="0030737C">
      <w:pPr>
        <w:jc w:val="both"/>
        <w:rPr>
          <w:rFonts w:asciiTheme="majorHAnsi" w:hAnsiTheme="majorHAnsi"/>
          <w:b/>
          <w:sz w:val="24"/>
          <w:szCs w:val="24"/>
          <w:lang w:val="en-GB"/>
        </w:rPr>
      </w:pPr>
      <w:r w:rsidRPr="003E5402">
        <w:rPr>
          <w:rFonts w:asciiTheme="majorHAnsi" w:hAnsiTheme="majorHAnsi"/>
          <w:b/>
          <w:sz w:val="24"/>
          <w:szCs w:val="24"/>
          <w:lang w:val="en-GB" w:bidi="en-US"/>
        </w:rPr>
        <w:t>4. Requirements to the supplies</w:t>
      </w:r>
    </w:p>
    <w:p w:rsidR="00905E82" w:rsidRPr="003E5402" w:rsidRDefault="005C1C8F"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 The Contractor shall: </w:t>
      </w:r>
    </w:p>
    <w:p w:rsidR="00905E82" w:rsidRPr="003E5402" w:rsidRDefault="005C1C8F"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 provide qualified staff to supply and assemble the items described in his/its Technical Proposal, as attached to the contract; </w:t>
      </w:r>
    </w:p>
    <w:p w:rsidR="00905E82" w:rsidRPr="003E5402" w:rsidRDefault="005C1C8F" w:rsidP="0030737C">
      <w:pPr>
        <w:jc w:val="both"/>
        <w:rPr>
          <w:rFonts w:asciiTheme="majorHAnsi" w:hAnsiTheme="majorHAnsi"/>
          <w:sz w:val="24"/>
          <w:szCs w:val="24"/>
          <w:lang w:val="en-GB"/>
        </w:rPr>
      </w:pPr>
      <w:r w:rsidRPr="003E5402">
        <w:rPr>
          <w:rFonts w:asciiTheme="majorHAnsi" w:hAnsiTheme="majorHAnsi"/>
          <w:sz w:val="24"/>
          <w:szCs w:val="24"/>
          <w:lang w:val="en-GB" w:bidi="en-US"/>
        </w:rPr>
        <w:lastRenderedPageBreak/>
        <w:t xml:space="preserve">4.1.2. supply the items with known origin, accompanied by a certificate of origin and quality (where applicable) and correctly issued sales document which shall specify unequivocally and fully the type of the items supplied, their quantity, batch number, etc.; </w:t>
      </w:r>
    </w:p>
    <w:p w:rsidR="00905E82" w:rsidRPr="003E5402" w:rsidRDefault="005C1C8F"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4.1.3. ensure free documentation from manufacturers (where applicable) accompanying the relevant items, such as certificates, instructions for safe use and/or other types of documents; </w:t>
      </w:r>
    </w:p>
    <w:p w:rsidR="00905E82" w:rsidRPr="003E5402" w:rsidRDefault="005C1C8F" w:rsidP="0030737C">
      <w:pPr>
        <w:jc w:val="both"/>
        <w:rPr>
          <w:rFonts w:asciiTheme="majorHAnsi" w:hAnsiTheme="majorHAnsi"/>
          <w:sz w:val="24"/>
          <w:szCs w:val="24"/>
          <w:lang w:val="en-GB"/>
        </w:rPr>
      </w:pPr>
      <w:r w:rsidRPr="003E5402">
        <w:rPr>
          <w:rFonts w:asciiTheme="majorHAnsi" w:hAnsiTheme="majorHAnsi"/>
          <w:sz w:val="24"/>
          <w:szCs w:val="24"/>
          <w:lang w:val="en-GB" w:bidi="en-US"/>
        </w:rPr>
        <w:t>4.1.4. accept and implement requests for supply and assembly of the items within 30 working days from receipt of the request during working hours.</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4.1.5. supply the items in factory packing (where applicable), safeguarding them from external impacts during transportation and warehouse storage;  </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4.1.6. upon the items’ delivery, shall give instructions for their proper storage and operation;</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4.1.7. the supply of the items shall cover all activities relating to the execution of the contract: loading, unloading, transportation, assembly and other accompanying activities to/in the buildings of the Contracting Authority, as well as all costs relating to the execution of the contract to the places of execution, including transport costs, fees and charges, customs duties, insurances, auxiliary materials, etc.; </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4.1.8. in the event of manufacturing defects of the items, shall eliminate them for their expense; </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4.1.9. ensure warranty maintenance of the supplied items, which shall cover all structural parts; </w:t>
      </w:r>
    </w:p>
    <w:p w:rsidR="00905E82" w:rsidRPr="003E5402" w:rsidRDefault="001D3CC9"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4.1.10. provide warranty against all hidden factory defects of the supplied items, provided that the conditions of operation have been complied with and the defects are not due to normal wear and tear, improper storage or use, which shall be ascertained by a protocol; </w:t>
      </w:r>
    </w:p>
    <w:p w:rsidR="00905E82" w:rsidRPr="003E5402" w:rsidRDefault="000B25C2"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4.1.11. not later than the next working day of the notification date shall send the notification of the existing fault/defect of items supplied under the contract, shall send specialists to remove the fault/defect; </w:t>
      </w:r>
    </w:p>
    <w:p w:rsidR="00905E82" w:rsidRPr="003E5402" w:rsidRDefault="000B25C2"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4.1.12. shall remove defects/faults found not later than seven working days; </w:t>
      </w:r>
    </w:p>
    <w:p w:rsidR="00905E82" w:rsidRPr="003E5402" w:rsidRDefault="000B25C2"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4.1.13. in case the defects/faults found are non-amendable, shall replace the damaged items with new ones; </w:t>
      </w:r>
    </w:p>
    <w:p w:rsidR="00905E82" w:rsidRPr="003E5402" w:rsidRDefault="004C7D58"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4.1.14. if the repair cannot be performed on the spot, the transportation of the items to the service station shall be for its account. </w:t>
      </w:r>
    </w:p>
    <w:p w:rsidR="007F39AC" w:rsidRPr="003E5402" w:rsidRDefault="007F39AC" w:rsidP="0030737C">
      <w:pPr>
        <w:jc w:val="both"/>
        <w:rPr>
          <w:rFonts w:asciiTheme="majorHAnsi" w:hAnsiTheme="majorHAnsi"/>
          <w:b/>
          <w:sz w:val="24"/>
          <w:szCs w:val="24"/>
          <w:lang w:val="en-GB"/>
        </w:rPr>
      </w:pPr>
    </w:p>
    <w:p w:rsidR="0059262F" w:rsidRPr="003E5402" w:rsidRDefault="0059262F" w:rsidP="0030737C">
      <w:pPr>
        <w:jc w:val="both"/>
        <w:rPr>
          <w:rFonts w:asciiTheme="majorHAnsi" w:hAnsiTheme="majorHAnsi"/>
          <w:b/>
          <w:sz w:val="24"/>
          <w:szCs w:val="24"/>
          <w:lang w:val="en-GB"/>
        </w:rPr>
      </w:pPr>
      <w:r w:rsidRPr="003E5402">
        <w:rPr>
          <w:rFonts w:asciiTheme="majorHAnsi" w:hAnsiTheme="majorHAnsi"/>
          <w:b/>
          <w:sz w:val="24"/>
          <w:szCs w:val="24"/>
          <w:lang w:val="en-GB" w:bidi="en-US"/>
        </w:rPr>
        <w:t>5. Warranty periods</w:t>
      </w:r>
    </w:p>
    <w:p w:rsidR="0059262F" w:rsidRPr="003E5402" w:rsidRDefault="0059262F" w:rsidP="0059262F">
      <w:pPr>
        <w:jc w:val="both"/>
        <w:rPr>
          <w:rFonts w:asciiTheme="majorHAnsi" w:hAnsiTheme="majorHAnsi"/>
          <w:sz w:val="24"/>
          <w:szCs w:val="24"/>
          <w:lang w:val="en-GB"/>
        </w:rPr>
      </w:pPr>
      <w:r w:rsidRPr="003E5402">
        <w:rPr>
          <w:rFonts w:asciiTheme="majorHAnsi" w:hAnsiTheme="majorHAnsi"/>
          <w:sz w:val="24"/>
          <w:szCs w:val="24"/>
          <w:lang w:val="en-GB" w:bidi="en-US"/>
        </w:rPr>
        <w:t xml:space="preserve">The tenderers in the public procurement shall provide at least 24-month warranty period for all items included in this Technical Specification. All costs relating to the transportation,  replacement of poor-quality or defective goods during the warranty period shall be at the expense of the contractor. </w:t>
      </w:r>
    </w:p>
    <w:p w:rsidR="0059262F" w:rsidRPr="003E5402" w:rsidRDefault="0059262F" w:rsidP="0059262F">
      <w:pPr>
        <w:jc w:val="both"/>
        <w:rPr>
          <w:rFonts w:asciiTheme="majorHAnsi" w:hAnsiTheme="majorHAnsi"/>
          <w:sz w:val="24"/>
          <w:szCs w:val="24"/>
          <w:lang w:val="en-GB"/>
        </w:rPr>
      </w:pPr>
      <w:r w:rsidRPr="003E5402">
        <w:rPr>
          <w:rFonts w:asciiTheme="majorHAnsi" w:hAnsiTheme="majorHAnsi"/>
          <w:sz w:val="24"/>
          <w:szCs w:val="24"/>
          <w:lang w:val="en-GB" w:bidi="en-US"/>
        </w:rPr>
        <w:t xml:space="preserve">The warranty periods shall start to run from the date of signing the acceptance and handover protocol attesting the acceptance of the goods in accordance with the terms of the contract. </w:t>
      </w:r>
    </w:p>
    <w:p w:rsidR="00F73B9F" w:rsidRPr="003E5402" w:rsidRDefault="00F73B9F" w:rsidP="0059262F">
      <w:pPr>
        <w:jc w:val="both"/>
        <w:rPr>
          <w:rFonts w:asciiTheme="majorHAnsi" w:hAnsiTheme="majorHAnsi"/>
          <w:sz w:val="24"/>
          <w:szCs w:val="24"/>
          <w:lang w:val="en-GB"/>
        </w:rPr>
      </w:pPr>
    </w:p>
    <w:p w:rsidR="00F73B9F" w:rsidRPr="003E5402" w:rsidRDefault="00F73B9F" w:rsidP="00F73B9F">
      <w:pPr>
        <w:widowControl w:val="0"/>
        <w:tabs>
          <w:tab w:val="left" w:pos="567"/>
        </w:tabs>
        <w:autoSpaceDE w:val="0"/>
        <w:autoSpaceDN w:val="0"/>
        <w:adjustRightInd w:val="0"/>
        <w:spacing w:before="120" w:after="120" w:line="256" w:lineRule="auto"/>
        <w:ind w:right="28"/>
        <w:jc w:val="both"/>
        <w:rPr>
          <w:rFonts w:ascii="Times New Roman" w:eastAsia="Times New Roman" w:hAnsi="Times New Roman" w:cs="Times New Roman"/>
          <w:b/>
          <w:sz w:val="24"/>
          <w:szCs w:val="24"/>
          <w:lang w:val="en-GB"/>
        </w:rPr>
      </w:pPr>
      <w:r w:rsidRPr="003E5402">
        <w:rPr>
          <w:rFonts w:ascii="Times New Roman" w:eastAsia="Times New Roman" w:hAnsi="Times New Roman" w:cs="Times New Roman"/>
          <w:b/>
          <w:sz w:val="24"/>
          <w:szCs w:val="24"/>
          <w:lang w:val="en-GB" w:bidi="en-US"/>
        </w:rPr>
        <w:t xml:space="preserve">Note: All prices indicated in the technical specification are indicative and shall be compliant with the standards in the Arab world. </w:t>
      </w:r>
    </w:p>
    <w:p w:rsidR="00F73B9F" w:rsidRPr="003E5402" w:rsidRDefault="00F73B9F" w:rsidP="00F73B9F">
      <w:pPr>
        <w:widowControl w:val="0"/>
        <w:tabs>
          <w:tab w:val="left" w:pos="567"/>
        </w:tabs>
        <w:autoSpaceDE w:val="0"/>
        <w:autoSpaceDN w:val="0"/>
        <w:adjustRightInd w:val="0"/>
        <w:spacing w:before="120" w:after="120" w:line="256" w:lineRule="auto"/>
        <w:ind w:right="28"/>
        <w:jc w:val="both"/>
        <w:rPr>
          <w:rFonts w:ascii="Times New Roman" w:eastAsia="Times New Roman" w:hAnsi="Times New Roman" w:cs="Times New Roman"/>
          <w:b/>
          <w:sz w:val="24"/>
          <w:szCs w:val="24"/>
          <w:lang w:val="en-GB"/>
        </w:rPr>
      </w:pPr>
    </w:p>
    <w:p w:rsidR="00F73B9F" w:rsidRPr="003E5402" w:rsidRDefault="00F73B9F" w:rsidP="00F73B9F">
      <w:pPr>
        <w:widowControl w:val="0"/>
        <w:tabs>
          <w:tab w:val="left" w:pos="567"/>
        </w:tabs>
        <w:autoSpaceDE w:val="0"/>
        <w:autoSpaceDN w:val="0"/>
        <w:adjustRightInd w:val="0"/>
        <w:spacing w:before="120" w:after="120" w:line="256" w:lineRule="auto"/>
        <w:ind w:right="28"/>
        <w:jc w:val="both"/>
        <w:rPr>
          <w:rFonts w:ascii="Times New Roman" w:eastAsia="Times New Roman" w:hAnsi="Times New Roman" w:cs="Times New Roman"/>
          <w:b/>
          <w:sz w:val="24"/>
          <w:szCs w:val="24"/>
          <w:lang w:val="en-GB"/>
        </w:rPr>
      </w:pPr>
    </w:p>
    <w:p w:rsidR="00F73B9F" w:rsidRPr="003E5402" w:rsidRDefault="00F73B9F" w:rsidP="00F73B9F">
      <w:pPr>
        <w:widowControl w:val="0"/>
        <w:tabs>
          <w:tab w:val="left" w:pos="567"/>
        </w:tabs>
        <w:autoSpaceDE w:val="0"/>
        <w:autoSpaceDN w:val="0"/>
        <w:adjustRightInd w:val="0"/>
        <w:spacing w:before="120" w:after="120" w:line="256" w:lineRule="auto"/>
        <w:ind w:right="28"/>
        <w:jc w:val="both"/>
        <w:rPr>
          <w:rFonts w:ascii="Times New Roman" w:eastAsia="Times New Roman" w:hAnsi="Times New Roman" w:cs="Times New Roman"/>
          <w:sz w:val="24"/>
          <w:szCs w:val="24"/>
          <w:lang w:val="en-GB"/>
        </w:rPr>
      </w:pPr>
      <w:r w:rsidRPr="003E5402">
        <w:rPr>
          <w:rFonts w:ascii="Times New Roman" w:eastAsia="Times New Roman" w:hAnsi="Times New Roman" w:cs="Times New Roman"/>
          <w:sz w:val="24"/>
          <w:szCs w:val="24"/>
          <w:lang w:val="en-GB" w:bidi="en-US"/>
        </w:rPr>
        <w:t xml:space="preserve">Prepared by:………………………………. </w:t>
      </w:r>
    </w:p>
    <w:p w:rsidR="00F73B9F" w:rsidRPr="003E5402" w:rsidRDefault="00F73B9F" w:rsidP="00F73B9F">
      <w:pPr>
        <w:widowControl w:val="0"/>
        <w:tabs>
          <w:tab w:val="left" w:pos="567"/>
        </w:tabs>
        <w:autoSpaceDE w:val="0"/>
        <w:autoSpaceDN w:val="0"/>
        <w:adjustRightInd w:val="0"/>
        <w:spacing w:before="120" w:after="120" w:line="256" w:lineRule="auto"/>
        <w:ind w:right="28"/>
        <w:jc w:val="both"/>
        <w:rPr>
          <w:rFonts w:ascii="Times New Roman" w:eastAsia="Times New Roman" w:hAnsi="Times New Roman" w:cs="Times New Roman"/>
          <w:sz w:val="24"/>
          <w:szCs w:val="24"/>
          <w:lang w:val="en-GB"/>
        </w:rPr>
      </w:pPr>
      <w:r w:rsidRPr="003E5402">
        <w:rPr>
          <w:rFonts w:ascii="Times New Roman" w:eastAsia="Times New Roman" w:hAnsi="Times New Roman" w:cs="Times New Roman"/>
          <w:sz w:val="24"/>
          <w:szCs w:val="24"/>
          <w:lang w:val="en-GB" w:bidi="en-US"/>
        </w:rPr>
        <w:tab/>
      </w:r>
      <w:r w:rsidRPr="003E5402">
        <w:rPr>
          <w:rFonts w:ascii="Times New Roman" w:eastAsia="Times New Roman" w:hAnsi="Times New Roman" w:cs="Times New Roman"/>
          <w:sz w:val="24"/>
          <w:szCs w:val="24"/>
          <w:lang w:val="en-GB" w:bidi="en-US"/>
        </w:rPr>
        <w:tab/>
      </w:r>
      <w:r w:rsidRPr="003E5402">
        <w:rPr>
          <w:rFonts w:ascii="Times New Roman" w:eastAsia="Times New Roman" w:hAnsi="Times New Roman" w:cs="Times New Roman"/>
          <w:sz w:val="24"/>
          <w:szCs w:val="24"/>
          <w:lang w:val="en-GB" w:bidi="en-US"/>
        </w:rPr>
        <w:tab/>
        <w:t>Gergana Aleksandrova</w:t>
      </w:r>
      <w:bookmarkStart w:id="0" w:name="_GoBack"/>
      <w:bookmarkEnd w:id="0"/>
    </w:p>
    <w:p w:rsidR="00F73B9F" w:rsidRPr="003E5402" w:rsidRDefault="00F73B9F" w:rsidP="0059262F">
      <w:pPr>
        <w:jc w:val="both"/>
        <w:rPr>
          <w:rFonts w:asciiTheme="majorHAnsi" w:hAnsiTheme="majorHAnsi"/>
          <w:sz w:val="24"/>
          <w:szCs w:val="24"/>
          <w:lang w:val="en-GB"/>
        </w:rPr>
      </w:pPr>
    </w:p>
    <w:p w:rsidR="00905E82" w:rsidRPr="003E5402" w:rsidRDefault="00905E82" w:rsidP="0030737C">
      <w:pPr>
        <w:jc w:val="both"/>
        <w:rPr>
          <w:rFonts w:asciiTheme="majorHAnsi" w:hAnsiTheme="majorHAnsi"/>
          <w:sz w:val="24"/>
          <w:szCs w:val="24"/>
          <w:lang w:val="en-GB"/>
        </w:rPr>
      </w:pPr>
      <w:r w:rsidRPr="003E5402">
        <w:rPr>
          <w:rFonts w:asciiTheme="majorHAnsi" w:hAnsiTheme="majorHAnsi"/>
          <w:sz w:val="24"/>
          <w:szCs w:val="24"/>
          <w:lang w:val="en-GB" w:bidi="en-US"/>
        </w:rPr>
        <w:t xml:space="preserve">    </w:t>
      </w:r>
    </w:p>
    <w:p w:rsidR="00B328F6" w:rsidRPr="003E5402" w:rsidRDefault="00B328F6" w:rsidP="0030737C">
      <w:pPr>
        <w:jc w:val="both"/>
        <w:rPr>
          <w:rFonts w:asciiTheme="majorHAnsi" w:hAnsiTheme="majorHAnsi"/>
          <w:sz w:val="24"/>
          <w:szCs w:val="24"/>
          <w:lang w:val="en-GB"/>
        </w:rPr>
      </w:pPr>
    </w:p>
    <w:sectPr w:rsidR="00B328F6" w:rsidRPr="003E5402" w:rsidSect="007D27A5">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63D" w:rsidRDefault="0054763D" w:rsidP="00010A43">
      <w:pPr>
        <w:spacing w:after="0" w:line="240" w:lineRule="auto"/>
      </w:pPr>
      <w:r>
        <w:separator/>
      </w:r>
    </w:p>
  </w:endnote>
  <w:endnote w:type="continuationSeparator" w:id="0">
    <w:p w:rsidR="0054763D" w:rsidRDefault="0054763D" w:rsidP="00010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3172"/>
      <w:docPartObj>
        <w:docPartGallery w:val="Page Numbers (Bottom of Page)"/>
        <w:docPartUnique/>
      </w:docPartObj>
    </w:sdtPr>
    <w:sdtEndPr/>
    <w:sdtContent>
      <w:p w:rsidR="00010A43" w:rsidRDefault="00725F84">
        <w:pPr>
          <w:pStyle w:val="Footer"/>
          <w:jc w:val="right"/>
        </w:pPr>
        <w:r>
          <w:rPr>
            <w:lang w:bidi="en-US"/>
          </w:rPr>
          <w:fldChar w:fldCharType="begin"/>
        </w:r>
        <w:r>
          <w:rPr>
            <w:lang w:bidi="en-US"/>
          </w:rPr>
          <w:instrText xml:space="preserve"> PAGE   \* MERGEFORMAT </w:instrText>
        </w:r>
        <w:r>
          <w:rPr>
            <w:lang w:bidi="en-US"/>
          </w:rPr>
          <w:fldChar w:fldCharType="separate"/>
        </w:r>
        <w:r w:rsidR="003E5402">
          <w:rPr>
            <w:noProof/>
            <w:lang w:bidi="en-US"/>
          </w:rPr>
          <w:t>4</w:t>
        </w:r>
        <w:r>
          <w:rPr>
            <w:noProof/>
            <w:lang w:bidi="en-US"/>
          </w:rPr>
          <w:fldChar w:fldCharType="end"/>
        </w:r>
      </w:p>
    </w:sdtContent>
  </w:sdt>
  <w:p w:rsidR="00010A43" w:rsidRDefault="00010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63D" w:rsidRDefault="0054763D" w:rsidP="00010A43">
      <w:pPr>
        <w:spacing w:after="0" w:line="240" w:lineRule="auto"/>
      </w:pPr>
      <w:r>
        <w:separator/>
      </w:r>
    </w:p>
  </w:footnote>
  <w:footnote w:type="continuationSeparator" w:id="0">
    <w:p w:rsidR="0054763D" w:rsidRDefault="0054763D" w:rsidP="00010A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06C43"/>
    <w:multiLevelType w:val="hybridMultilevel"/>
    <w:tmpl w:val="DFC4D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C94"/>
    <w:rsid w:val="00010A43"/>
    <w:rsid w:val="00084DEE"/>
    <w:rsid w:val="000A0DF1"/>
    <w:rsid w:val="000A1EED"/>
    <w:rsid w:val="000B25C2"/>
    <w:rsid w:val="000C1331"/>
    <w:rsid w:val="000D5308"/>
    <w:rsid w:val="000E36B0"/>
    <w:rsid w:val="000F5407"/>
    <w:rsid w:val="00106CC0"/>
    <w:rsid w:val="00133CD0"/>
    <w:rsid w:val="00136B2A"/>
    <w:rsid w:val="00156475"/>
    <w:rsid w:val="0017426A"/>
    <w:rsid w:val="00177A42"/>
    <w:rsid w:val="00190A98"/>
    <w:rsid w:val="001B2A0D"/>
    <w:rsid w:val="001C78D0"/>
    <w:rsid w:val="001D1A15"/>
    <w:rsid w:val="001D3CC9"/>
    <w:rsid w:val="00211AC5"/>
    <w:rsid w:val="00213E19"/>
    <w:rsid w:val="00232F71"/>
    <w:rsid w:val="0025444C"/>
    <w:rsid w:val="00276089"/>
    <w:rsid w:val="00280F1C"/>
    <w:rsid w:val="002F14BE"/>
    <w:rsid w:val="0030737C"/>
    <w:rsid w:val="00307730"/>
    <w:rsid w:val="003233FF"/>
    <w:rsid w:val="00327F3D"/>
    <w:rsid w:val="003335CC"/>
    <w:rsid w:val="003E5402"/>
    <w:rsid w:val="00406C1F"/>
    <w:rsid w:val="00412CCA"/>
    <w:rsid w:val="004203BE"/>
    <w:rsid w:val="00450F91"/>
    <w:rsid w:val="004A3C05"/>
    <w:rsid w:val="004B332D"/>
    <w:rsid w:val="004B3AD2"/>
    <w:rsid w:val="004C7D58"/>
    <w:rsid w:val="004E15FA"/>
    <w:rsid w:val="004F70E1"/>
    <w:rsid w:val="00501272"/>
    <w:rsid w:val="00501C94"/>
    <w:rsid w:val="005267FE"/>
    <w:rsid w:val="00527BEF"/>
    <w:rsid w:val="0054763D"/>
    <w:rsid w:val="00555089"/>
    <w:rsid w:val="00566792"/>
    <w:rsid w:val="0059262F"/>
    <w:rsid w:val="00592CDC"/>
    <w:rsid w:val="005C1C8F"/>
    <w:rsid w:val="005D17AD"/>
    <w:rsid w:val="005D4896"/>
    <w:rsid w:val="00614657"/>
    <w:rsid w:val="00626219"/>
    <w:rsid w:val="006304F4"/>
    <w:rsid w:val="0065271F"/>
    <w:rsid w:val="006779E9"/>
    <w:rsid w:val="006A641D"/>
    <w:rsid w:val="006F1FDA"/>
    <w:rsid w:val="0071619A"/>
    <w:rsid w:val="00725F84"/>
    <w:rsid w:val="00732069"/>
    <w:rsid w:val="0073625B"/>
    <w:rsid w:val="00747AFC"/>
    <w:rsid w:val="007C1135"/>
    <w:rsid w:val="007C31C9"/>
    <w:rsid w:val="007D27A5"/>
    <w:rsid w:val="007F39AC"/>
    <w:rsid w:val="00811B20"/>
    <w:rsid w:val="0081296A"/>
    <w:rsid w:val="0081562C"/>
    <w:rsid w:val="00840DB7"/>
    <w:rsid w:val="00851E06"/>
    <w:rsid w:val="008827B1"/>
    <w:rsid w:val="008923DA"/>
    <w:rsid w:val="00905E82"/>
    <w:rsid w:val="00927E5E"/>
    <w:rsid w:val="0097118B"/>
    <w:rsid w:val="0097413D"/>
    <w:rsid w:val="0098394B"/>
    <w:rsid w:val="00990F76"/>
    <w:rsid w:val="00995EF3"/>
    <w:rsid w:val="009A5506"/>
    <w:rsid w:val="00A10843"/>
    <w:rsid w:val="00A127FC"/>
    <w:rsid w:val="00A35939"/>
    <w:rsid w:val="00A97C3C"/>
    <w:rsid w:val="00AB0C1E"/>
    <w:rsid w:val="00AB2824"/>
    <w:rsid w:val="00AB6D13"/>
    <w:rsid w:val="00AE01A9"/>
    <w:rsid w:val="00AE4F0D"/>
    <w:rsid w:val="00B20BC5"/>
    <w:rsid w:val="00B328F6"/>
    <w:rsid w:val="00B53227"/>
    <w:rsid w:val="00BD76B5"/>
    <w:rsid w:val="00BF385F"/>
    <w:rsid w:val="00C07EE2"/>
    <w:rsid w:val="00C56F00"/>
    <w:rsid w:val="00C66888"/>
    <w:rsid w:val="00C7508C"/>
    <w:rsid w:val="00C85D28"/>
    <w:rsid w:val="00CC7566"/>
    <w:rsid w:val="00CF108B"/>
    <w:rsid w:val="00D04F48"/>
    <w:rsid w:val="00D43166"/>
    <w:rsid w:val="00D66453"/>
    <w:rsid w:val="00DF1656"/>
    <w:rsid w:val="00DF2B1E"/>
    <w:rsid w:val="00E1595D"/>
    <w:rsid w:val="00E24EB5"/>
    <w:rsid w:val="00E3076A"/>
    <w:rsid w:val="00E5797F"/>
    <w:rsid w:val="00ED3E06"/>
    <w:rsid w:val="00EF25C0"/>
    <w:rsid w:val="00F04B9F"/>
    <w:rsid w:val="00F11C6A"/>
    <w:rsid w:val="00F15053"/>
    <w:rsid w:val="00F52126"/>
    <w:rsid w:val="00F73B9F"/>
    <w:rsid w:val="00FB49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F4FE3-9E81-47AF-BCA5-070708F8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0F1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6089"/>
    <w:pPr>
      <w:ind w:left="720"/>
      <w:contextualSpacing/>
    </w:pPr>
  </w:style>
  <w:style w:type="paragraph" w:styleId="Header">
    <w:name w:val="header"/>
    <w:basedOn w:val="Normal"/>
    <w:link w:val="HeaderChar"/>
    <w:uiPriority w:val="99"/>
    <w:semiHidden/>
    <w:unhideWhenUsed/>
    <w:rsid w:val="00010A4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10A43"/>
  </w:style>
  <w:style w:type="paragraph" w:styleId="Footer">
    <w:name w:val="footer"/>
    <w:basedOn w:val="Normal"/>
    <w:link w:val="FooterChar"/>
    <w:uiPriority w:val="99"/>
    <w:unhideWhenUsed/>
    <w:rsid w:val="00010A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0A43"/>
  </w:style>
  <w:style w:type="paragraph" w:styleId="BalloonText">
    <w:name w:val="Balloon Text"/>
    <w:basedOn w:val="Normal"/>
    <w:link w:val="BalloonTextChar"/>
    <w:uiPriority w:val="99"/>
    <w:semiHidden/>
    <w:unhideWhenUsed/>
    <w:rsid w:val="00420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03BE"/>
    <w:rPr>
      <w:rFonts w:ascii="Segoe UI" w:hAnsi="Segoe UI" w:cs="Segoe UI"/>
      <w:sz w:val="18"/>
      <w:szCs w:val="18"/>
    </w:rPr>
  </w:style>
  <w:style w:type="paragraph" w:styleId="PlainText">
    <w:name w:val="Plain Text"/>
    <w:basedOn w:val="Normal"/>
    <w:link w:val="PlainTextChar"/>
    <w:uiPriority w:val="99"/>
    <w:semiHidden/>
    <w:unhideWhenUsed/>
    <w:rsid w:val="00D4316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4316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690773">
      <w:bodyDiv w:val="1"/>
      <w:marLeft w:val="0"/>
      <w:marRight w:val="0"/>
      <w:marTop w:val="0"/>
      <w:marBottom w:val="0"/>
      <w:divBdr>
        <w:top w:val="none" w:sz="0" w:space="0" w:color="auto"/>
        <w:left w:val="none" w:sz="0" w:space="0" w:color="auto"/>
        <w:bottom w:val="none" w:sz="0" w:space="0" w:color="auto"/>
        <w:right w:val="none" w:sz="0" w:space="0" w:color="auto"/>
      </w:divBdr>
    </w:div>
    <w:div w:id="12004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333CA-7A34-4E62-B03A-B4C133FA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960</Words>
  <Characters>5476</Characters>
  <Application>Microsoft Office Word</Application>
  <DocSecurity>0</DocSecurity>
  <Lines>45</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IT</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c:creator>
  <cp:lastModifiedBy>Translation Agency</cp:lastModifiedBy>
  <cp:revision>17</cp:revision>
  <cp:lastPrinted>2018-11-09T10:12:00Z</cp:lastPrinted>
  <dcterms:created xsi:type="dcterms:W3CDTF">2018-11-09T07:56:00Z</dcterms:created>
  <dcterms:modified xsi:type="dcterms:W3CDTF">2018-11-15T14:10:00Z</dcterms:modified>
</cp:coreProperties>
</file>