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483" w:rsidRPr="002F2388" w:rsidRDefault="00B61483" w:rsidP="00B61483">
      <w:pPr>
        <w:jc w:val="right"/>
        <w:rPr>
          <w:b/>
          <w:bCs/>
        </w:rPr>
      </w:pPr>
      <w:r w:rsidRPr="002F2388">
        <w:rPr>
          <w:b/>
          <w:lang w:bidi="en-US"/>
        </w:rPr>
        <w:t xml:space="preserve">Annex </w:t>
      </w:r>
      <w:proofErr w:type="gramStart"/>
      <w:r w:rsidRPr="002F2388">
        <w:rPr>
          <w:b/>
          <w:lang w:bidi="en-US"/>
        </w:rPr>
        <w:t>7</w:t>
      </w:r>
      <w:proofErr w:type="gramEnd"/>
    </w:p>
    <w:p w:rsidR="00B61483" w:rsidRPr="00656F4D" w:rsidRDefault="00B61483" w:rsidP="00B61483">
      <w:pPr>
        <w:jc w:val="right"/>
        <w:rPr>
          <w:b/>
          <w:bCs/>
          <w:sz w:val="20"/>
          <w:szCs w:val="20"/>
        </w:rPr>
      </w:pPr>
      <w:r w:rsidRPr="00656F4D">
        <w:rPr>
          <w:sz w:val="20"/>
          <w:szCs w:val="20"/>
          <w:lang w:bidi="en-US"/>
        </w:rPr>
        <w:t>(TEMPLATE)</w:t>
      </w:r>
    </w:p>
    <w:p w:rsidR="00B61483" w:rsidRDefault="00B61483" w:rsidP="00B61483">
      <w:pPr>
        <w:jc w:val="both"/>
        <w:outlineLvl w:val="1"/>
        <w:rPr>
          <w:b/>
          <w:spacing w:val="40"/>
        </w:rPr>
      </w:pPr>
    </w:p>
    <w:p w:rsidR="00B61483" w:rsidRPr="00973697" w:rsidRDefault="00B61483" w:rsidP="00B61483">
      <w:pPr>
        <w:spacing w:line="360" w:lineRule="auto"/>
        <w:outlineLvl w:val="0"/>
        <w:rPr>
          <w:b/>
          <w:bCs/>
        </w:rPr>
      </w:pPr>
      <w:r w:rsidRPr="00973697">
        <w:rPr>
          <w:b/>
          <w:lang w:bidi="en-US"/>
        </w:rPr>
        <w:t>TO</w:t>
      </w:r>
    </w:p>
    <w:p w:rsidR="00B61483" w:rsidRPr="00973697" w:rsidRDefault="00B61483" w:rsidP="00B61483">
      <w:pPr>
        <w:spacing w:line="360" w:lineRule="auto"/>
      </w:pPr>
      <w:r>
        <w:rPr>
          <w:b/>
          <w:lang w:bidi="en-US"/>
        </w:rPr>
        <w:t xml:space="preserve">……………………………………………….. </w:t>
      </w:r>
      <w:r>
        <w:rPr>
          <w:b/>
          <w:lang w:bidi="en-US"/>
        </w:rPr>
        <w:br/>
      </w:r>
    </w:p>
    <w:p w:rsidR="00B61483" w:rsidRDefault="00B61483" w:rsidP="00B61483">
      <w:pPr>
        <w:spacing w:line="360" w:lineRule="auto"/>
        <w:jc w:val="center"/>
        <w:outlineLvl w:val="1"/>
        <w:rPr>
          <w:b/>
          <w:bCs/>
        </w:rPr>
      </w:pPr>
      <w:r>
        <w:rPr>
          <w:b/>
          <w:lang w:bidi="en-US"/>
        </w:rPr>
        <w:t>PRICE PROPOSAL</w:t>
      </w:r>
    </w:p>
    <w:p w:rsidR="00B61483" w:rsidRDefault="00B61483" w:rsidP="00B61483">
      <w:pPr>
        <w:spacing w:line="360" w:lineRule="auto"/>
        <w:jc w:val="both"/>
        <w:rPr>
          <w:shd w:val="clear" w:color="auto" w:fill="FFFF00"/>
        </w:rPr>
      </w:pPr>
    </w:p>
    <w:p w:rsidR="00B61483" w:rsidRPr="00992053" w:rsidRDefault="00B61483" w:rsidP="00B61483">
      <w:pPr>
        <w:spacing w:line="360" w:lineRule="auto"/>
        <w:ind w:firstLine="720"/>
        <w:jc w:val="both"/>
        <w:rPr>
          <w:b/>
          <w:bCs/>
        </w:rPr>
      </w:pPr>
      <w:r w:rsidRPr="00992053">
        <w:rPr>
          <w:b/>
          <w:lang w:bidi="en-US"/>
        </w:rPr>
        <w:t>DEAR LADIES AND GENTLEMEN,</w:t>
      </w:r>
    </w:p>
    <w:p w:rsidR="00B61483" w:rsidRPr="00992053" w:rsidRDefault="00B61483" w:rsidP="00B61483">
      <w:pPr>
        <w:tabs>
          <w:tab w:val="left" w:pos="900"/>
        </w:tabs>
        <w:spacing w:line="360" w:lineRule="auto"/>
        <w:jc w:val="both"/>
        <w:rPr>
          <w:bCs/>
        </w:rPr>
      </w:pPr>
      <w:r w:rsidRPr="00992053">
        <w:rPr>
          <w:lang w:bidi="en-US"/>
        </w:rPr>
        <w:tab/>
      </w:r>
      <w:proofErr w:type="gramStart"/>
      <w:r w:rsidRPr="00992053">
        <w:rPr>
          <w:lang w:bidi="en-US"/>
        </w:rPr>
        <w:t xml:space="preserve">Hereby we submit our price proposal for participation in the public procurement procedure initiated by you with the subject specified above: </w:t>
      </w:r>
      <w:r w:rsidR="00992053" w:rsidRPr="00992053">
        <w:rPr>
          <w:rFonts w:eastAsia="Times New Roman"/>
          <w:b/>
          <w:sz w:val="22"/>
          <w:szCs w:val="22"/>
          <w:lang w:bidi="en-US"/>
        </w:rPr>
        <w:t xml:space="preserve">“Replacement of the exterior windows and doors of an apartment building, </w:t>
      </w:r>
      <w:r w:rsidR="00992053" w:rsidRPr="00992053">
        <w:rPr>
          <w:rFonts w:eastAsia="Times New Roman"/>
          <w:b/>
          <w:lang w:bidi="en-US"/>
        </w:rPr>
        <w:t>forming part of the immovable properties</w:t>
      </w:r>
      <w:r w:rsidR="00992053" w:rsidRPr="00992053">
        <w:rPr>
          <w:rFonts w:eastAsia="Times New Roman"/>
          <w:b/>
          <w:sz w:val="22"/>
          <w:szCs w:val="22"/>
          <w:lang w:bidi="en-US"/>
        </w:rPr>
        <w:t xml:space="preserve">, </w:t>
      </w:r>
      <w:r w:rsidR="00992053" w:rsidRPr="00992053">
        <w:rPr>
          <w:rFonts w:eastAsia="Times New Roman"/>
          <w:b/>
          <w:lang w:bidi="en-US"/>
        </w:rPr>
        <w:t>owned by the Republic of Bulgaria outside the country</w:t>
      </w:r>
      <w:r w:rsidR="00992053" w:rsidRPr="00992053">
        <w:rPr>
          <w:rFonts w:eastAsia="Times New Roman"/>
          <w:b/>
          <w:sz w:val="22"/>
          <w:szCs w:val="22"/>
          <w:lang w:bidi="en-US"/>
        </w:rPr>
        <w:t xml:space="preserve">, </w:t>
      </w:r>
      <w:r w:rsidR="00992053" w:rsidRPr="00992053">
        <w:rPr>
          <w:rFonts w:eastAsia="Times New Roman"/>
          <w:b/>
          <w:lang w:bidi="en-US"/>
        </w:rPr>
        <w:t>provided for administration to the MFA, with address</w:t>
      </w:r>
      <w:r w:rsidR="00992053" w:rsidRPr="00992053">
        <w:rPr>
          <w:rFonts w:eastAsia="Times New Roman"/>
          <w:b/>
          <w:sz w:val="22"/>
          <w:szCs w:val="22"/>
          <w:lang w:bidi="en-US"/>
        </w:rPr>
        <w:t>: 328 EA</w:t>
      </w:r>
      <w:r w:rsidR="00992053" w:rsidRPr="00992053">
        <w:rPr>
          <w:rFonts w:eastAsia="Times New Roman"/>
          <w:b/>
          <w:lang w:bidi="en-US"/>
        </w:rPr>
        <w:t>ST 86th Street, New York</w:t>
      </w:r>
      <w:r w:rsidR="00992053" w:rsidRPr="00992053">
        <w:rPr>
          <w:rFonts w:eastAsia="Times New Roman"/>
          <w:b/>
          <w:sz w:val="22"/>
          <w:szCs w:val="22"/>
          <w:lang w:bidi="en-US"/>
        </w:rPr>
        <w:t>, NY 10028, USA”</w:t>
      </w:r>
      <w:proofErr w:type="gramEnd"/>
    </w:p>
    <w:p w:rsidR="00B61483" w:rsidRPr="00992053" w:rsidRDefault="00B61483" w:rsidP="00B61483">
      <w:pPr>
        <w:spacing w:line="360" w:lineRule="auto"/>
        <w:ind w:firstLine="720"/>
        <w:jc w:val="both"/>
      </w:pPr>
      <w:r w:rsidRPr="00992053">
        <w:rPr>
          <w:lang w:bidi="en-US"/>
        </w:rPr>
        <w:t>We offer to perform the subject matter of the public procurement in compliance with the conditions of the tender documentation and the following price terms:</w:t>
      </w:r>
    </w:p>
    <w:p w:rsidR="00E1627D" w:rsidRPr="00E1627D" w:rsidRDefault="00E1627D" w:rsidP="00E1627D">
      <w:pPr>
        <w:spacing w:line="360" w:lineRule="auto"/>
        <w:ind w:firstLine="540"/>
        <w:jc w:val="both"/>
        <w:rPr>
          <w:rFonts w:eastAsia="Times New Roman"/>
          <w:lang w:eastAsia="ar-SA"/>
        </w:rPr>
      </w:pPr>
      <w:r w:rsidRPr="00E1627D">
        <w:rPr>
          <w:rFonts w:eastAsia="Times New Roman"/>
          <w:lang w:bidi="en-US"/>
        </w:rPr>
        <w:t xml:space="preserve">1. We offer to perform the procurement, in compliance with the requirements of the Contracting Authority, for a total amount of up </w:t>
      </w:r>
      <w:proofErr w:type="gramStart"/>
      <w:r w:rsidRPr="00E1627D">
        <w:rPr>
          <w:rFonts w:eastAsia="Times New Roman"/>
          <w:lang w:bidi="en-US"/>
        </w:rPr>
        <w:t>to ....................</w:t>
      </w:r>
      <w:proofErr w:type="gramEnd"/>
      <w:r w:rsidRPr="00E1627D">
        <w:rPr>
          <w:rFonts w:eastAsia="Times New Roman"/>
          <w:lang w:bidi="en-US"/>
        </w:rPr>
        <w:t xml:space="preserve"> (</w:t>
      </w:r>
      <w:proofErr w:type="gramStart"/>
      <w:r w:rsidRPr="00E1627D">
        <w:rPr>
          <w:rFonts w:eastAsia="Times New Roman"/>
          <w:lang w:bidi="en-US"/>
        </w:rPr>
        <w:t>in</w:t>
      </w:r>
      <w:proofErr w:type="gramEnd"/>
      <w:r w:rsidRPr="00E1627D">
        <w:rPr>
          <w:rFonts w:eastAsia="Times New Roman"/>
          <w:lang w:bidi="en-US"/>
        </w:rPr>
        <w:t xml:space="preserve"> words..............................................................................) US Dollars, excluding taxes and charges (not exceeding </w:t>
      </w:r>
      <w:r w:rsidR="00F7316D">
        <w:rPr>
          <w:rFonts w:eastAsia="Times New Roman"/>
          <w:lang w:val="bg-BG" w:bidi="en-US"/>
        </w:rPr>
        <w:t>281,561</w:t>
      </w:r>
      <w:bookmarkStart w:id="0" w:name="_GoBack"/>
      <w:bookmarkEnd w:id="0"/>
      <w:r w:rsidRPr="00E1627D">
        <w:rPr>
          <w:rFonts w:eastAsia="Times New Roman"/>
          <w:lang w:bidi="en-US"/>
        </w:rPr>
        <w:t xml:space="preserve"> US Dollars).</w:t>
      </w:r>
    </w:p>
    <w:p w:rsidR="00E1627D" w:rsidRPr="00E1627D" w:rsidRDefault="00E1627D" w:rsidP="00E1627D">
      <w:pPr>
        <w:spacing w:line="360" w:lineRule="auto"/>
        <w:ind w:firstLine="540"/>
        <w:jc w:val="both"/>
        <w:rPr>
          <w:rFonts w:eastAsia="Times New Roman"/>
          <w:lang w:eastAsia="ar-SA"/>
        </w:rPr>
      </w:pPr>
    </w:p>
    <w:p w:rsidR="00E1627D" w:rsidRPr="00E1627D" w:rsidRDefault="00E1627D" w:rsidP="00E1627D">
      <w:pPr>
        <w:spacing w:line="360" w:lineRule="auto"/>
        <w:ind w:firstLine="540"/>
        <w:jc w:val="both"/>
        <w:rPr>
          <w:rFonts w:eastAsia="Times New Roman"/>
          <w:lang w:eastAsia="ar-SA"/>
        </w:rPr>
      </w:pPr>
      <w:r w:rsidRPr="00E1627D">
        <w:rPr>
          <w:rFonts w:eastAsia="Times New Roman"/>
          <w:lang w:bidi="en-US"/>
        </w:rPr>
        <w:t xml:space="preserve">2. The price thus offered is formed </w:t>
      </w:r>
      <w:proofErr w:type="gramStart"/>
      <w:r w:rsidRPr="00E1627D">
        <w:rPr>
          <w:rFonts w:eastAsia="Times New Roman"/>
          <w:lang w:bidi="en-US"/>
        </w:rPr>
        <w:t>on the basis of</w:t>
      </w:r>
      <w:proofErr w:type="gramEnd"/>
      <w:r w:rsidRPr="00E1627D">
        <w:rPr>
          <w:rFonts w:eastAsia="Times New Roman"/>
          <w:lang w:bidi="en-US"/>
        </w:rPr>
        <w:t xml:space="preserve"> prices in the price schedule, attached to this price proposal and includes </w:t>
      </w:r>
      <w:r w:rsidRPr="00E1627D">
        <w:rPr>
          <w:rFonts w:eastAsia="Times New Roman"/>
          <w:b/>
          <w:lang w:bidi="en-US"/>
        </w:rPr>
        <w:t>all costs of performance of the procurement</w:t>
      </w:r>
      <w:r w:rsidRPr="00E1627D">
        <w:rPr>
          <w:rFonts w:eastAsia="Times New Roman"/>
          <w:lang w:bidi="en-US"/>
        </w:rPr>
        <w:t xml:space="preserve">, including but not limited to </w:t>
      </w:r>
      <w:r w:rsidR="0063219B" w:rsidRPr="0063219B">
        <w:rPr>
          <w:color w:val="000000"/>
          <w:lang w:bidi="en-US"/>
        </w:rPr>
        <w:t>manufacture, delivery and installation of the windows and doors and rendering safe of the area, in accordance with the local regulations</w:t>
      </w:r>
      <w:r w:rsidRPr="00E1627D">
        <w:rPr>
          <w:rFonts w:eastAsia="Times New Roman"/>
          <w:lang w:bidi="en-US"/>
        </w:rPr>
        <w:t>.</w:t>
      </w:r>
    </w:p>
    <w:p w:rsidR="00B61483" w:rsidRPr="00E1627D" w:rsidRDefault="00B61483" w:rsidP="00E1627D">
      <w:pPr>
        <w:spacing w:line="360" w:lineRule="auto"/>
        <w:ind w:firstLine="540"/>
        <w:jc w:val="both"/>
      </w:pPr>
      <w:r w:rsidRPr="00E1627D">
        <w:rPr>
          <w:lang w:bidi="en-US"/>
        </w:rPr>
        <w:t xml:space="preserve">All figures </w:t>
      </w:r>
      <w:proofErr w:type="gramStart"/>
      <w:r w:rsidRPr="00E1627D">
        <w:rPr>
          <w:lang w:bidi="en-US"/>
        </w:rPr>
        <w:t>shall also be shown</w:t>
      </w:r>
      <w:proofErr w:type="gramEnd"/>
      <w:r w:rsidRPr="00E1627D">
        <w:rPr>
          <w:lang w:bidi="en-US"/>
        </w:rPr>
        <w:t xml:space="preserve"> in words and, in case of discrepancy between the figure shown in numerals and in words, the figure shown in words shall be deemed correct. </w:t>
      </w:r>
    </w:p>
    <w:p w:rsidR="00B61483" w:rsidRDefault="00B61483" w:rsidP="00B61483">
      <w:pPr>
        <w:spacing w:line="360" w:lineRule="auto"/>
        <w:ind w:firstLine="540"/>
        <w:jc w:val="both"/>
        <w:rPr>
          <w:b/>
        </w:rPr>
      </w:pPr>
    </w:p>
    <w:p w:rsidR="00B61483" w:rsidRDefault="00B61483" w:rsidP="00B61483">
      <w:pPr>
        <w:spacing w:line="360" w:lineRule="auto"/>
        <w:jc w:val="both"/>
        <w:rPr>
          <w:b/>
          <w:bCs/>
        </w:rPr>
      </w:pPr>
      <w:r>
        <w:rPr>
          <w:b/>
          <w:lang w:bidi="en-US"/>
        </w:rPr>
        <w:t xml:space="preserve">Date: ……………………..      </w:t>
      </w:r>
      <w:r>
        <w:rPr>
          <w:b/>
          <w:lang w:bidi="en-US"/>
        </w:rPr>
        <w:tab/>
      </w:r>
      <w:r>
        <w:rPr>
          <w:b/>
          <w:lang w:bidi="en-US"/>
        </w:rPr>
        <w:tab/>
      </w:r>
      <w:r>
        <w:rPr>
          <w:b/>
          <w:lang w:bidi="en-US"/>
        </w:rPr>
        <w:tab/>
      </w:r>
      <w:r>
        <w:rPr>
          <w:b/>
          <w:lang w:bidi="en-US"/>
        </w:rPr>
        <w:tab/>
      </w:r>
      <w:r>
        <w:rPr>
          <w:b/>
          <w:lang w:bidi="en-US"/>
        </w:rPr>
        <w:tab/>
        <w:t>SIGNATURE: ………………………………..</w:t>
      </w:r>
    </w:p>
    <w:p w:rsidR="00B61483" w:rsidRDefault="0091788F" w:rsidP="00B61483">
      <w:pPr>
        <w:spacing w:line="360" w:lineRule="auto"/>
        <w:ind w:left="4320"/>
        <w:jc w:val="both"/>
        <w:rPr>
          <w:i/>
          <w:iCs/>
        </w:rPr>
      </w:pPr>
      <w:r>
        <w:rPr>
          <w:i/>
          <w:lang w:bidi="en-US"/>
        </w:rPr>
        <w:t>(</w:t>
      </w:r>
      <w:proofErr w:type="gramStart"/>
      <w:r>
        <w:rPr>
          <w:i/>
          <w:lang w:bidi="en-US"/>
        </w:rPr>
        <w:t>full</w:t>
      </w:r>
      <w:proofErr w:type="gramEnd"/>
      <w:r>
        <w:rPr>
          <w:i/>
          <w:lang w:bidi="en-US"/>
        </w:rPr>
        <w:t xml:space="preserve"> name</w:t>
      </w:r>
      <w:r w:rsidR="00B61483">
        <w:rPr>
          <w:i/>
          <w:lang w:bidi="en-US"/>
        </w:rPr>
        <w:t>, positio</w:t>
      </w:r>
      <w:r>
        <w:rPr>
          <w:i/>
          <w:lang w:bidi="en-US"/>
        </w:rPr>
        <w:t xml:space="preserve">n and signature of the declarer </w:t>
      </w:r>
      <w:r w:rsidR="00B61483">
        <w:rPr>
          <w:i/>
          <w:lang w:bidi="en-US"/>
        </w:rPr>
        <w:t>representing the tenderer/person, included in the tenderer-consortium)</w:t>
      </w:r>
    </w:p>
    <w:p w:rsidR="00B61483" w:rsidRDefault="00B61483" w:rsidP="00B61483">
      <w:pPr>
        <w:jc w:val="right"/>
        <w:rPr>
          <w:b/>
          <w:bCs/>
          <w:iCs/>
        </w:rPr>
      </w:pPr>
    </w:p>
    <w:p w:rsidR="00B61483" w:rsidRDefault="00B61483" w:rsidP="00B61483">
      <w:pPr>
        <w:jc w:val="right"/>
        <w:rPr>
          <w:b/>
          <w:bCs/>
          <w:iCs/>
        </w:rPr>
      </w:pPr>
    </w:p>
    <w:p w:rsidR="00B61483" w:rsidRDefault="00B61483" w:rsidP="00B61483">
      <w:pPr>
        <w:jc w:val="right"/>
        <w:rPr>
          <w:b/>
          <w:bCs/>
          <w:iCs/>
        </w:rPr>
      </w:pPr>
    </w:p>
    <w:p w:rsidR="00B61483" w:rsidRDefault="00B61483" w:rsidP="00B61483">
      <w:pPr>
        <w:jc w:val="right"/>
        <w:rPr>
          <w:b/>
          <w:bCs/>
          <w:iCs/>
        </w:rPr>
      </w:pPr>
    </w:p>
    <w:p w:rsidR="00B61483" w:rsidRDefault="00B61483" w:rsidP="00B61483">
      <w:pPr>
        <w:jc w:val="right"/>
        <w:rPr>
          <w:b/>
          <w:bCs/>
          <w:iCs/>
        </w:rPr>
      </w:pPr>
    </w:p>
    <w:p w:rsidR="00B61483" w:rsidRDefault="00B61483" w:rsidP="00B61483">
      <w:pPr>
        <w:jc w:val="right"/>
        <w:rPr>
          <w:b/>
          <w:bCs/>
          <w:iCs/>
        </w:rPr>
      </w:pPr>
    </w:p>
    <w:p w:rsidR="00B61483" w:rsidRDefault="00B61483" w:rsidP="00B61483">
      <w:pPr>
        <w:jc w:val="right"/>
        <w:rPr>
          <w:b/>
          <w:bCs/>
          <w:iCs/>
        </w:rPr>
      </w:pPr>
    </w:p>
    <w:p w:rsidR="00E66CCA" w:rsidRDefault="00E66CCA" w:rsidP="00E66CCA">
      <w:pPr>
        <w:autoSpaceDE w:val="0"/>
        <w:autoSpaceDN w:val="0"/>
        <w:spacing w:line="360" w:lineRule="auto"/>
        <w:jc w:val="center"/>
        <w:rPr>
          <w:rFonts w:eastAsia="Times New Roman"/>
          <w:b/>
          <w:bCs/>
          <w:spacing w:val="80"/>
          <w:sz w:val="26"/>
          <w:szCs w:val="26"/>
          <w:lang w:eastAsia="en-US"/>
        </w:rPr>
      </w:pPr>
      <w:bookmarkStart w:id="1" w:name="ценова_таблица_3"/>
      <w:r>
        <w:rPr>
          <w:b/>
          <w:spacing w:val="80"/>
          <w:sz w:val="26"/>
          <w:szCs w:val="26"/>
          <w:lang w:bidi="en-US"/>
        </w:rPr>
        <w:t>PRICE SCHEDULE</w:t>
      </w:r>
    </w:p>
    <w:bookmarkEnd w:id="1"/>
    <w:p w:rsidR="00E66CCA" w:rsidRDefault="00E66CCA" w:rsidP="00E66CCA">
      <w:pPr>
        <w:jc w:val="center"/>
        <w:rPr>
          <w:rFonts w:ascii="Arial" w:eastAsia="SimSun" w:hAnsi="Arial" w:cs="Arial"/>
          <w:b/>
          <w:color w:val="000000"/>
          <w:sz w:val="22"/>
          <w:szCs w:val="22"/>
          <w:lang w:eastAsia="zh-CN"/>
        </w:rPr>
      </w:pPr>
    </w:p>
    <w:p w:rsidR="00E66CCA" w:rsidRDefault="00E66CCA" w:rsidP="00E66CCA">
      <w:pPr>
        <w:autoSpaceDE w:val="0"/>
        <w:autoSpaceDN w:val="0"/>
        <w:jc w:val="center"/>
        <w:rPr>
          <w:rFonts w:ascii="Arial" w:hAnsi="Arial" w:cs="Arial"/>
          <w:b/>
          <w:bCs/>
          <w:spacing w:val="20"/>
          <w:sz w:val="26"/>
          <w:szCs w:val="26"/>
        </w:rPr>
      </w:pPr>
    </w:p>
    <w:tbl>
      <w:tblPr>
        <w:tblW w:w="993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709"/>
        <w:gridCol w:w="4678"/>
        <w:gridCol w:w="992"/>
        <w:gridCol w:w="992"/>
        <w:gridCol w:w="1282"/>
        <w:gridCol w:w="1277"/>
      </w:tblGrid>
      <w:tr w:rsidR="00E66CCA" w:rsidTr="00E66CCA">
        <w:trPr>
          <w:trHeight w:val="730"/>
        </w:trPr>
        <w:tc>
          <w:tcPr>
            <w:tcW w:w="709" w:type="dxa"/>
            <w:tcBorders>
              <w:top w:val="single" w:sz="12" w:space="0" w:color="auto"/>
              <w:left w:val="single" w:sz="12" w:space="0" w:color="auto"/>
              <w:bottom w:val="single" w:sz="12" w:space="0" w:color="auto"/>
              <w:right w:val="single" w:sz="4" w:space="0" w:color="auto"/>
            </w:tcBorders>
            <w:vAlign w:val="center"/>
            <w:hideMark/>
          </w:tcPr>
          <w:p w:rsidR="00E66CCA" w:rsidRDefault="00E66CCA">
            <w:pPr>
              <w:jc w:val="center"/>
              <w:rPr>
                <w:b/>
              </w:rPr>
            </w:pPr>
            <w:r>
              <w:rPr>
                <w:b/>
                <w:lang w:bidi="en-US"/>
              </w:rPr>
              <w:t>No.</w:t>
            </w:r>
          </w:p>
        </w:tc>
        <w:tc>
          <w:tcPr>
            <w:tcW w:w="4678" w:type="dxa"/>
            <w:tcBorders>
              <w:top w:val="single" w:sz="12" w:space="0" w:color="auto"/>
              <w:left w:val="single" w:sz="4" w:space="0" w:color="auto"/>
              <w:bottom w:val="single" w:sz="12" w:space="0" w:color="auto"/>
              <w:right w:val="single" w:sz="4" w:space="0" w:color="auto"/>
            </w:tcBorders>
            <w:vAlign w:val="center"/>
            <w:hideMark/>
          </w:tcPr>
          <w:p w:rsidR="00E66CCA" w:rsidRDefault="00E66CCA">
            <w:pPr>
              <w:jc w:val="center"/>
              <w:rPr>
                <w:b/>
              </w:rPr>
            </w:pPr>
            <w:r>
              <w:rPr>
                <w:b/>
                <w:lang w:bidi="en-US"/>
              </w:rPr>
              <w:t>Title of the activity</w:t>
            </w:r>
          </w:p>
        </w:tc>
        <w:tc>
          <w:tcPr>
            <w:tcW w:w="992" w:type="dxa"/>
            <w:tcBorders>
              <w:top w:val="single" w:sz="12" w:space="0" w:color="auto"/>
              <w:left w:val="single" w:sz="4" w:space="0" w:color="auto"/>
              <w:bottom w:val="single" w:sz="12" w:space="0" w:color="auto"/>
              <w:right w:val="single" w:sz="4" w:space="0" w:color="auto"/>
            </w:tcBorders>
            <w:vAlign w:val="center"/>
            <w:hideMark/>
          </w:tcPr>
          <w:p w:rsidR="00E66CCA" w:rsidRDefault="00E66CCA">
            <w:pPr>
              <w:jc w:val="center"/>
              <w:rPr>
                <w:b/>
                <w:bCs/>
              </w:rPr>
            </w:pPr>
            <w:r>
              <w:rPr>
                <w:b/>
                <w:lang w:bidi="en-US"/>
              </w:rPr>
              <w:t>Measure</w:t>
            </w:r>
          </w:p>
        </w:tc>
        <w:tc>
          <w:tcPr>
            <w:tcW w:w="992" w:type="dxa"/>
            <w:tcBorders>
              <w:top w:val="single" w:sz="12" w:space="0" w:color="auto"/>
              <w:left w:val="single" w:sz="4" w:space="0" w:color="auto"/>
              <w:bottom w:val="single" w:sz="12" w:space="0" w:color="auto"/>
              <w:right w:val="single" w:sz="4" w:space="0" w:color="auto"/>
            </w:tcBorders>
            <w:vAlign w:val="center"/>
            <w:hideMark/>
          </w:tcPr>
          <w:p w:rsidR="00E66CCA" w:rsidRDefault="00957312" w:rsidP="00957312">
            <w:pPr>
              <w:jc w:val="center"/>
              <w:rPr>
                <w:b/>
                <w:bCs/>
              </w:rPr>
            </w:pPr>
            <w:r>
              <w:rPr>
                <w:b/>
                <w:lang w:bidi="en-US"/>
              </w:rPr>
              <w:t>Estimated quantity</w:t>
            </w:r>
          </w:p>
        </w:tc>
        <w:tc>
          <w:tcPr>
            <w:tcW w:w="1282" w:type="dxa"/>
            <w:tcBorders>
              <w:top w:val="single" w:sz="12" w:space="0" w:color="auto"/>
              <w:left w:val="single" w:sz="4" w:space="0" w:color="auto"/>
              <w:bottom w:val="single" w:sz="12" w:space="0" w:color="auto"/>
              <w:right w:val="single" w:sz="4" w:space="0" w:color="auto"/>
            </w:tcBorders>
            <w:hideMark/>
          </w:tcPr>
          <w:p w:rsidR="00E66CCA" w:rsidRDefault="00E66CCA">
            <w:pPr>
              <w:jc w:val="center"/>
              <w:rPr>
                <w:b/>
                <w:bCs/>
              </w:rPr>
            </w:pPr>
            <w:r>
              <w:rPr>
                <w:b/>
                <w:lang w:bidi="en-US"/>
              </w:rPr>
              <w:t>Unit price</w:t>
            </w:r>
          </w:p>
          <w:p w:rsidR="00E66CCA" w:rsidRDefault="00A27318" w:rsidP="00364EEF">
            <w:pPr>
              <w:jc w:val="center"/>
              <w:rPr>
                <w:b/>
                <w:bCs/>
              </w:rPr>
            </w:pPr>
            <w:r>
              <w:rPr>
                <w:b/>
                <w:lang w:bidi="en-US"/>
              </w:rPr>
              <w:t>in USD, net of taxes</w:t>
            </w:r>
          </w:p>
        </w:tc>
        <w:tc>
          <w:tcPr>
            <w:tcW w:w="1277" w:type="dxa"/>
            <w:tcBorders>
              <w:top w:val="single" w:sz="12" w:space="0" w:color="auto"/>
              <w:left w:val="single" w:sz="4" w:space="0" w:color="auto"/>
              <w:bottom w:val="single" w:sz="12" w:space="0" w:color="auto"/>
              <w:right w:val="single" w:sz="12" w:space="0" w:color="auto"/>
            </w:tcBorders>
            <w:vAlign w:val="center"/>
            <w:hideMark/>
          </w:tcPr>
          <w:p w:rsidR="00E66CCA" w:rsidRDefault="00E66CCA">
            <w:pPr>
              <w:jc w:val="center"/>
              <w:rPr>
                <w:b/>
              </w:rPr>
            </w:pPr>
            <w:r>
              <w:rPr>
                <w:b/>
                <w:lang w:bidi="en-US"/>
              </w:rPr>
              <w:t>Value</w:t>
            </w:r>
          </w:p>
          <w:p w:rsidR="00E66CCA" w:rsidRDefault="00A27318" w:rsidP="00364EEF">
            <w:pPr>
              <w:jc w:val="center"/>
              <w:rPr>
                <w:b/>
              </w:rPr>
            </w:pPr>
            <w:r>
              <w:rPr>
                <w:b/>
                <w:lang w:bidi="en-US"/>
              </w:rPr>
              <w:t>in USD, net of taxes</w:t>
            </w:r>
          </w:p>
        </w:tc>
      </w:tr>
      <w:tr w:rsidR="00E66CCA" w:rsidTr="00E66CCA">
        <w:trPr>
          <w:trHeight w:val="270"/>
        </w:trPr>
        <w:tc>
          <w:tcPr>
            <w:tcW w:w="709" w:type="dxa"/>
            <w:tcBorders>
              <w:top w:val="single" w:sz="12" w:space="0" w:color="auto"/>
              <w:left w:val="single" w:sz="12" w:space="0" w:color="auto"/>
              <w:bottom w:val="single" w:sz="12" w:space="0" w:color="auto"/>
              <w:right w:val="single" w:sz="4" w:space="0" w:color="auto"/>
            </w:tcBorders>
            <w:shd w:val="pct15" w:color="auto" w:fill="auto"/>
            <w:vAlign w:val="center"/>
            <w:hideMark/>
          </w:tcPr>
          <w:p w:rsidR="00E66CCA" w:rsidRDefault="00E66CCA">
            <w:pPr>
              <w:jc w:val="center"/>
              <w:rPr>
                <w:b/>
                <w:bCs/>
              </w:rPr>
            </w:pPr>
            <w:r>
              <w:rPr>
                <w:b/>
                <w:lang w:bidi="en-US"/>
              </w:rPr>
              <w:t>1</w:t>
            </w:r>
          </w:p>
        </w:tc>
        <w:tc>
          <w:tcPr>
            <w:tcW w:w="4678" w:type="dxa"/>
            <w:tcBorders>
              <w:top w:val="single" w:sz="12" w:space="0" w:color="auto"/>
              <w:left w:val="single" w:sz="4" w:space="0" w:color="auto"/>
              <w:bottom w:val="single" w:sz="12" w:space="0" w:color="auto"/>
              <w:right w:val="single" w:sz="4" w:space="0" w:color="auto"/>
            </w:tcBorders>
            <w:shd w:val="pct15" w:color="auto" w:fill="auto"/>
            <w:vAlign w:val="center"/>
            <w:hideMark/>
          </w:tcPr>
          <w:p w:rsidR="00E66CCA" w:rsidRDefault="00E66CCA">
            <w:pPr>
              <w:jc w:val="center"/>
              <w:rPr>
                <w:b/>
              </w:rPr>
            </w:pPr>
            <w:r>
              <w:rPr>
                <w:b/>
                <w:lang w:bidi="en-US"/>
              </w:rPr>
              <w:t>2</w:t>
            </w:r>
          </w:p>
        </w:tc>
        <w:tc>
          <w:tcPr>
            <w:tcW w:w="992" w:type="dxa"/>
            <w:tcBorders>
              <w:top w:val="single" w:sz="12" w:space="0" w:color="auto"/>
              <w:left w:val="single" w:sz="4" w:space="0" w:color="auto"/>
              <w:bottom w:val="single" w:sz="12" w:space="0" w:color="auto"/>
              <w:right w:val="single" w:sz="4" w:space="0" w:color="auto"/>
            </w:tcBorders>
            <w:shd w:val="pct15" w:color="auto" w:fill="auto"/>
            <w:vAlign w:val="center"/>
            <w:hideMark/>
          </w:tcPr>
          <w:p w:rsidR="00E66CCA" w:rsidRDefault="00E66CCA">
            <w:pPr>
              <w:jc w:val="center"/>
              <w:rPr>
                <w:b/>
                <w:bCs/>
              </w:rPr>
            </w:pPr>
            <w:r>
              <w:rPr>
                <w:b/>
                <w:lang w:bidi="en-US"/>
              </w:rPr>
              <w:t>3</w:t>
            </w:r>
          </w:p>
        </w:tc>
        <w:tc>
          <w:tcPr>
            <w:tcW w:w="992" w:type="dxa"/>
            <w:tcBorders>
              <w:top w:val="single" w:sz="12" w:space="0" w:color="auto"/>
              <w:left w:val="single" w:sz="4" w:space="0" w:color="auto"/>
              <w:bottom w:val="single" w:sz="12" w:space="0" w:color="auto"/>
              <w:right w:val="single" w:sz="4" w:space="0" w:color="auto"/>
            </w:tcBorders>
            <w:shd w:val="pct15" w:color="auto" w:fill="auto"/>
            <w:vAlign w:val="center"/>
            <w:hideMark/>
          </w:tcPr>
          <w:p w:rsidR="00E66CCA" w:rsidRDefault="00E66CCA">
            <w:pPr>
              <w:jc w:val="center"/>
              <w:rPr>
                <w:b/>
                <w:bCs/>
              </w:rPr>
            </w:pPr>
            <w:r>
              <w:rPr>
                <w:b/>
                <w:lang w:bidi="en-US"/>
              </w:rPr>
              <w:t>4</w:t>
            </w:r>
          </w:p>
        </w:tc>
        <w:tc>
          <w:tcPr>
            <w:tcW w:w="1282" w:type="dxa"/>
            <w:tcBorders>
              <w:top w:val="single" w:sz="12" w:space="0" w:color="auto"/>
              <w:left w:val="single" w:sz="4" w:space="0" w:color="auto"/>
              <w:bottom w:val="single" w:sz="12" w:space="0" w:color="auto"/>
              <w:right w:val="single" w:sz="4" w:space="0" w:color="auto"/>
            </w:tcBorders>
            <w:shd w:val="pct15" w:color="auto" w:fill="auto"/>
            <w:vAlign w:val="center"/>
            <w:hideMark/>
          </w:tcPr>
          <w:p w:rsidR="00E66CCA" w:rsidRDefault="00E66CCA">
            <w:pPr>
              <w:jc w:val="center"/>
              <w:rPr>
                <w:b/>
                <w:bCs/>
              </w:rPr>
            </w:pPr>
            <w:r>
              <w:rPr>
                <w:b/>
                <w:lang w:bidi="en-US"/>
              </w:rPr>
              <w:t>5</w:t>
            </w:r>
          </w:p>
        </w:tc>
        <w:tc>
          <w:tcPr>
            <w:tcW w:w="1277" w:type="dxa"/>
            <w:tcBorders>
              <w:top w:val="single" w:sz="12" w:space="0" w:color="auto"/>
              <w:left w:val="single" w:sz="4" w:space="0" w:color="auto"/>
              <w:bottom w:val="single" w:sz="12" w:space="0" w:color="auto"/>
              <w:right w:val="single" w:sz="12" w:space="0" w:color="auto"/>
            </w:tcBorders>
            <w:shd w:val="pct15" w:color="auto" w:fill="auto"/>
            <w:vAlign w:val="center"/>
            <w:hideMark/>
          </w:tcPr>
          <w:p w:rsidR="00E66CCA" w:rsidRDefault="00E66CCA">
            <w:pPr>
              <w:jc w:val="center"/>
              <w:rPr>
                <w:b/>
              </w:rPr>
            </w:pPr>
            <w:r>
              <w:rPr>
                <w:b/>
                <w:lang w:bidi="en-US"/>
              </w:rPr>
              <w:t>6</w:t>
            </w:r>
          </w:p>
        </w:tc>
      </w:tr>
      <w:tr w:rsidR="00E66CCA" w:rsidTr="00E66CCA">
        <w:trPr>
          <w:trHeight w:val="422"/>
        </w:trPr>
        <w:tc>
          <w:tcPr>
            <w:tcW w:w="709" w:type="dxa"/>
            <w:tcBorders>
              <w:top w:val="single" w:sz="4" w:space="0" w:color="auto"/>
              <w:left w:val="single" w:sz="12" w:space="0" w:color="auto"/>
              <w:bottom w:val="single" w:sz="4" w:space="0" w:color="auto"/>
              <w:right w:val="single" w:sz="4" w:space="0" w:color="auto"/>
            </w:tcBorders>
            <w:vAlign w:val="center"/>
            <w:hideMark/>
          </w:tcPr>
          <w:p w:rsidR="00E66CCA" w:rsidRDefault="00E66CCA">
            <w:pPr>
              <w:jc w:val="center"/>
            </w:pPr>
            <w:r>
              <w:rPr>
                <w:lang w:bidi="en-US"/>
              </w:rPr>
              <w:t>1.</w:t>
            </w:r>
          </w:p>
        </w:tc>
        <w:tc>
          <w:tcPr>
            <w:tcW w:w="4678" w:type="dxa"/>
            <w:tcBorders>
              <w:top w:val="single" w:sz="4" w:space="0" w:color="auto"/>
              <w:left w:val="single" w:sz="4" w:space="0" w:color="auto"/>
              <w:bottom w:val="single" w:sz="4" w:space="0" w:color="auto"/>
              <w:right w:val="single" w:sz="4" w:space="0" w:color="auto"/>
            </w:tcBorders>
            <w:vAlign w:val="center"/>
            <w:hideMark/>
          </w:tcPr>
          <w:p w:rsidR="00E66CCA" w:rsidRDefault="00E66CCA" w:rsidP="00E66CCA">
            <w:pPr>
              <w:jc w:val="both"/>
            </w:pPr>
            <w:r>
              <w:rPr>
                <w:lang w:bidi="en-US"/>
              </w:rPr>
              <w:t>Dismantling of old windows and doors</w:t>
            </w:r>
          </w:p>
        </w:tc>
        <w:tc>
          <w:tcPr>
            <w:tcW w:w="992" w:type="dxa"/>
            <w:tcBorders>
              <w:top w:val="single" w:sz="4" w:space="0" w:color="auto"/>
              <w:left w:val="single" w:sz="4" w:space="0" w:color="auto"/>
              <w:bottom w:val="single" w:sz="4" w:space="0" w:color="auto"/>
              <w:right w:val="single" w:sz="4" w:space="0" w:color="auto"/>
            </w:tcBorders>
            <w:vAlign w:val="center"/>
            <w:hideMark/>
          </w:tcPr>
          <w:p w:rsidR="00E66CCA" w:rsidRDefault="00A27318">
            <w:pPr>
              <w:jc w:val="center"/>
            </w:pPr>
            <w:r w:rsidRPr="00A27318">
              <w:rPr>
                <w:lang w:bidi="en-US"/>
              </w:rPr>
              <w:t>sq.f.</w:t>
            </w:r>
          </w:p>
        </w:tc>
        <w:tc>
          <w:tcPr>
            <w:tcW w:w="992" w:type="dxa"/>
            <w:tcBorders>
              <w:top w:val="single" w:sz="4" w:space="0" w:color="auto"/>
              <w:left w:val="single" w:sz="4" w:space="0" w:color="auto"/>
              <w:bottom w:val="single" w:sz="4" w:space="0" w:color="auto"/>
              <w:right w:val="single" w:sz="4" w:space="0" w:color="auto"/>
            </w:tcBorders>
            <w:vAlign w:val="center"/>
            <w:hideMark/>
          </w:tcPr>
          <w:p w:rsidR="00E66CCA" w:rsidRPr="002B0FBE" w:rsidRDefault="002B0FBE" w:rsidP="00A27318">
            <w:pPr>
              <w:jc w:val="center"/>
            </w:pPr>
            <w:r>
              <w:rPr>
                <w:lang w:bidi="en-US"/>
              </w:rPr>
              <w:t xml:space="preserve">4090 </w:t>
            </w:r>
          </w:p>
        </w:tc>
        <w:tc>
          <w:tcPr>
            <w:tcW w:w="1282" w:type="dxa"/>
            <w:tcBorders>
              <w:top w:val="single" w:sz="4" w:space="0" w:color="auto"/>
              <w:left w:val="single" w:sz="4" w:space="0" w:color="auto"/>
              <w:bottom w:val="single" w:sz="4" w:space="0" w:color="auto"/>
              <w:right w:val="single" w:sz="4" w:space="0" w:color="auto"/>
            </w:tcBorders>
          </w:tcPr>
          <w:p w:rsidR="00E66CCA" w:rsidRDefault="00E66CCA">
            <w:pPr>
              <w:jc w:val="center"/>
            </w:pPr>
          </w:p>
        </w:tc>
        <w:tc>
          <w:tcPr>
            <w:tcW w:w="1277" w:type="dxa"/>
            <w:tcBorders>
              <w:top w:val="single" w:sz="4" w:space="0" w:color="auto"/>
              <w:left w:val="single" w:sz="4" w:space="0" w:color="auto"/>
              <w:bottom w:val="single" w:sz="4" w:space="0" w:color="auto"/>
              <w:right w:val="single" w:sz="12" w:space="0" w:color="auto"/>
            </w:tcBorders>
            <w:vAlign w:val="center"/>
          </w:tcPr>
          <w:p w:rsidR="00E66CCA" w:rsidRDefault="00E66CCA">
            <w:pPr>
              <w:jc w:val="center"/>
            </w:pPr>
          </w:p>
        </w:tc>
      </w:tr>
      <w:tr w:rsidR="009254C1" w:rsidTr="00717893">
        <w:trPr>
          <w:trHeight w:val="422"/>
        </w:trPr>
        <w:tc>
          <w:tcPr>
            <w:tcW w:w="9930" w:type="dxa"/>
            <w:gridSpan w:val="6"/>
            <w:tcBorders>
              <w:top w:val="single" w:sz="4" w:space="0" w:color="auto"/>
              <w:left w:val="single" w:sz="12" w:space="0" w:color="auto"/>
              <w:bottom w:val="single" w:sz="4" w:space="0" w:color="auto"/>
            </w:tcBorders>
            <w:vAlign w:val="center"/>
            <w:hideMark/>
          </w:tcPr>
          <w:p w:rsidR="009254C1" w:rsidRDefault="009254C1">
            <w:pPr>
              <w:jc w:val="center"/>
            </w:pPr>
            <w:r>
              <w:rPr>
                <w:lang w:bidi="en-US"/>
              </w:rPr>
              <w:t xml:space="preserve">Manufacture, delivery and installation (in the place of the widows dismantled) of new windows, including </w:t>
            </w:r>
          </w:p>
          <w:p w:rsidR="009254C1" w:rsidRDefault="009254C1" w:rsidP="007A42AA">
            <w:pPr>
              <w:pStyle w:val="ListParagraph"/>
              <w:numPr>
                <w:ilvl w:val="0"/>
                <w:numId w:val="2"/>
              </w:numPr>
              <w:jc w:val="both"/>
            </w:pPr>
            <w:r>
              <w:rPr>
                <w:lang w:bidi="en-US"/>
              </w:rPr>
              <w:t>manufacture, delivery and installation of exterior window sills (water protection), (incl. sealing of the joints between the frames and the sills with silicone, of white color, UV light resistant);</w:t>
            </w:r>
          </w:p>
          <w:p w:rsidR="009254C1" w:rsidRDefault="009254C1" w:rsidP="007A42AA">
            <w:pPr>
              <w:pStyle w:val="ListParagraph"/>
              <w:numPr>
                <w:ilvl w:val="0"/>
                <w:numId w:val="2"/>
              </w:numPr>
              <w:jc w:val="both"/>
            </w:pPr>
            <w:r w:rsidRPr="007A42AA">
              <w:rPr>
                <w:lang w:bidi="en-US"/>
              </w:rPr>
              <w:t>Manufacture, delivery and installation of interior window sills, (incl. sealing of the joints between the frames and the sill with silicone, of white color, UV light resistant);</w:t>
            </w:r>
          </w:p>
          <w:p w:rsidR="009254C1" w:rsidRDefault="009254C1" w:rsidP="00662437">
            <w:pPr>
              <w:pStyle w:val="ListParagraph"/>
              <w:numPr>
                <w:ilvl w:val="0"/>
                <w:numId w:val="2"/>
              </w:numPr>
              <w:jc w:val="both"/>
            </w:pPr>
            <w:r>
              <w:rPr>
                <w:lang w:bidi="en-US"/>
              </w:rPr>
              <w:t>Buttering, plastering, priming and application of two coats of latex paint to the sides and front of the walls around the frames order to restore any sections damaged in the process of dismantling, including installation of corner protectors as necessary;</w:t>
            </w:r>
          </w:p>
          <w:p w:rsidR="009254C1" w:rsidRDefault="009254C1" w:rsidP="00662437">
            <w:pPr>
              <w:pStyle w:val="ListParagraph"/>
              <w:numPr>
                <w:ilvl w:val="0"/>
                <w:numId w:val="2"/>
              </w:numPr>
              <w:jc w:val="both"/>
            </w:pPr>
            <w:r>
              <w:rPr>
                <w:lang w:bidi="en-US"/>
              </w:rPr>
              <w:t>Buttering, plastering, priming and application of masonry paint of color matching the existing one, to the sides and front of the walls around the frames, in order to restore any sections damaged in the process of dismantling, including installation of corner protectors as necessary.</w:t>
            </w:r>
          </w:p>
          <w:p w:rsidR="009254C1" w:rsidRDefault="009254C1" w:rsidP="00662437">
            <w:pPr>
              <w:ind w:left="360"/>
            </w:pPr>
          </w:p>
        </w:tc>
      </w:tr>
      <w:tr w:rsidR="00347EA2" w:rsidRPr="00347EA2" w:rsidTr="007A42AA">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E66CCA" w:rsidRDefault="009254C1">
            <w:pPr>
              <w:jc w:val="center"/>
            </w:pPr>
            <w:r>
              <w:rPr>
                <w:lang w:bidi="en-US"/>
              </w:rPr>
              <w:t>2.</w:t>
            </w:r>
          </w:p>
        </w:tc>
        <w:tc>
          <w:tcPr>
            <w:tcW w:w="4678" w:type="dxa"/>
            <w:tcBorders>
              <w:top w:val="single" w:sz="4" w:space="0" w:color="auto"/>
              <w:left w:val="single" w:sz="4" w:space="0" w:color="auto"/>
              <w:bottom w:val="single" w:sz="4" w:space="0" w:color="auto"/>
              <w:right w:val="single" w:sz="4" w:space="0" w:color="auto"/>
            </w:tcBorders>
            <w:vAlign w:val="center"/>
          </w:tcPr>
          <w:p w:rsidR="00E66CCA" w:rsidRPr="007A42AA" w:rsidRDefault="00662437" w:rsidP="0091788F">
            <w:pPr>
              <w:jc w:val="both"/>
            </w:pPr>
            <w:r>
              <w:rPr>
                <w:lang w:bidi="en-US"/>
              </w:rPr>
              <w:t xml:space="preserve">Frames </w:t>
            </w:r>
            <w:r w:rsidR="0091788F">
              <w:rPr>
                <w:lang w:bidi="en-US"/>
              </w:rPr>
              <w:t>–</w:t>
            </w:r>
            <w:r>
              <w:rPr>
                <w:lang w:bidi="en-US"/>
              </w:rPr>
              <w:t xml:space="preserve"> Type 1</w:t>
            </w:r>
          </w:p>
        </w:tc>
        <w:tc>
          <w:tcPr>
            <w:tcW w:w="992" w:type="dxa"/>
            <w:tcBorders>
              <w:top w:val="single" w:sz="4" w:space="0" w:color="auto"/>
              <w:left w:val="single" w:sz="4" w:space="0" w:color="auto"/>
              <w:bottom w:val="single" w:sz="4" w:space="0" w:color="auto"/>
              <w:right w:val="single" w:sz="4" w:space="0" w:color="auto"/>
            </w:tcBorders>
            <w:vAlign w:val="center"/>
          </w:tcPr>
          <w:p w:rsidR="00E66CCA" w:rsidRPr="009254C1" w:rsidRDefault="009254C1">
            <w:pPr>
              <w:jc w:val="center"/>
            </w:pPr>
            <w:r w:rsidRPr="009254C1">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E66CCA" w:rsidRPr="009D5858" w:rsidRDefault="009D5858">
            <w:pPr>
              <w:jc w:val="center"/>
            </w:pPr>
            <w:r w:rsidRPr="009D5858">
              <w:rPr>
                <w:lang w:bidi="en-US"/>
              </w:rPr>
              <w:t>13</w:t>
            </w:r>
          </w:p>
        </w:tc>
        <w:tc>
          <w:tcPr>
            <w:tcW w:w="1282" w:type="dxa"/>
            <w:tcBorders>
              <w:top w:val="single" w:sz="4" w:space="0" w:color="auto"/>
              <w:left w:val="single" w:sz="4" w:space="0" w:color="auto"/>
              <w:bottom w:val="single" w:sz="4" w:space="0" w:color="auto"/>
              <w:right w:val="single" w:sz="4" w:space="0" w:color="auto"/>
            </w:tcBorders>
          </w:tcPr>
          <w:p w:rsidR="00E66CCA" w:rsidRPr="00347EA2" w:rsidRDefault="00E66CCA">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E66CCA" w:rsidRPr="00347EA2" w:rsidRDefault="00E66CCA">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3.</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2</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13</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4.</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3</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6</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5.</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4</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6</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6.</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1788F">
            <w:pPr>
              <w:contextualSpacing/>
              <w:jc w:val="both"/>
            </w:pPr>
            <w:r w:rsidRPr="009254C1">
              <w:rPr>
                <w:lang w:bidi="en-US"/>
              </w:rPr>
              <w:t>Frames</w:t>
            </w:r>
            <w:r w:rsidR="0091788F">
              <w:rPr>
                <w:lang w:bidi="en-US"/>
              </w:rPr>
              <w:t xml:space="preserve"> –</w:t>
            </w:r>
            <w:r w:rsidRPr="009254C1">
              <w:rPr>
                <w:lang w:bidi="en-US"/>
              </w:rPr>
              <w:t xml:space="preserve"> Type 5</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6</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7.</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6</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7</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8.</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7</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2</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9.</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8</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pcs</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2</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10.</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9</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11.</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Frames </w:t>
            </w:r>
            <w:r w:rsidR="0091788F">
              <w:rPr>
                <w:lang w:bidi="en-US"/>
              </w:rPr>
              <w:t>–</w:t>
            </w:r>
            <w:r w:rsidRPr="009254C1">
              <w:rPr>
                <w:lang w:bidi="en-US"/>
              </w:rPr>
              <w:t xml:space="preserve"> Type 10</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3</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12.</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11</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13.</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12</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lastRenderedPageBreak/>
              <w:t>15.</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13</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D11BC1">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Default="009254C1" w:rsidP="009254C1">
            <w:pPr>
              <w:jc w:val="center"/>
            </w:pPr>
            <w:r>
              <w:rPr>
                <w:lang w:bidi="en-US"/>
              </w:rPr>
              <w:t>16.</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14</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F37E07">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17.</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15</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18.</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16</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19.</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17</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20.</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18</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21.</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19</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22.</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20</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9254C1" w:rsidRPr="00347EA2" w:rsidTr="000248A6">
        <w:trPr>
          <w:trHeight w:val="422"/>
        </w:trPr>
        <w:tc>
          <w:tcPr>
            <w:tcW w:w="709" w:type="dxa"/>
            <w:tcBorders>
              <w:top w:val="single" w:sz="4" w:space="0" w:color="auto"/>
              <w:left w:val="single" w:sz="12" w:space="0" w:color="auto"/>
              <w:bottom w:val="single" w:sz="4" w:space="0" w:color="auto"/>
              <w:right w:val="single" w:sz="4" w:space="0" w:color="auto"/>
            </w:tcBorders>
            <w:vAlign w:val="center"/>
          </w:tcPr>
          <w:p w:rsidR="009254C1" w:rsidRPr="009254C1" w:rsidRDefault="009254C1" w:rsidP="009254C1">
            <w:pPr>
              <w:jc w:val="center"/>
            </w:pPr>
            <w:r>
              <w:rPr>
                <w:lang w:bidi="en-US"/>
              </w:rPr>
              <w:t>23.</w:t>
            </w:r>
          </w:p>
        </w:tc>
        <w:tc>
          <w:tcPr>
            <w:tcW w:w="4678" w:type="dxa"/>
            <w:tcBorders>
              <w:top w:val="single" w:sz="4" w:space="0" w:color="auto"/>
              <w:left w:val="single" w:sz="4" w:space="0" w:color="auto"/>
              <w:bottom w:val="single" w:sz="4" w:space="0" w:color="auto"/>
              <w:right w:val="single" w:sz="4" w:space="0" w:color="auto"/>
            </w:tcBorders>
            <w:vAlign w:val="center"/>
          </w:tcPr>
          <w:p w:rsidR="009254C1" w:rsidRPr="009254C1" w:rsidRDefault="009254C1" w:rsidP="009254C1">
            <w:pPr>
              <w:contextualSpacing/>
              <w:jc w:val="both"/>
            </w:pPr>
            <w:r w:rsidRPr="009254C1">
              <w:rPr>
                <w:lang w:bidi="en-US"/>
              </w:rPr>
              <w:t xml:space="preserve">Frame </w:t>
            </w:r>
            <w:r w:rsidR="0091788F">
              <w:rPr>
                <w:lang w:bidi="en-US"/>
              </w:rPr>
              <w:t>–</w:t>
            </w:r>
            <w:r w:rsidRPr="009254C1">
              <w:rPr>
                <w:lang w:bidi="en-US"/>
              </w:rPr>
              <w:t xml:space="preserve"> Type 21</w:t>
            </w:r>
          </w:p>
        </w:tc>
        <w:tc>
          <w:tcPr>
            <w:tcW w:w="992" w:type="dxa"/>
            <w:tcBorders>
              <w:top w:val="single" w:sz="4" w:space="0" w:color="auto"/>
              <w:left w:val="single" w:sz="4" w:space="0" w:color="auto"/>
              <w:bottom w:val="single" w:sz="4" w:space="0" w:color="auto"/>
              <w:right w:val="single" w:sz="4" w:space="0" w:color="auto"/>
            </w:tcBorders>
          </w:tcPr>
          <w:p w:rsidR="009254C1" w:rsidRDefault="009254C1" w:rsidP="009254C1">
            <w:pPr>
              <w:jc w:val="center"/>
            </w:pPr>
            <w:r w:rsidRPr="00035FFA">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tcPr>
          <w:p w:rsidR="009254C1" w:rsidRPr="009D5858" w:rsidRDefault="009D5858" w:rsidP="009254C1">
            <w:pPr>
              <w:jc w:val="center"/>
            </w:pPr>
            <w:r w:rsidRPr="009D5858">
              <w:rPr>
                <w:lang w:bidi="en-US"/>
              </w:rPr>
              <w:t>1</w:t>
            </w:r>
          </w:p>
        </w:tc>
        <w:tc>
          <w:tcPr>
            <w:tcW w:w="1282" w:type="dxa"/>
            <w:tcBorders>
              <w:top w:val="single" w:sz="4" w:space="0" w:color="auto"/>
              <w:left w:val="single" w:sz="4" w:space="0" w:color="auto"/>
              <w:bottom w:val="single" w:sz="4" w:space="0" w:color="auto"/>
              <w:right w:val="single" w:sz="4" w:space="0" w:color="auto"/>
            </w:tcBorders>
          </w:tcPr>
          <w:p w:rsidR="009254C1" w:rsidRPr="00347EA2" w:rsidRDefault="009254C1" w:rsidP="009254C1">
            <w:pPr>
              <w:jc w:val="center"/>
              <w:rPr>
                <w:color w:val="FF0000"/>
              </w:rPr>
            </w:pPr>
          </w:p>
        </w:tc>
        <w:tc>
          <w:tcPr>
            <w:tcW w:w="1277" w:type="dxa"/>
            <w:tcBorders>
              <w:top w:val="single" w:sz="4" w:space="0" w:color="auto"/>
              <w:left w:val="single" w:sz="4" w:space="0" w:color="auto"/>
              <w:bottom w:val="single" w:sz="4" w:space="0" w:color="auto"/>
              <w:right w:val="single" w:sz="12" w:space="0" w:color="auto"/>
            </w:tcBorders>
            <w:vAlign w:val="center"/>
          </w:tcPr>
          <w:p w:rsidR="009254C1" w:rsidRPr="00347EA2" w:rsidRDefault="009254C1" w:rsidP="009254C1">
            <w:pPr>
              <w:jc w:val="center"/>
              <w:rPr>
                <w:color w:val="FF0000"/>
              </w:rPr>
            </w:pPr>
          </w:p>
        </w:tc>
      </w:tr>
      <w:tr w:rsidR="00662437" w:rsidTr="00E66CCA">
        <w:trPr>
          <w:trHeight w:val="422"/>
        </w:trPr>
        <w:tc>
          <w:tcPr>
            <w:tcW w:w="709" w:type="dxa"/>
            <w:tcBorders>
              <w:top w:val="single" w:sz="4" w:space="0" w:color="auto"/>
              <w:left w:val="single" w:sz="12" w:space="0" w:color="auto"/>
              <w:bottom w:val="single" w:sz="4" w:space="0" w:color="auto"/>
              <w:right w:val="single" w:sz="4" w:space="0" w:color="auto"/>
            </w:tcBorders>
            <w:vAlign w:val="center"/>
            <w:hideMark/>
          </w:tcPr>
          <w:p w:rsidR="00662437" w:rsidRDefault="009254C1" w:rsidP="00662437">
            <w:pPr>
              <w:jc w:val="center"/>
            </w:pPr>
            <w:r>
              <w:rPr>
                <w:lang w:bidi="en-US"/>
              </w:rPr>
              <w:t>24.</w:t>
            </w:r>
          </w:p>
        </w:tc>
        <w:tc>
          <w:tcPr>
            <w:tcW w:w="4678" w:type="dxa"/>
            <w:tcBorders>
              <w:top w:val="single" w:sz="4" w:space="0" w:color="auto"/>
              <w:left w:val="single" w:sz="4" w:space="0" w:color="auto"/>
              <w:bottom w:val="single" w:sz="4" w:space="0" w:color="auto"/>
              <w:right w:val="single" w:sz="4" w:space="0" w:color="auto"/>
            </w:tcBorders>
            <w:vAlign w:val="center"/>
            <w:hideMark/>
          </w:tcPr>
          <w:p w:rsidR="00662437" w:rsidRDefault="00662437" w:rsidP="00A27318">
            <w:pPr>
              <w:tabs>
                <w:tab w:val="left" w:pos="284"/>
              </w:tabs>
              <w:jc w:val="both"/>
              <w:rPr>
                <w:szCs w:val="20"/>
              </w:rPr>
            </w:pPr>
            <w:r>
              <w:rPr>
                <w:szCs w:val="20"/>
                <w:lang w:bidi="en-US"/>
              </w:rPr>
              <w:t xml:space="preserve">Cleaning up, collection, loading, hauling away and disposal of all waste at the nearest landfill in the area. </w:t>
            </w:r>
          </w:p>
        </w:tc>
        <w:tc>
          <w:tcPr>
            <w:tcW w:w="992" w:type="dxa"/>
            <w:tcBorders>
              <w:top w:val="single" w:sz="4" w:space="0" w:color="auto"/>
              <w:left w:val="single" w:sz="4" w:space="0" w:color="auto"/>
              <w:bottom w:val="single" w:sz="4" w:space="0" w:color="auto"/>
              <w:right w:val="single" w:sz="4" w:space="0" w:color="auto"/>
            </w:tcBorders>
            <w:vAlign w:val="center"/>
            <w:hideMark/>
          </w:tcPr>
          <w:p w:rsidR="00662437" w:rsidRDefault="00662437" w:rsidP="00662437">
            <w:pPr>
              <w:jc w:val="center"/>
            </w:pPr>
            <w:r>
              <w:rPr>
                <w:lang w:bidi="en-US"/>
              </w:rPr>
              <w:t>pc</w:t>
            </w:r>
          </w:p>
        </w:tc>
        <w:tc>
          <w:tcPr>
            <w:tcW w:w="992" w:type="dxa"/>
            <w:tcBorders>
              <w:top w:val="single" w:sz="4" w:space="0" w:color="auto"/>
              <w:left w:val="single" w:sz="4" w:space="0" w:color="auto"/>
              <w:bottom w:val="single" w:sz="4" w:space="0" w:color="auto"/>
              <w:right w:val="single" w:sz="4" w:space="0" w:color="auto"/>
            </w:tcBorders>
            <w:vAlign w:val="center"/>
            <w:hideMark/>
          </w:tcPr>
          <w:p w:rsidR="00662437" w:rsidRDefault="00662437" w:rsidP="00662437">
            <w:pPr>
              <w:jc w:val="center"/>
            </w:pPr>
            <w:r>
              <w:rPr>
                <w:lang w:bidi="en-US"/>
              </w:rPr>
              <w:t>1</w:t>
            </w:r>
          </w:p>
        </w:tc>
        <w:tc>
          <w:tcPr>
            <w:tcW w:w="1282" w:type="dxa"/>
            <w:tcBorders>
              <w:top w:val="single" w:sz="4" w:space="0" w:color="auto"/>
              <w:left w:val="single" w:sz="4" w:space="0" w:color="auto"/>
              <w:bottom w:val="single" w:sz="4" w:space="0" w:color="auto"/>
              <w:right w:val="single" w:sz="4" w:space="0" w:color="auto"/>
            </w:tcBorders>
          </w:tcPr>
          <w:p w:rsidR="00662437" w:rsidRDefault="00662437" w:rsidP="00662437">
            <w:pPr>
              <w:jc w:val="center"/>
            </w:pPr>
          </w:p>
        </w:tc>
        <w:tc>
          <w:tcPr>
            <w:tcW w:w="1277" w:type="dxa"/>
            <w:tcBorders>
              <w:top w:val="single" w:sz="4" w:space="0" w:color="auto"/>
              <w:left w:val="single" w:sz="4" w:space="0" w:color="auto"/>
              <w:bottom w:val="single" w:sz="4" w:space="0" w:color="auto"/>
              <w:right w:val="single" w:sz="12" w:space="0" w:color="auto"/>
            </w:tcBorders>
            <w:vAlign w:val="center"/>
          </w:tcPr>
          <w:p w:rsidR="00662437" w:rsidRDefault="00662437" w:rsidP="00662437">
            <w:pPr>
              <w:jc w:val="center"/>
            </w:pPr>
          </w:p>
        </w:tc>
      </w:tr>
      <w:tr w:rsidR="00662437" w:rsidTr="00E66CCA">
        <w:trPr>
          <w:trHeight w:val="379"/>
        </w:trPr>
        <w:tc>
          <w:tcPr>
            <w:tcW w:w="8653" w:type="dxa"/>
            <w:gridSpan w:val="5"/>
            <w:tcBorders>
              <w:top w:val="single" w:sz="12" w:space="0" w:color="auto"/>
              <w:left w:val="single" w:sz="12" w:space="0" w:color="auto"/>
              <w:bottom w:val="single" w:sz="12" w:space="0" w:color="auto"/>
              <w:right w:val="single" w:sz="12" w:space="0" w:color="auto"/>
            </w:tcBorders>
            <w:shd w:val="pct20" w:color="auto" w:fill="auto"/>
            <w:vAlign w:val="center"/>
            <w:hideMark/>
          </w:tcPr>
          <w:p w:rsidR="00662437" w:rsidRDefault="00662437" w:rsidP="00364EEF">
            <w:pPr>
              <w:jc w:val="right"/>
              <w:rPr>
                <w:b/>
                <w:color w:val="FF0000"/>
              </w:rPr>
            </w:pPr>
            <w:r>
              <w:rPr>
                <w:b/>
                <w:lang w:bidi="en-US"/>
              </w:rPr>
              <w:t>TOTAL VALUE, net of taxes</w:t>
            </w:r>
          </w:p>
        </w:tc>
        <w:tc>
          <w:tcPr>
            <w:tcW w:w="1277" w:type="dxa"/>
            <w:tcBorders>
              <w:top w:val="single" w:sz="12" w:space="0" w:color="auto"/>
              <w:left w:val="single" w:sz="4" w:space="0" w:color="auto"/>
              <w:bottom w:val="single" w:sz="12" w:space="0" w:color="auto"/>
              <w:right w:val="single" w:sz="12" w:space="0" w:color="auto"/>
            </w:tcBorders>
            <w:shd w:val="pct20" w:color="auto" w:fill="auto"/>
            <w:vAlign w:val="center"/>
          </w:tcPr>
          <w:p w:rsidR="00662437" w:rsidRDefault="00662437" w:rsidP="00662437">
            <w:pPr>
              <w:rPr>
                <w:b/>
                <w:color w:val="FF0000"/>
              </w:rPr>
            </w:pPr>
          </w:p>
        </w:tc>
      </w:tr>
    </w:tbl>
    <w:p w:rsidR="00E66CCA" w:rsidRDefault="00E66CCA" w:rsidP="00E66CCA">
      <w:pPr>
        <w:spacing w:after="120"/>
        <w:rPr>
          <w:rFonts w:ascii="Arial" w:hAnsi="Arial" w:cs="Arial"/>
        </w:rPr>
      </w:pPr>
    </w:p>
    <w:p w:rsidR="00E66CCA" w:rsidRDefault="00E66CCA" w:rsidP="00E66CCA">
      <w:pPr>
        <w:tabs>
          <w:tab w:val="left" w:pos="9922"/>
        </w:tabs>
        <w:suppressAutoHyphens/>
        <w:jc w:val="both"/>
        <w:rPr>
          <w:rFonts w:ascii="Arial" w:hAnsi="Arial" w:cs="Arial"/>
          <w:bCs/>
          <w:sz w:val="20"/>
          <w:szCs w:val="22"/>
          <w:u w:val="single"/>
        </w:rPr>
      </w:pPr>
    </w:p>
    <w:p w:rsidR="00E66CCA" w:rsidRDefault="00E66CCA" w:rsidP="00E66CCA">
      <w:pPr>
        <w:spacing w:before="120"/>
        <w:jc w:val="both"/>
        <w:rPr>
          <w:bCs/>
        </w:rPr>
      </w:pPr>
      <w:proofErr w:type="gramStart"/>
      <w:r>
        <w:rPr>
          <w:lang w:bidi="en-US"/>
        </w:rPr>
        <w:t>2. In case of discrepancy between unit and total price of the tenderer</w:t>
      </w:r>
      <w:proofErr w:type="gramEnd"/>
      <w:r>
        <w:rPr>
          <w:lang w:bidi="en-US"/>
        </w:rPr>
        <w:t xml:space="preserve"> the unit price shall be offered.</w:t>
      </w:r>
    </w:p>
    <w:p w:rsidR="00E66CCA" w:rsidRDefault="00E66CCA" w:rsidP="00E66CCA">
      <w:pPr>
        <w:spacing w:before="120"/>
        <w:jc w:val="both"/>
        <w:rPr>
          <w:bCs/>
        </w:rPr>
      </w:pPr>
      <w:r>
        <w:rPr>
          <w:lang w:bidi="en-US"/>
        </w:rPr>
        <w:t xml:space="preserve">3. In the event of discrepancies between the total price in numbers and in words, the price in words </w:t>
      </w:r>
      <w:proofErr w:type="gramStart"/>
      <w:r>
        <w:rPr>
          <w:lang w:bidi="en-US"/>
        </w:rPr>
        <w:t>shall be taken</w:t>
      </w:r>
      <w:proofErr w:type="gramEnd"/>
      <w:r>
        <w:rPr>
          <w:lang w:bidi="en-US"/>
        </w:rPr>
        <w:t xml:space="preserve"> into account.</w:t>
      </w:r>
    </w:p>
    <w:p w:rsidR="00E66CCA" w:rsidRDefault="00E66CCA" w:rsidP="00E66CCA">
      <w:pPr>
        <w:spacing w:before="120"/>
        <w:jc w:val="both"/>
        <w:rPr>
          <w:bCs/>
        </w:rPr>
      </w:pPr>
      <w:r>
        <w:rPr>
          <w:lang w:bidi="en-US"/>
        </w:rPr>
        <w:t xml:space="preserve">4. In case the tenderer would omit to indicate a price for any of the positions in the price schedule and the parameters indicated for the </w:t>
      </w:r>
      <w:proofErr w:type="gramStart"/>
      <w:r>
        <w:rPr>
          <w:lang w:bidi="en-US"/>
        </w:rPr>
        <w:t>formation  of</w:t>
      </w:r>
      <w:proofErr w:type="gramEnd"/>
      <w:r>
        <w:rPr>
          <w:lang w:bidi="en-US"/>
        </w:rPr>
        <w:t xml:space="preserve"> the unit prices under the heading “Note” the commission shall accept that its price proposal is incomplete and such tenderer will be nominated for disqualification form the procedure.</w:t>
      </w:r>
    </w:p>
    <w:p w:rsidR="00E66CCA" w:rsidRDefault="00E66CCA" w:rsidP="00E66CCA">
      <w:pPr>
        <w:spacing w:before="120"/>
        <w:jc w:val="both"/>
        <w:rPr>
          <w:bCs/>
        </w:rPr>
      </w:pPr>
      <w:r>
        <w:rPr>
          <w:lang w:bidi="en-US"/>
        </w:rPr>
        <w:t xml:space="preserve">5. The Contracting Authority shall pay only for works actually performed. </w:t>
      </w:r>
      <w:proofErr w:type="gramStart"/>
      <w:r>
        <w:rPr>
          <w:lang w:bidi="en-US"/>
        </w:rPr>
        <w:t>The actual quantities shall be proven by a bilaterally signed record between the Contractor and the Contracting Authority</w:t>
      </w:r>
      <w:proofErr w:type="gramEnd"/>
      <w:r>
        <w:rPr>
          <w:lang w:bidi="en-US"/>
        </w:rPr>
        <w:t>.</w:t>
      </w:r>
    </w:p>
    <w:p w:rsidR="00E66CCA" w:rsidRPr="009D5858" w:rsidRDefault="00E66CCA" w:rsidP="00E66CCA">
      <w:pPr>
        <w:spacing w:before="120"/>
        <w:jc w:val="both"/>
        <w:rPr>
          <w:bCs/>
        </w:rPr>
      </w:pPr>
      <w:r w:rsidRPr="009D5858">
        <w:rPr>
          <w:lang w:bidi="en-US"/>
        </w:rPr>
        <w:t xml:space="preserve">6. All prices </w:t>
      </w:r>
      <w:proofErr w:type="gramStart"/>
      <w:r w:rsidRPr="009D5858">
        <w:rPr>
          <w:lang w:bidi="en-US"/>
        </w:rPr>
        <w:t>must be quoted</w:t>
      </w:r>
      <w:proofErr w:type="gramEnd"/>
      <w:r w:rsidRPr="009D5858">
        <w:rPr>
          <w:lang w:bidi="en-US"/>
        </w:rPr>
        <w:t xml:space="preserve"> in US Dollars, net of any taxes.</w:t>
      </w:r>
    </w:p>
    <w:p w:rsidR="00E66CCA" w:rsidRDefault="00E66CCA" w:rsidP="00E66CCA">
      <w:pPr>
        <w:tabs>
          <w:tab w:val="left" w:pos="9922"/>
        </w:tabs>
        <w:suppressAutoHyphens/>
        <w:ind w:right="-1"/>
        <w:jc w:val="both"/>
        <w:rPr>
          <w:rFonts w:ascii="Arial" w:hAnsi="Arial" w:cs="Arial"/>
          <w:bCs/>
          <w:sz w:val="22"/>
          <w:szCs w:val="22"/>
        </w:rPr>
      </w:pPr>
    </w:p>
    <w:p w:rsidR="00E66CCA" w:rsidRDefault="00E66CCA" w:rsidP="00E66CCA">
      <w:pPr>
        <w:tabs>
          <w:tab w:val="left" w:pos="9922"/>
        </w:tabs>
        <w:suppressAutoHyphens/>
        <w:ind w:right="-1"/>
        <w:jc w:val="both"/>
        <w:rPr>
          <w:rFonts w:ascii="Arial" w:hAnsi="Arial" w:cs="Arial"/>
          <w:bCs/>
        </w:rPr>
      </w:pPr>
    </w:p>
    <w:p w:rsidR="00E66CCA" w:rsidRDefault="00E66CCA" w:rsidP="00E66CCA">
      <w:pPr>
        <w:tabs>
          <w:tab w:val="left" w:pos="9922"/>
        </w:tabs>
        <w:suppressAutoHyphens/>
        <w:ind w:right="-1"/>
        <w:jc w:val="both"/>
        <w:rPr>
          <w:rFonts w:ascii="Arial" w:hAnsi="Arial" w:cs="Arial"/>
          <w:bCs/>
        </w:rPr>
      </w:pPr>
    </w:p>
    <w:p w:rsidR="00E66CCA" w:rsidRDefault="00E66CCA" w:rsidP="00E66CCA">
      <w:pPr>
        <w:autoSpaceDE w:val="0"/>
        <w:autoSpaceDN w:val="0"/>
        <w:adjustRightInd w:val="0"/>
        <w:spacing w:line="360" w:lineRule="auto"/>
      </w:pPr>
      <w:r>
        <w:rPr>
          <w:lang w:bidi="en-US"/>
        </w:rPr>
        <w:t xml:space="preserve">Date: _________  </w:t>
      </w:r>
      <w:r>
        <w:rPr>
          <w:lang w:bidi="en-US"/>
        </w:rPr>
        <w:tab/>
      </w:r>
      <w:r>
        <w:rPr>
          <w:lang w:bidi="en-US"/>
        </w:rPr>
        <w:tab/>
      </w:r>
      <w:r>
        <w:rPr>
          <w:lang w:bidi="en-US"/>
        </w:rPr>
        <w:tab/>
      </w:r>
      <w:r>
        <w:rPr>
          <w:lang w:bidi="en-US"/>
        </w:rPr>
        <w:tab/>
      </w:r>
      <w:r>
        <w:rPr>
          <w:lang w:bidi="en-US"/>
        </w:rPr>
        <w:tab/>
        <w:t xml:space="preserve">          Signature: _______________</w:t>
      </w:r>
    </w:p>
    <w:p w:rsidR="00E66CCA" w:rsidRDefault="00E66CCA" w:rsidP="00E66CCA">
      <w:pPr>
        <w:autoSpaceDE w:val="0"/>
        <w:autoSpaceDN w:val="0"/>
        <w:adjustRightInd w:val="0"/>
        <w:spacing w:line="360" w:lineRule="auto"/>
        <w:ind w:left="4248" w:firstLine="430"/>
        <w:rPr>
          <w:kern w:val="2"/>
        </w:rPr>
      </w:pPr>
      <w:r>
        <w:rPr>
          <w:i/>
          <w:kern w:val="2"/>
          <w:lang w:bidi="en-US"/>
        </w:rPr>
        <w:t>(</w:t>
      </w:r>
      <w:proofErr w:type="gramStart"/>
      <w:r>
        <w:rPr>
          <w:i/>
          <w:kern w:val="2"/>
          <w:lang w:bidi="en-US"/>
        </w:rPr>
        <w:t>name</w:t>
      </w:r>
      <w:proofErr w:type="gramEnd"/>
      <w:r>
        <w:rPr>
          <w:i/>
          <w:kern w:val="2"/>
          <w:lang w:bidi="en-US"/>
        </w:rPr>
        <w:t xml:space="preserve"> and stamp)</w:t>
      </w:r>
    </w:p>
    <w:sectPr w:rsidR="00E66CC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FF11DB"/>
    <w:multiLevelType w:val="hybridMultilevel"/>
    <w:tmpl w:val="7B840C0C"/>
    <w:lvl w:ilvl="0" w:tplc="88CA2196">
      <w:start w:val="2"/>
      <w:numFmt w:val="bullet"/>
      <w:lvlText w:val="-"/>
      <w:lvlJc w:val="left"/>
      <w:pPr>
        <w:ind w:left="720" w:hanging="360"/>
      </w:pPr>
      <w:rPr>
        <w:rFonts w:ascii="Arial" w:eastAsia="Times New Roman" w:hAnsi="Arial" w:cs="Times New Roman" w:hint="default"/>
      </w:rPr>
    </w:lvl>
    <w:lvl w:ilvl="1" w:tplc="04020003">
      <w:start w:val="1"/>
      <w:numFmt w:val="bullet"/>
      <w:lvlText w:val="o"/>
      <w:lvlJc w:val="left"/>
      <w:pPr>
        <w:ind w:left="1440" w:hanging="360"/>
      </w:pPr>
      <w:rPr>
        <w:rFonts w:ascii="Courier New" w:hAnsi="Courier New" w:cs="Times New Roman"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Times New Roman"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Times New Roman" w:hint="default"/>
      </w:rPr>
    </w:lvl>
    <w:lvl w:ilvl="8" w:tplc="04020005">
      <w:start w:val="1"/>
      <w:numFmt w:val="bullet"/>
      <w:lvlText w:val=""/>
      <w:lvlJc w:val="left"/>
      <w:pPr>
        <w:ind w:left="6480" w:hanging="360"/>
      </w:pPr>
      <w:rPr>
        <w:rFonts w:ascii="Wingdings" w:hAnsi="Wingdings" w:hint="default"/>
      </w:rPr>
    </w:lvl>
  </w:abstractNum>
  <w:abstractNum w:abstractNumId="1" w15:restartNumberingAfterBreak="0">
    <w:nsid w:val="6A9F334A"/>
    <w:multiLevelType w:val="hybridMultilevel"/>
    <w:tmpl w:val="FE606EE6"/>
    <w:lvl w:ilvl="0" w:tplc="D032C110">
      <w:start w:val="4"/>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B61483"/>
    <w:rsid w:val="00046279"/>
    <w:rsid w:val="00152597"/>
    <w:rsid w:val="002B0FBE"/>
    <w:rsid w:val="00347EA2"/>
    <w:rsid w:val="00364EEF"/>
    <w:rsid w:val="0063219B"/>
    <w:rsid w:val="00662437"/>
    <w:rsid w:val="006B520A"/>
    <w:rsid w:val="007A42AA"/>
    <w:rsid w:val="007D7921"/>
    <w:rsid w:val="0091788F"/>
    <w:rsid w:val="009254C1"/>
    <w:rsid w:val="00957312"/>
    <w:rsid w:val="00992053"/>
    <w:rsid w:val="009D5858"/>
    <w:rsid w:val="00A27318"/>
    <w:rsid w:val="00B61483"/>
    <w:rsid w:val="00BE5C49"/>
    <w:rsid w:val="00D662C5"/>
    <w:rsid w:val="00E1627D"/>
    <w:rsid w:val="00E61F7D"/>
    <w:rsid w:val="00E66CCA"/>
    <w:rsid w:val="00F704AA"/>
    <w:rsid w:val="00F7316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E55F8"/>
  <w15:docId w15:val="{E142F7E7-1E3A-4E0E-AD6E-3D0BF031B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1483"/>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42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679</Words>
  <Characters>3871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Denitsa Aleksandrova</cp:lastModifiedBy>
  <cp:revision>20</cp:revision>
  <dcterms:created xsi:type="dcterms:W3CDTF">2017-11-30T15:03:00Z</dcterms:created>
  <dcterms:modified xsi:type="dcterms:W3CDTF">2018-10-26T14:56:00Z</dcterms:modified>
</cp:coreProperties>
</file>