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AC7" w:rsidRDefault="00491CA2" w:rsidP="001F3C83">
      <w:pPr>
        <w:ind w:right="1317"/>
        <w:jc w:val="center"/>
        <w:rPr>
          <w:b/>
        </w:rPr>
      </w:pPr>
      <w:r>
        <w:rPr>
          <w:b/>
          <w:noProof/>
          <w:lang w:val="en-GB"/>
        </w:rPr>
        <w:drawing>
          <wp:inline distT="0" distB="0" distL="0" distR="0">
            <wp:extent cx="1381125" cy="6858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E45131" w:rsidRPr="008F4E36" w:rsidRDefault="00E45131" w:rsidP="00213AC7">
      <w:pPr>
        <w:spacing w:before="240"/>
        <w:ind w:right="1315"/>
        <w:jc w:val="center"/>
        <w:rPr>
          <w:b/>
        </w:rPr>
      </w:pPr>
      <w:r w:rsidRPr="008F4E36">
        <w:rPr>
          <w:b/>
        </w:rPr>
        <w:t>AVIS DE VACANCE</w:t>
      </w:r>
      <w:r w:rsidR="00570F58">
        <w:rPr>
          <w:b/>
        </w:rPr>
        <w:br/>
      </w:r>
    </w:p>
    <w:p w:rsidR="00E45131" w:rsidRDefault="00E45131" w:rsidP="00EB347A">
      <w:pPr>
        <w:tabs>
          <w:tab w:val="left" w:pos="10065"/>
        </w:tabs>
        <w:ind w:right="1317"/>
        <w:jc w:val="center"/>
        <w:rPr>
          <w:b/>
        </w:rPr>
      </w:pPr>
      <w:r w:rsidRPr="008F4E36">
        <w:rPr>
          <w:b/>
        </w:rPr>
        <w:t>EXPERT NATIONAL DETACHE</w:t>
      </w:r>
      <w:r w:rsidR="00C67062">
        <w:rPr>
          <w:b/>
        </w:rPr>
        <w:t xml:space="preserve"> A LA COMMISSION EUROPEENNE</w:t>
      </w:r>
    </w:p>
    <w:p w:rsidR="00D17D0C" w:rsidRDefault="00D17D0C" w:rsidP="00D17D0C">
      <w:pPr>
        <w:ind w:right="175"/>
        <w:rPr>
          <w:b/>
        </w:rPr>
      </w:pPr>
    </w:p>
    <w:p w:rsidR="00E45131" w:rsidRDefault="00E45131" w:rsidP="001F3C83">
      <w:pPr>
        <w:ind w:right="1317"/>
        <w:jc w:val="center"/>
        <w:rPr>
          <w:b/>
        </w:rPr>
      </w:pPr>
    </w:p>
    <w:tbl>
      <w:tblPr>
        <w:tblW w:w="9322" w:type="dxa"/>
        <w:tblLayout w:type="fixed"/>
        <w:tblLook w:val="01E0" w:firstRow="1" w:lastRow="1" w:firstColumn="1" w:lastColumn="1" w:noHBand="0" w:noVBand="0"/>
      </w:tblPr>
      <w:tblGrid>
        <w:gridCol w:w="392"/>
        <w:gridCol w:w="2679"/>
        <w:gridCol w:w="14"/>
        <w:gridCol w:w="6223"/>
        <w:gridCol w:w="14"/>
      </w:tblGrid>
      <w:tr w:rsidR="00454010" w:rsidRPr="0059779D" w:rsidTr="00182ACD">
        <w:trPr>
          <w:gridAfter w:val="1"/>
          <w:wAfter w:w="14" w:type="dxa"/>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rsidR="00454010" w:rsidRPr="0059779D" w:rsidRDefault="00C365C5" w:rsidP="00454010">
            <w:pPr>
              <w:spacing w:before="120"/>
              <w:ind w:right="1315"/>
              <w:jc w:val="both"/>
              <w:rPr>
                <w:b/>
              </w:rPr>
            </w:pPr>
            <w:r>
              <w:rPr>
                <w:b/>
              </w:rPr>
              <w:t>CNECT-B-1</w:t>
            </w:r>
          </w:p>
        </w:tc>
      </w:tr>
      <w:tr w:rsidR="00DE6CF2" w:rsidRPr="0059779D" w:rsidTr="00454010">
        <w:trPr>
          <w:gridAfter w:val="1"/>
          <w:wAfter w:w="14" w:type="dxa"/>
        </w:trPr>
        <w:tc>
          <w:tcPr>
            <w:tcW w:w="392" w:type="dxa"/>
            <w:tcBorders>
              <w:top w:val="single" w:sz="4" w:space="0" w:color="auto"/>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top w:val="single" w:sz="4" w:space="0" w:color="auto"/>
              <w:right w:val="single" w:sz="4" w:space="0" w:color="auto"/>
            </w:tcBorders>
            <w:shd w:val="clear" w:color="auto" w:fill="auto"/>
          </w:tcPr>
          <w:p w:rsidR="00DE6CF2" w:rsidRDefault="00DE6CF2" w:rsidP="0059779D">
            <w:pPr>
              <w:tabs>
                <w:tab w:val="left" w:pos="1697"/>
              </w:tabs>
              <w:ind w:right="-1739"/>
              <w:jc w:val="both"/>
              <w:rPr>
                <w:b/>
                <w:sz w:val="20"/>
              </w:rPr>
            </w:pPr>
            <w:r w:rsidRPr="0059779D">
              <w:rPr>
                <w:b/>
                <w:sz w:val="20"/>
              </w:rPr>
              <w:t>Direction générale :</w:t>
            </w:r>
          </w:p>
          <w:p w:rsidR="00DE6CF2" w:rsidRDefault="00DE6CF2" w:rsidP="0059779D">
            <w:pPr>
              <w:tabs>
                <w:tab w:val="left" w:pos="1697"/>
              </w:tabs>
              <w:ind w:right="-1739"/>
              <w:jc w:val="both"/>
              <w:rPr>
                <w:b/>
                <w:sz w:val="20"/>
              </w:rPr>
            </w:pPr>
            <w:r w:rsidRPr="0059779D">
              <w:rPr>
                <w:b/>
                <w:sz w:val="20"/>
              </w:rPr>
              <w:t>Direction</w:t>
            </w:r>
            <w:r>
              <w:rPr>
                <w:b/>
                <w:sz w:val="20"/>
              </w:rPr>
              <w:t xml:space="preserve"> :</w:t>
            </w:r>
          </w:p>
          <w:p w:rsidR="00DE6CF2" w:rsidRPr="0059779D" w:rsidRDefault="00DE6CF2"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rsidR="00DE6CF2" w:rsidRDefault="00C365C5" w:rsidP="0059779D">
            <w:pPr>
              <w:ind w:right="1317"/>
              <w:jc w:val="both"/>
              <w:rPr>
                <w:b/>
                <w:sz w:val="20"/>
              </w:rPr>
            </w:pPr>
            <w:r w:rsidRPr="00C365C5">
              <w:rPr>
                <w:b/>
                <w:sz w:val="20"/>
              </w:rPr>
              <w:t>Résea</w:t>
            </w:r>
            <w:r>
              <w:rPr>
                <w:b/>
                <w:sz w:val="20"/>
              </w:rPr>
              <w:t>ux de communication, contenu et technologies</w:t>
            </w:r>
          </w:p>
          <w:p w:rsidR="00C365C5" w:rsidRDefault="00C365C5" w:rsidP="0059779D">
            <w:pPr>
              <w:ind w:right="1317"/>
              <w:jc w:val="both"/>
              <w:rPr>
                <w:b/>
                <w:sz w:val="20"/>
              </w:rPr>
            </w:pPr>
            <w:r w:rsidRPr="009F46B7">
              <w:rPr>
                <w:b/>
                <w:sz w:val="20"/>
              </w:rPr>
              <w:t>Réseaux et services de communication</w:t>
            </w:r>
            <w:r>
              <w:rPr>
                <w:b/>
                <w:sz w:val="20"/>
              </w:rPr>
              <w:t>s</w:t>
            </w:r>
            <w:r w:rsidRPr="009F46B7">
              <w:rPr>
                <w:b/>
                <w:sz w:val="20"/>
              </w:rPr>
              <w:t xml:space="preserve"> électronique</w:t>
            </w:r>
            <w:r>
              <w:rPr>
                <w:b/>
                <w:sz w:val="20"/>
              </w:rPr>
              <w:t>s</w:t>
            </w:r>
          </w:p>
          <w:p w:rsidR="00C365C5" w:rsidRDefault="00C365C5" w:rsidP="0059779D">
            <w:pPr>
              <w:ind w:right="1317"/>
              <w:jc w:val="both"/>
              <w:rPr>
                <w:b/>
                <w:bCs/>
                <w:color w:val="000000"/>
                <w:sz w:val="20"/>
              </w:rPr>
            </w:pPr>
            <w:r>
              <w:rPr>
                <w:b/>
                <w:bCs/>
                <w:color w:val="000000"/>
                <w:sz w:val="20"/>
              </w:rPr>
              <w:t>Politiques en matière de communications électroniques</w:t>
            </w:r>
          </w:p>
          <w:p w:rsidR="00B3203A" w:rsidRPr="00B3203A" w:rsidRDefault="00B3203A" w:rsidP="00B3203A">
            <w:pPr>
              <w:ind w:right="1317"/>
              <w:jc w:val="both"/>
              <w:rPr>
                <w:b/>
                <w:sz w:val="20"/>
                <w:lang w:val="en-GB"/>
              </w:rPr>
            </w:pPr>
            <w:r w:rsidRPr="00B3203A">
              <w:rPr>
                <w:b/>
                <w:sz w:val="20"/>
                <w:lang w:val="en-GB"/>
              </w:rPr>
              <w:t>Stefan LECHLER</w:t>
            </w:r>
          </w:p>
          <w:p w:rsidR="00B3203A" w:rsidRPr="00B3203A" w:rsidRDefault="00B3203A" w:rsidP="00B3203A">
            <w:pPr>
              <w:ind w:right="1317"/>
              <w:jc w:val="both"/>
              <w:rPr>
                <w:b/>
                <w:sz w:val="20"/>
                <w:lang w:val="en-GB"/>
              </w:rPr>
            </w:pPr>
            <w:hyperlink r:id="rId9" w:history="1">
              <w:r w:rsidRPr="00B3203A">
                <w:rPr>
                  <w:rStyle w:val="Hyperlink"/>
                  <w:b/>
                  <w:sz w:val="20"/>
                  <w:lang w:val="en-GB"/>
                </w:rPr>
                <w:t>stefan.lechler@ec.europa.eu</w:t>
              </w:r>
            </w:hyperlink>
          </w:p>
          <w:p w:rsidR="00C365C5" w:rsidRPr="00C365C5" w:rsidRDefault="00B3203A" w:rsidP="00B3203A">
            <w:pPr>
              <w:ind w:right="1317"/>
              <w:jc w:val="both"/>
              <w:rPr>
                <w:b/>
                <w:sz w:val="20"/>
              </w:rPr>
            </w:pPr>
            <w:r w:rsidRPr="00900B3B">
              <w:rPr>
                <w:b/>
                <w:sz w:val="20"/>
              </w:rPr>
              <w:t>+32 229-72231</w:t>
            </w:r>
          </w:p>
        </w:tc>
      </w:tr>
      <w:tr w:rsidR="00DE6CF2" w:rsidRPr="0059779D" w:rsidTr="0059779D">
        <w:trPr>
          <w:gridAfter w:val="1"/>
          <w:wAfter w:w="14" w:type="dxa"/>
        </w:trPr>
        <w:tc>
          <w:tcPr>
            <w:tcW w:w="392" w:type="dxa"/>
            <w:tcBorders>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rsidR="00DE6CF2" w:rsidRDefault="00DE6CF2" w:rsidP="0059779D">
            <w:pPr>
              <w:tabs>
                <w:tab w:val="left" w:pos="1697"/>
              </w:tabs>
              <w:ind w:right="-1739"/>
              <w:jc w:val="both"/>
              <w:rPr>
                <w:b/>
                <w:sz w:val="20"/>
              </w:rPr>
            </w:pPr>
            <w:r w:rsidRPr="0059779D">
              <w:rPr>
                <w:b/>
                <w:sz w:val="20"/>
              </w:rPr>
              <w:t>Chef d’unité :</w:t>
            </w:r>
          </w:p>
          <w:p w:rsidR="00DE6CF2" w:rsidRPr="0059779D" w:rsidRDefault="00DE6CF2"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rsidR="00DE6CF2" w:rsidRPr="0059779D" w:rsidRDefault="00DE6CF2" w:rsidP="0059779D">
            <w:pPr>
              <w:ind w:right="1317"/>
              <w:jc w:val="both"/>
              <w:rPr>
                <w:b/>
              </w:rPr>
            </w:pPr>
          </w:p>
        </w:tc>
      </w:tr>
      <w:tr w:rsidR="00DE6CF2" w:rsidRPr="0059779D" w:rsidTr="0059779D">
        <w:trPr>
          <w:gridAfter w:val="1"/>
          <w:wAfter w:w="14" w:type="dxa"/>
        </w:trPr>
        <w:tc>
          <w:tcPr>
            <w:tcW w:w="392" w:type="dxa"/>
            <w:tcBorders>
              <w:left w:val="single" w:sz="4" w:space="0" w:color="auto"/>
            </w:tcBorders>
            <w:shd w:val="clear" w:color="auto" w:fill="auto"/>
          </w:tcPr>
          <w:p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rsidR="00DE6CF2" w:rsidRPr="0059779D" w:rsidRDefault="00DE6CF2"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rsidR="00DE6CF2" w:rsidRPr="0059779D" w:rsidRDefault="00DE6CF2" w:rsidP="0059779D">
            <w:pPr>
              <w:ind w:right="1317"/>
              <w:jc w:val="both"/>
              <w:rPr>
                <w:b/>
                <w:sz w:val="20"/>
              </w:rPr>
            </w:pPr>
          </w:p>
        </w:tc>
      </w:tr>
      <w:tr w:rsidR="002F757B" w:rsidRPr="0059779D" w:rsidTr="0059779D">
        <w:trPr>
          <w:gridAfter w:val="1"/>
          <w:wAfter w:w="14" w:type="dxa"/>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2693" w:type="dxa"/>
            <w:gridSpan w:val="2"/>
            <w:tcBorders>
              <w:right w:val="single" w:sz="4" w:space="0" w:color="auto"/>
            </w:tcBorders>
            <w:shd w:val="clear" w:color="auto" w:fill="auto"/>
          </w:tcPr>
          <w:p w:rsidR="002F757B" w:rsidRPr="0059779D" w:rsidRDefault="002F757B" w:rsidP="0059779D">
            <w:pPr>
              <w:tabs>
                <w:tab w:val="left" w:pos="1697"/>
              </w:tabs>
              <w:ind w:right="-1739"/>
              <w:jc w:val="both"/>
              <w:rPr>
                <w:b/>
                <w:sz w:val="20"/>
              </w:rPr>
            </w:pPr>
          </w:p>
        </w:tc>
        <w:tc>
          <w:tcPr>
            <w:tcW w:w="6223" w:type="dxa"/>
            <w:tcBorders>
              <w:right w:val="single" w:sz="4" w:space="0" w:color="auto"/>
            </w:tcBorders>
            <w:shd w:val="clear" w:color="auto" w:fill="auto"/>
          </w:tcPr>
          <w:p w:rsidR="002F757B" w:rsidRPr="0059779D" w:rsidRDefault="002F757B" w:rsidP="0059779D">
            <w:pPr>
              <w:tabs>
                <w:tab w:val="left" w:pos="1697"/>
              </w:tabs>
              <w:ind w:right="-1739"/>
              <w:jc w:val="both"/>
              <w:rPr>
                <w:b/>
                <w:sz w:val="20"/>
              </w:rPr>
            </w:pPr>
          </w:p>
        </w:tc>
      </w:tr>
      <w:tr w:rsidR="003639FD" w:rsidRPr="0059779D" w:rsidTr="0059779D">
        <w:trPr>
          <w:gridAfter w:val="1"/>
          <w:wAfter w:w="14" w:type="dxa"/>
        </w:trPr>
        <w:tc>
          <w:tcPr>
            <w:tcW w:w="392" w:type="dxa"/>
            <w:tcBorders>
              <w:left w:val="single" w:sz="4" w:space="0" w:color="auto"/>
            </w:tcBorders>
            <w:shd w:val="clear" w:color="auto" w:fill="auto"/>
          </w:tcPr>
          <w:p w:rsidR="003639FD" w:rsidRPr="0059779D" w:rsidRDefault="003639FD" w:rsidP="0059779D">
            <w:pPr>
              <w:ind w:right="1317"/>
              <w:jc w:val="both"/>
              <w:rPr>
                <w:b/>
                <w:sz w:val="20"/>
              </w:rPr>
            </w:pPr>
          </w:p>
        </w:tc>
        <w:tc>
          <w:tcPr>
            <w:tcW w:w="2679" w:type="dxa"/>
            <w:tcBorders>
              <w:left w:val="nil"/>
              <w:right w:val="single" w:sz="4" w:space="0" w:color="auto"/>
            </w:tcBorders>
            <w:shd w:val="clear" w:color="auto" w:fill="auto"/>
          </w:tcPr>
          <w:p w:rsidR="003639FD" w:rsidRPr="0059779D" w:rsidRDefault="00C41FD8"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rsidR="003639FD" w:rsidRPr="0059779D" w:rsidRDefault="00C365C5" w:rsidP="0059779D">
            <w:pPr>
              <w:ind w:left="34" w:right="1317"/>
              <w:jc w:val="both"/>
              <w:rPr>
                <w:b/>
                <w:sz w:val="20"/>
              </w:rPr>
            </w:pPr>
            <w:r>
              <w:rPr>
                <w:b/>
                <w:sz w:val="20"/>
              </w:rPr>
              <w:t>2</w:t>
            </w:r>
          </w:p>
        </w:tc>
      </w:tr>
      <w:tr w:rsidR="00C41FD8" w:rsidRPr="00C21F2B" w:rsidTr="0059779D">
        <w:trPr>
          <w:gridAfter w:val="1"/>
          <w:wAfter w:w="14" w:type="dxa"/>
        </w:trPr>
        <w:tc>
          <w:tcPr>
            <w:tcW w:w="392" w:type="dxa"/>
            <w:tcBorders>
              <w:left w:val="single" w:sz="4" w:space="0" w:color="auto"/>
            </w:tcBorders>
            <w:shd w:val="clear" w:color="auto" w:fill="auto"/>
          </w:tcPr>
          <w:p w:rsidR="00C41FD8" w:rsidRPr="0059779D" w:rsidRDefault="00C41FD8" w:rsidP="0059779D">
            <w:pPr>
              <w:ind w:right="1317"/>
              <w:jc w:val="both"/>
              <w:rPr>
                <w:b/>
                <w:sz w:val="20"/>
              </w:rPr>
            </w:pPr>
          </w:p>
        </w:tc>
        <w:tc>
          <w:tcPr>
            <w:tcW w:w="2679" w:type="dxa"/>
            <w:tcBorders>
              <w:right w:val="single" w:sz="4" w:space="0" w:color="auto"/>
            </w:tcBorders>
            <w:shd w:val="clear" w:color="auto" w:fill="auto"/>
          </w:tcPr>
          <w:p w:rsidR="000230DA" w:rsidRDefault="000230DA" w:rsidP="0059779D">
            <w:pPr>
              <w:tabs>
                <w:tab w:val="left" w:pos="1697"/>
              </w:tabs>
              <w:ind w:right="-1739"/>
              <w:jc w:val="both"/>
              <w:rPr>
                <w:b/>
                <w:sz w:val="20"/>
              </w:rPr>
            </w:pPr>
            <w:r>
              <w:rPr>
                <w:b/>
                <w:sz w:val="20"/>
              </w:rPr>
              <w:t>Catégorie</w:t>
            </w:r>
          </w:p>
          <w:p w:rsidR="00C41FD8" w:rsidRDefault="00C41FD8" w:rsidP="0059779D">
            <w:pPr>
              <w:tabs>
                <w:tab w:val="left" w:pos="1697"/>
              </w:tabs>
              <w:ind w:right="-1739"/>
              <w:jc w:val="both"/>
              <w:rPr>
                <w:b/>
                <w:sz w:val="20"/>
              </w:rPr>
            </w:pPr>
            <w:r w:rsidRPr="0059779D">
              <w:rPr>
                <w:b/>
                <w:sz w:val="20"/>
              </w:rPr>
              <w:t>Prise de fonction souhaitée :</w:t>
            </w:r>
          </w:p>
          <w:p w:rsidR="00625DED" w:rsidRPr="0059779D" w:rsidRDefault="00625DED" w:rsidP="0059779D">
            <w:pPr>
              <w:tabs>
                <w:tab w:val="left" w:pos="1697"/>
              </w:tabs>
              <w:ind w:right="-1739"/>
              <w:jc w:val="both"/>
              <w:rPr>
                <w:b/>
                <w:sz w:val="20"/>
              </w:rPr>
            </w:pPr>
            <w:r>
              <w:rPr>
                <w:b/>
                <w:sz w:val="20"/>
              </w:rPr>
              <w:t>Durée initiale souhaitée</w:t>
            </w:r>
          </w:p>
        </w:tc>
        <w:tc>
          <w:tcPr>
            <w:tcW w:w="6237" w:type="dxa"/>
            <w:gridSpan w:val="2"/>
            <w:tcBorders>
              <w:left w:val="single" w:sz="4" w:space="0" w:color="auto"/>
              <w:right w:val="single" w:sz="4" w:space="0" w:color="auto"/>
            </w:tcBorders>
            <w:shd w:val="clear" w:color="auto" w:fill="auto"/>
          </w:tcPr>
          <w:p w:rsidR="000230DA" w:rsidRPr="00DD20D9" w:rsidRDefault="00C365C5" w:rsidP="0059779D">
            <w:pPr>
              <w:ind w:left="34" w:right="1317"/>
              <w:jc w:val="both"/>
              <w:rPr>
                <w:b/>
                <w:sz w:val="20"/>
              </w:rPr>
            </w:pPr>
            <w:r>
              <w:rPr>
                <w:b/>
                <w:sz w:val="20"/>
              </w:rPr>
              <w:t>Administrateur (AD)</w:t>
            </w:r>
          </w:p>
          <w:p w:rsidR="00C41FD8" w:rsidRPr="00C21F2B" w:rsidRDefault="00B3203A" w:rsidP="0059779D">
            <w:pPr>
              <w:ind w:left="34" w:right="1317"/>
              <w:jc w:val="both"/>
              <w:rPr>
                <w:b/>
                <w:sz w:val="20"/>
                <w:lang w:val="fr-FR"/>
              </w:rPr>
            </w:pPr>
            <w:r>
              <w:rPr>
                <w:b/>
                <w:sz w:val="20"/>
              </w:rPr>
              <w:t>1</w:t>
            </w:r>
            <w:r w:rsidRPr="00B3203A">
              <w:rPr>
                <w:b/>
                <w:sz w:val="20"/>
                <w:vertAlign w:val="superscript"/>
              </w:rPr>
              <w:t>er</w:t>
            </w:r>
            <w:r>
              <w:rPr>
                <w:b/>
                <w:sz w:val="20"/>
              </w:rPr>
              <w:t xml:space="preserve"> </w:t>
            </w:r>
            <w:r w:rsidR="00C21F2B">
              <w:rPr>
                <w:b/>
                <w:sz w:val="20"/>
              </w:rPr>
              <w:t>trimestre 201</w:t>
            </w:r>
            <w:r>
              <w:rPr>
                <w:b/>
                <w:sz w:val="20"/>
              </w:rPr>
              <w:t>9</w:t>
            </w:r>
            <w:bookmarkStart w:id="0" w:name="_GoBack"/>
            <w:bookmarkEnd w:id="0"/>
            <w:r w:rsidR="00C21F2B" w:rsidRPr="00C21F2B">
              <w:rPr>
                <w:b/>
                <w:sz w:val="20"/>
                <w:lang w:val="fr-FR"/>
              </w:rPr>
              <w:t xml:space="preserve"> </w:t>
            </w:r>
            <w:r w:rsidR="00625DED" w:rsidRPr="00DD20D9">
              <w:rPr>
                <w:rStyle w:val="FootnoteReference"/>
                <w:b/>
                <w:sz w:val="20"/>
              </w:rPr>
              <w:footnoteReference w:id="1"/>
            </w:r>
          </w:p>
          <w:p w:rsidR="00625DED" w:rsidRPr="00C21F2B" w:rsidRDefault="00C365C5" w:rsidP="001653AB">
            <w:pPr>
              <w:ind w:right="1317"/>
              <w:jc w:val="both"/>
              <w:rPr>
                <w:b/>
                <w:sz w:val="20"/>
                <w:lang w:val="fr-FR"/>
              </w:rPr>
            </w:pPr>
            <w:r>
              <w:rPr>
                <w:rStyle w:val="FootnoteReference"/>
                <w:b/>
                <w:sz w:val="20"/>
                <w:vertAlign w:val="baseline"/>
                <w:lang w:val="fr-FR"/>
              </w:rPr>
              <w:t>2</w:t>
            </w:r>
            <w:r w:rsidR="00C21F2B" w:rsidRPr="00C21F2B">
              <w:rPr>
                <w:rStyle w:val="FootnoteReference"/>
                <w:b/>
                <w:sz w:val="20"/>
                <w:vertAlign w:val="baseline"/>
                <w:lang w:val="fr-FR"/>
              </w:rPr>
              <w:t xml:space="preserve"> an(s</w:t>
            </w:r>
            <w:r w:rsidR="00C21F2B" w:rsidRPr="00C21F2B">
              <w:rPr>
                <w:rStyle w:val="FootnoteReference"/>
                <w:b/>
                <w:sz w:val="20"/>
                <w:lang w:val="fr-FR"/>
              </w:rPr>
              <w:t>)</w:t>
            </w:r>
            <w:r w:rsidR="00625DED" w:rsidRPr="00C21F2B">
              <w:rPr>
                <w:rStyle w:val="FootnoteReference"/>
                <w:b/>
                <w:sz w:val="20"/>
                <w:lang w:val="fr-FR"/>
              </w:rPr>
              <w:t>1</w:t>
            </w:r>
          </w:p>
        </w:tc>
      </w:tr>
      <w:tr w:rsidR="00C41FD8" w:rsidRPr="0059779D" w:rsidTr="00657080">
        <w:trPr>
          <w:gridAfter w:val="1"/>
          <w:wAfter w:w="14" w:type="dxa"/>
        </w:trPr>
        <w:tc>
          <w:tcPr>
            <w:tcW w:w="392" w:type="dxa"/>
            <w:tcBorders>
              <w:left w:val="single" w:sz="4" w:space="0" w:color="auto"/>
              <w:bottom w:val="single" w:sz="4" w:space="0" w:color="auto"/>
            </w:tcBorders>
            <w:shd w:val="clear" w:color="auto" w:fill="auto"/>
          </w:tcPr>
          <w:p w:rsidR="00C41FD8" w:rsidRPr="00C21F2B" w:rsidRDefault="00C41FD8"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rsidR="00C41FD8" w:rsidRPr="0059779D" w:rsidRDefault="00C41FD8"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rsidR="00C41FD8" w:rsidRDefault="00C365C5" w:rsidP="00277C58">
            <w:pPr>
              <w:ind w:right="1317"/>
              <w:jc w:val="both"/>
              <w:rPr>
                <w:b/>
                <w:sz w:val="20"/>
              </w:rPr>
            </w:pPr>
            <w:r>
              <w:rPr>
                <w:rFonts w:ascii="Verdana" w:eastAsia="MS Minngs" w:hAnsi="Verdana" w:cs="Verdana"/>
                <w:bCs/>
                <w:sz w:val="18"/>
                <w:szCs w:val="18"/>
                <w:lang w:val="fr-FR"/>
              </w:rPr>
              <w:sym w:font="Wingdings 2" w:char="F051"/>
            </w:r>
            <w:r w:rsidR="00277C58">
              <w:rPr>
                <w:rFonts w:ascii="Verdana" w:eastAsia="MS Minngs" w:hAnsi="Verdana" w:cs="Verdana"/>
                <w:bCs/>
                <w:sz w:val="18"/>
                <w:szCs w:val="18"/>
                <w:lang w:val="fr-FR"/>
              </w:rPr>
              <w:t xml:space="preserve"> </w:t>
            </w:r>
            <w:r w:rsidR="00377F18" w:rsidRPr="00DD20D9">
              <w:rPr>
                <w:b/>
                <w:sz w:val="20"/>
              </w:rPr>
              <w:t>Bruxelles</w:t>
            </w:r>
            <w:r w:rsidR="00277C58">
              <w:rPr>
                <w:b/>
                <w:sz w:val="20"/>
              </w:rPr>
              <w:tab/>
            </w:r>
            <w:r w:rsidR="00277C58" w:rsidRPr="00DD20D9">
              <w:rPr>
                <w:rFonts w:ascii="Verdana" w:eastAsia="MS Minngs" w:hAnsi="Verdana" w:cs="Verdana"/>
                <w:bCs/>
                <w:sz w:val="18"/>
                <w:szCs w:val="18"/>
                <w:lang w:val="fr-FR"/>
              </w:rPr>
              <w:sym w:font="Wingdings 2" w:char="F0A3"/>
            </w:r>
            <w:r w:rsidR="00277C58">
              <w:rPr>
                <w:rFonts w:ascii="Verdana" w:eastAsia="MS Minngs" w:hAnsi="Verdana" w:cs="Verdana"/>
                <w:bCs/>
                <w:sz w:val="18"/>
                <w:szCs w:val="18"/>
                <w:lang w:val="fr-FR"/>
              </w:rPr>
              <w:t xml:space="preserve"> </w:t>
            </w:r>
            <w:r w:rsidR="00277C58">
              <w:rPr>
                <w:b/>
                <w:sz w:val="20"/>
              </w:rPr>
              <w:t>Luxembourg</w:t>
            </w:r>
            <w:r w:rsidR="00277C58">
              <w:rPr>
                <w:b/>
                <w:sz w:val="20"/>
              </w:rPr>
              <w:tab/>
            </w:r>
            <w:r w:rsidR="000860A3">
              <w:rPr>
                <w:b/>
                <w:sz w:val="20"/>
              </w:rPr>
              <w:t xml:space="preserve">       </w:t>
            </w:r>
            <w:r w:rsidR="00277C58" w:rsidRPr="00DD20D9">
              <w:rPr>
                <w:rFonts w:ascii="Verdana" w:eastAsia="MS Minngs" w:hAnsi="Verdana" w:cs="Verdana"/>
                <w:bCs/>
                <w:sz w:val="18"/>
                <w:szCs w:val="18"/>
                <w:lang w:val="fr-FR"/>
              </w:rPr>
              <w:sym w:font="Wingdings 2" w:char="F0A3"/>
            </w:r>
            <w:r w:rsidR="00277C58">
              <w:rPr>
                <w:rFonts w:ascii="Verdana" w:eastAsia="MS Minngs" w:hAnsi="Verdana" w:cs="Verdana"/>
                <w:bCs/>
                <w:sz w:val="18"/>
                <w:szCs w:val="18"/>
                <w:lang w:val="fr-FR"/>
              </w:rPr>
              <w:t xml:space="preserve"> </w:t>
            </w:r>
            <w:r w:rsidR="00377F18" w:rsidRPr="00DD20D9">
              <w:rPr>
                <w:b/>
                <w:sz w:val="20"/>
              </w:rPr>
              <w:t>Autre</w:t>
            </w:r>
            <w:r w:rsidR="00277C58">
              <w:rPr>
                <w:b/>
                <w:sz w:val="20"/>
              </w:rPr>
              <w:t xml:space="preserve"> :</w:t>
            </w:r>
            <w:r w:rsidR="00554C6D">
              <w:rPr>
                <w:b/>
                <w:sz w:val="20"/>
              </w:rPr>
              <w:t xml:space="preserve"> </w:t>
            </w:r>
            <w:r w:rsidR="00377F18" w:rsidRPr="00DD20D9">
              <w:rPr>
                <w:b/>
                <w:sz w:val="20"/>
              </w:rPr>
              <w:t>…….</w:t>
            </w:r>
          </w:p>
          <w:p w:rsidR="00277C58" w:rsidRPr="00DD20D9" w:rsidRDefault="00277C58" w:rsidP="00277C58">
            <w:pPr>
              <w:ind w:right="1317"/>
              <w:jc w:val="both"/>
              <w:rPr>
                <w:b/>
                <w:sz w:val="20"/>
              </w:rPr>
            </w:pPr>
          </w:p>
        </w:tc>
      </w:tr>
      <w:tr w:rsidR="00277C58" w:rsidRPr="0059779D" w:rsidTr="00657080">
        <w:trPr>
          <w:gridAfter w:val="1"/>
          <w:wAfter w:w="14" w:type="dxa"/>
          <w:trHeight w:val="439"/>
        </w:trPr>
        <w:tc>
          <w:tcPr>
            <w:tcW w:w="392" w:type="dxa"/>
            <w:vMerge w:val="restart"/>
            <w:tcBorders>
              <w:top w:val="single" w:sz="4" w:space="0" w:color="auto"/>
              <w:left w:val="single" w:sz="4" w:space="0" w:color="auto"/>
            </w:tcBorders>
            <w:shd w:val="clear" w:color="auto" w:fill="auto"/>
          </w:tcPr>
          <w:p w:rsidR="00277C58" w:rsidRPr="0059779D" w:rsidRDefault="00277C58"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rsidR="00277C58" w:rsidRPr="0059779D" w:rsidRDefault="00277C58"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77C58" w:rsidRPr="000860A3" w:rsidRDefault="00C365C5" w:rsidP="00C21F2B">
            <w:pPr>
              <w:rPr>
                <w:szCs w:val="24"/>
              </w:rPr>
            </w:pPr>
            <w:r>
              <w:rPr>
                <w:rFonts w:ascii="Verdana" w:eastAsia="MS Minngs" w:hAnsi="Verdana" w:cs="Verdana"/>
                <w:bCs/>
                <w:sz w:val="18"/>
                <w:szCs w:val="18"/>
                <w:lang w:val="fr-FR"/>
              </w:rPr>
              <w:sym w:font="Wingdings 2" w:char="F051"/>
            </w:r>
            <w:r w:rsidR="00277C58" w:rsidRPr="00DD20D9">
              <w:rPr>
                <w:rStyle w:val="Strong"/>
                <w:sz w:val="20"/>
              </w:rPr>
              <w:t> </w:t>
            </w:r>
            <w:r w:rsidR="00277C58">
              <w:rPr>
                <w:rStyle w:val="Strong"/>
                <w:sz w:val="20"/>
              </w:rPr>
              <w:t xml:space="preserve">   </w:t>
            </w:r>
            <w:r w:rsidR="000860A3">
              <w:rPr>
                <w:b/>
                <w:sz w:val="20"/>
              </w:rPr>
              <w:t xml:space="preserve">Avec </w:t>
            </w:r>
            <w:r w:rsidR="005F7BCC">
              <w:rPr>
                <w:b/>
                <w:sz w:val="20"/>
              </w:rPr>
              <w:t>indemnités</w:t>
            </w:r>
            <w:r w:rsidR="00277C58">
              <w:rPr>
                <w:b/>
                <w:sz w:val="20"/>
              </w:rPr>
              <w:t xml:space="preserve">  </w:t>
            </w:r>
            <w:r w:rsidR="00277C58" w:rsidRPr="00DD20D9">
              <w:rPr>
                <w:b/>
                <w:sz w:val="20"/>
              </w:rPr>
              <w:t xml:space="preserve"> </w:t>
            </w:r>
            <w:r w:rsidR="00277C58">
              <w:rPr>
                <w:b/>
                <w:sz w:val="20"/>
              </w:rPr>
              <w:tab/>
            </w:r>
            <w:r w:rsidR="00836F84" w:rsidRPr="00836F84">
              <w:rPr>
                <w:rFonts w:ascii="Verdana" w:eastAsia="MS Minngs" w:hAnsi="Verdana" w:cs="Verdana"/>
                <w:bCs/>
                <w:sz w:val="18"/>
                <w:szCs w:val="18"/>
              </w:rPr>
              <w:t></w:t>
            </w:r>
            <w:r w:rsidR="00277C58" w:rsidRPr="00DD20D9">
              <w:rPr>
                <w:rStyle w:val="Strong"/>
                <w:sz w:val="20"/>
              </w:rPr>
              <w:t> </w:t>
            </w:r>
            <w:r w:rsidR="00277C58" w:rsidRPr="00DD20D9">
              <w:rPr>
                <w:rFonts w:ascii="Verdana" w:eastAsia="MS Minngs" w:hAnsi="Verdana" w:cs="Verdana"/>
                <w:bCs/>
                <w:sz w:val="18"/>
                <w:szCs w:val="18"/>
                <w:lang w:val="fr-FR"/>
              </w:rPr>
              <w:t xml:space="preserve"> </w:t>
            </w:r>
            <w:r w:rsidR="00C21F2B">
              <w:rPr>
                <w:b/>
                <w:sz w:val="20"/>
              </w:rPr>
              <w:t>Sans frais</w:t>
            </w:r>
          </w:p>
        </w:tc>
      </w:tr>
      <w:tr w:rsidR="00277C58" w:rsidRPr="0059779D" w:rsidTr="00657080">
        <w:trPr>
          <w:gridAfter w:val="1"/>
          <w:wAfter w:w="14" w:type="dxa"/>
          <w:trHeight w:val="581"/>
        </w:trPr>
        <w:tc>
          <w:tcPr>
            <w:tcW w:w="392" w:type="dxa"/>
            <w:vMerge/>
            <w:tcBorders>
              <w:left w:val="single" w:sz="4" w:space="0" w:color="auto"/>
            </w:tcBorders>
            <w:shd w:val="clear" w:color="auto" w:fill="auto"/>
          </w:tcPr>
          <w:p w:rsidR="00277C58" w:rsidRPr="0059779D" w:rsidRDefault="00277C58" w:rsidP="0059779D">
            <w:pPr>
              <w:ind w:right="1317"/>
              <w:jc w:val="both"/>
              <w:rPr>
                <w:b/>
                <w:sz w:val="20"/>
              </w:rPr>
            </w:pPr>
          </w:p>
        </w:tc>
        <w:tc>
          <w:tcPr>
            <w:tcW w:w="2679" w:type="dxa"/>
            <w:vMerge/>
            <w:tcBorders>
              <w:right w:val="single" w:sz="4" w:space="0" w:color="auto"/>
            </w:tcBorders>
            <w:shd w:val="clear" w:color="auto" w:fill="auto"/>
          </w:tcPr>
          <w:p w:rsidR="00277C58" w:rsidRPr="0059779D" w:rsidRDefault="00277C58"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rsidR="00277C58" w:rsidRDefault="00277C58" w:rsidP="007E36DE">
            <w:pPr>
              <w:rPr>
                <w:b/>
                <w:sz w:val="20"/>
              </w:rPr>
            </w:pPr>
            <w:r w:rsidRPr="00DD20D9">
              <w:rPr>
                <w:b/>
                <w:sz w:val="20"/>
              </w:rPr>
              <w:t xml:space="preserve">Cet </w:t>
            </w:r>
            <w:r>
              <w:rPr>
                <w:b/>
                <w:sz w:val="20"/>
              </w:rPr>
              <w:t xml:space="preserve">avis </w:t>
            </w:r>
            <w:r w:rsidRPr="00DD20D9">
              <w:rPr>
                <w:b/>
                <w:sz w:val="20"/>
              </w:rPr>
              <w:t xml:space="preserve">est </w:t>
            </w:r>
            <w:r w:rsidR="000860A3">
              <w:rPr>
                <w:b/>
                <w:sz w:val="20"/>
              </w:rPr>
              <w:t>également</w:t>
            </w:r>
            <w:r w:rsidR="007E36DE">
              <w:rPr>
                <w:b/>
                <w:sz w:val="20"/>
              </w:rPr>
              <w:t xml:space="preserve"> ouvert</w:t>
            </w:r>
          </w:p>
          <w:p w:rsidR="00277C58" w:rsidRDefault="00277C58" w:rsidP="007E36DE">
            <w:pPr>
              <w:rPr>
                <w:rStyle w:val="Strong"/>
                <w:sz w:val="20"/>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sidR="000860A3">
              <w:rPr>
                <w:rStyle w:val="Strong"/>
                <w:sz w:val="20"/>
              </w:rPr>
              <w:t>aux</w:t>
            </w:r>
            <w:proofErr w:type="gramEnd"/>
            <w:r w:rsidRPr="00DD20D9">
              <w:rPr>
                <w:rStyle w:val="Strong"/>
                <w:sz w:val="20"/>
              </w:rPr>
              <w:t xml:space="preserve"> pays </w:t>
            </w:r>
            <w:r>
              <w:rPr>
                <w:rStyle w:val="Strong"/>
                <w:sz w:val="20"/>
              </w:rPr>
              <w:t>AELE</w:t>
            </w:r>
            <w:r w:rsidRPr="00DD20D9">
              <w:rPr>
                <w:rStyle w:val="Strong"/>
                <w:sz w:val="20"/>
              </w:rPr>
              <w:t xml:space="preserve"> suivants</w:t>
            </w:r>
            <w:r w:rsidR="000860A3">
              <w:rPr>
                <w:rStyle w:val="Strong"/>
                <w:sz w:val="20"/>
              </w:rPr>
              <w:t xml:space="preserve"> </w:t>
            </w:r>
            <w:r w:rsidRPr="00DD20D9">
              <w:rPr>
                <w:rStyle w:val="Strong"/>
                <w:sz w:val="20"/>
              </w:rPr>
              <w:t>:</w:t>
            </w:r>
          </w:p>
          <w:p w:rsidR="00277C58" w:rsidRPr="00ED15A0" w:rsidRDefault="00277C58" w:rsidP="007E36DE">
            <w:pPr>
              <w:tabs>
                <w:tab w:val="left" w:pos="1182"/>
              </w:tabs>
              <w:ind w:right="-1739"/>
              <w:rPr>
                <w:sz w:val="20"/>
              </w:rPr>
            </w:pPr>
            <w:r>
              <w:rPr>
                <w:b/>
                <w:sz w:val="20"/>
              </w:rPr>
              <w:tab/>
            </w:r>
            <w:r w:rsidR="00ED15A0" w:rsidRPr="007E36DE">
              <w:rPr>
                <w:sz w:val="20"/>
              </w:rPr>
              <w:sym w:font="Wingdings 2" w:char="F0A3"/>
            </w:r>
            <w:r w:rsidR="00ED15A0" w:rsidRPr="007E36DE">
              <w:rPr>
                <w:b/>
                <w:sz w:val="20"/>
              </w:rPr>
              <w:t xml:space="preserve"> Islande </w:t>
            </w:r>
            <w:r w:rsidR="00ED15A0" w:rsidRPr="007E36DE">
              <w:rPr>
                <w:sz w:val="20"/>
              </w:rPr>
              <w:sym w:font="Wingdings 2" w:char="F0A3"/>
            </w:r>
            <w:r w:rsidR="00ED15A0" w:rsidRPr="007E36DE">
              <w:rPr>
                <w:b/>
                <w:sz w:val="20"/>
              </w:rPr>
              <w:t xml:space="preserve"> Liechtenstein </w:t>
            </w:r>
            <w:r w:rsidR="00ED15A0" w:rsidRPr="007E36DE">
              <w:rPr>
                <w:sz w:val="20"/>
              </w:rPr>
              <w:sym w:font="Wingdings 2" w:char="F0A3"/>
            </w:r>
            <w:r w:rsidR="00ED15A0" w:rsidRPr="007E36DE">
              <w:rPr>
                <w:b/>
                <w:sz w:val="20"/>
              </w:rPr>
              <w:t xml:space="preserve"> Norvège </w:t>
            </w:r>
            <w:r w:rsidR="00ED15A0" w:rsidRPr="007E36DE">
              <w:rPr>
                <w:sz w:val="20"/>
              </w:rPr>
              <w:sym w:font="Wingdings 2" w:char="F0A3"/>
            </w:r>
            <w:r w:rsidR="00ED15A0">
              <w:rPr>
                <w:b/>
                <w:sz w:val="20"/>
              </w:rPr>
              <w:t xml:space="preserve"> Suisse</w:t>
            </w:r>
            <w:r w:rsidR="00ED15A0" w:rsidRPr="007E36DE">
              <w:rPr>
                <w:sz w:val="20"/>
              </w:rPr>
              <w:t xml:space="preserve"> </w:t>
            </w:r>
          </w:p>
          <w:p w:rsidR="00554C6D" w:rsidRPr="00B3203A" w:rsidRDefault="00277C58" w:rsidP="007E36DE">
            <w:pPr>
              <w:tabs>
                <w:tab w:val="left" w:pos="1182"/>
              </w:tabs>
              <w:ind w:right="-1739"/>
              <w:rPr>
                <w:b/>
                <w:sz w:val="20"/>
              </w:rPr>
            </w:pPr>
            <w:r w:rsidRPr="00ED15A0">
              <w:rPr>
                <w:b/>
                <w:sz w:val="20"/>
              </w:rPr>
              <w:tab/>
            </w:r>
            <w:r w:rsidR="00ED15A0" w:rsidRPr="007E36DE">
              <w:rPr>
                <w:sz w:val="20"/>
              </w:rPr>
              <w:sym w:font="Wingdings 2" w:char="F0A3"/>
            </w:r>
            <w:r w:rsidR="00ED15A0" w:rsidRPr="001653AB">
              <w:rPr>
                <w:b/>
                <w:sz w:val="20"/>
              </w:rPr>
              <w:t xml:space="preserve"> Accord AELE-EEE </w:t>
            </w:r>
            <w:r w:rsidR="00ED15A0" w:rsidRPr="00B3203A">
              <w:rPr>
                <w:b/>
                <w:sz w:val="20"/>
              </w:rPr>
              <w:t>in-</w:t>
            </w:r>
            <w:proofErr w:type="spellStart"/>
            <w:r w:rsidR="00ED15A0" w:rsidRPr="00B3203A">
              <w:rPr>
                <w:b/>
                <w:sz w:val="20"/>
              </w:rPr>
              <w:t>Kind</w:t>
            </w:r>
            <w:proofErr w:type="spellEnd"/>
          </w:p>
          <w:p w:rsidR="00277C58" w:rsidRPr="000860A3" w:rsidRDefault="000860A3" w:rsidP="007E36DE">
            <w:pPr>
              <w:tabs>
                <w:tab w:val="left" w:pos="1697"/>
              </w:tabs>
              <w:ind w:right="-1739"/>
              <w:rPr>
                <w:b/>
                <w:sz w:val="20"/>
              </w:rPr>
            </w:pPr>
            <w:r w:rsidRPr="00B3203A">
              <w:rPr>
                <w:b/>
                <w:sz w:val="20"/>
              </w:rPr>
              <w:t xml:space="preserve"> </w:t>
            </w:r>
            <w:r w:rsidR="00554C6D" w:rsidRPr="00B3203A">
              <w:rPr>
                <w:b/>
                <w:sz w:val="20"/>
              </w:rPr>
              <w:t xml:space="preserve">     </w:t>
            </w:r>
            <w:r w:rsidR="007E36DE" w:rsidRPr="00B3203A">
              <w:rPr>
                <w:b/>
                <w:sz w:val="20"/>
              </w:rPr>
              <w:t xml:space="preserve">                          </w:t>
            </w:r>
            <w:r w:rsidR="00ED15A0" w:rsidRPr="00ED15A0">
              <w:rPr>
                <w:b/>
                <w:sz w:val="20"/>
              </w:rPr>
              <w:t>(Islande, Liechtenstein, Norvège)</w:t>
            </w:r>
            <w:r w:rsidR="007E36DE">
              <w:rPr>
                <w:b/>
                <w:sz w:val="20"/>
              </w:rPr>
              <w:t xml:space="preserve"> </w:t>
            </w:r>
            <w:r w:rsidR="00277C58" w:rsidRPr="00C3694E">
              <w:rPr>
                <w:b/>
                <w:sz w:val="20"/>
              </w:rPr>
              <w:br/>
            </w:r>
            <w:r w:rsidR="00277C58" w:rsidRPr="00DD20D9">
              <w:rPr>
                <w:rFonts w:ascii="Verdana" w:eastAsia="MS Minngs" w:hAnsi="Verdana" w:cs="Verdana"/>
                <w:bCs/>
                <w:sz w:val="18"/>
                <w:szCs w:val="18"/>
                <w:lang w:val="fr-FR"/>
              </w:rPr>
              <w:sym w:font="Wingdings 2" w:char="F0A3"/>
            </w:r>
            <w:r w:rsidR="00277C58">
              <w:rPr>
                <w:rStyle w:val="Strong"/>
                <w:sz w:val="20"/>
              </w:rPr>
              <w:t xml:space="preserve">    </w:t>
            </w:r>
            <w:r w:rsidR="007E36DE">
              <w:rPr>
                <w:rStyle w:val="Strong"/>
                <w:sz w:val="20"/>
              </w:rPr>
              <w:t>aux</w:t>
            </w:r>
            <w:r w:rsidR="00277C58" w:rsidRPr="00DD20D9">
              <w:rPr>
                <w:rStyle w:val="Strong"/>
                <w:sz w:val="20"/>
              </w:rPr>
              <w:t xml:space="preserve"> pays tiers suivants:</w:t>
            </w:r>
            <w:r w:rsidR="00277C58">
              <w:rPr>
                <w:rStyle w:val="Strong"/>
                <w:sz w:val="20"/>
              </w:rPr>
              <w:t xml:space="preserve"> </w:t>
            </w:r>
          </w:p>
          <w:p w:rsidR="00277C58" w:rsidRDefault="00277C58"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xml:space="preserve">    </w:t>
            </w:r>
            <w:proofErr w:type="gramStart"/>
            <w:r w:rsidR="007E36DE">
              <w:rPr>
                <w:rStyle w:val="Strong"/>
                <w:sz w:val="20"/>
              </w:rPr>
              <w:t>aux</w:t>
            </w:r>
            <w:proofErr w:type="gramEnd"/>
            <w:r w:rsidRPr="00DD20D9">
              <w:rPr>
                <w:rStyle w:val="Strong"/>
                <w:sz w:val="20"/>
              </w:rPr>
              <w:t xml:space="preserve"> organisations intergouvernementales suivantes: </w:t>
            </w:r>
          </w:p>
          <w:p w:rsidR="007E36DE" w:rsidRPr="007E36DE" w:rsidRDefault="007E36DE" w:rsidP="007E36DE">
            <w:pPr>
              <w:rPr>
                <w:rFonts w:ascii="Arial" w:hAnsi="Arial" w:cs="Arial"/>
                <w:szCs w:val="24"/>
              </w:rPr>
            </w:pPr>
          </w:p>
        </w:tc>
      </w:tr>
      <w:tr w:rsidR="002F757B" w:rsidRPr="0059779D" w:rsidTr="0059779D">
        <w:trPr>
          <w:gridAfter w:val="1"/>
          <w:wAfter w:w="14" w:type="dxa"/>
        </w:trPr>
        <w:tc>
          <w:tcPr>
            <w:tcW w:w="392" w:type="dxa"/>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2F757B" w:rsidRPr="0059779D" w:rsidRDefault="003D484D" w:rsidP="0059779D">
            <w:pPr>
              <w:ind w:right="1317"/>
              <w:jc w:val="both"/>
              <w:rPr>
                <w:b/>
                <w:sz w:val="20"/>
              </w:rPr>
            </w:pPr>
            <w:r w:rsidRPr="0059779D">
              <w:rPr>
                <w:b/>
                <w:sz w:val="20"/>
              </w:rPr>
              <w:t>Nature des fonctions</w:t>
            </w:r>
            <w:r w:rsidR="002F757B" w:rsidRPr="0059779D">
              <w:rPr>
                <w:b/>
                <w:sz w:val="20"/>
              </w:rPr>
              <w:t> :</w:t>
            </w:r>
          </w:p>
        </w:tc>
      </w:tr>
      <w:tr w:rsidR="002F757B" w:rsidRPr="0059779D" w:rsidTr="0059779D">
        <w:trPr>
          <w:gridAfter w:val="1"/>
          <w:wAfter w:w="14" w:type="dxa"/>
        </w:trPr>
        <w:tc>
          <w:tcPr>
            <w:tcW w:w="392" w:type="dxa"/>
            <w:tcBorders>
              <w:top w:val="single" w:sz="4" w:space="0" w:color="auto"/>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top w:val="single" w:sz="4" w:space="0" w:color="auto"/>
              <w:right w:val="single" w:sz="4" w:space="0" w:color="auto"/>
            </w:tcBorders>
            <w:shd w:val="clear" w:color="auto" w:fill="auto"/>
          </w:tcPr>
          <w:p w:rsidR="002F757B" w:rsidRPr="0059779D" w:rsidRDefault="002F757B" w:rsidP="0059779D">
            <w:pPr>
              <w:ind w:right="1317"/>
              <w:jc w:val="both"/>
              <w:rPr>
                <w:b/>
                <w:sz w:val="20"/>
              </w:rPr>
            </w:pPr>
          </w:p>
        </w:tc>
      </w:tr>
      <w:tr w:rsidR="002F757B" w:rsidRPr="0059779D" w:rsidTr="0059779D">
        <w:trPr>
          <w:gridAfter w:val="1"/>
          <w:wAfter w:w="14" w:type="dxa"/>
        </w:trPr>
        <w:tc>
          <w:tcPr>
            <w:tcW w:w="392" w:type="dxa"/>
            <w:tcBorders>
              <w:left w:val="single" w:sz="4" w:space="0" w:color="auto"/>
            </w:tcBorders>
            <w:shd w:val="clear" w:color="auto" w:fill="auto"/>
          </w:tcPr>
          <w:p w:rsidR="002F757B" w:rsidRPr="0059779D" w:rsidRDefault="002F757B" w:rsidP="0059779D">
            <w:pPr>
              <w:ind w:right="1317"/>
              <w:jc w:val="both"/>
              <w:rPr>
                <w:b/>
                <w:sz w:val="20"/>
              </w:rPr>
            </w:pPr>
          </w:p>
        </w:tc>
        <w:tc>
          <w:tcPr>
            <w:tcW w:w="8916" w:type="dxa"/>
            <w:gridSpan w:val="3"/>
            <w:tcBorders>
              <w:right w:val="single" w:sz="4" w:space="0" w:color="auto"/>
            </w:tcBorders>
            <w:shd w:val="clear" w:color="auto" w:fill="auto"/>
          </w:tcPr>
          <w:p w:rsidR="002F757B" w:rsidRDefault="00C365C5" w:rsidP="00C365C5">
            <w:pPr>
              <w:ind w:right="303"/>
              <w:jc w:val="both"/>
              <w:rPr>
                <w:b/>
                <w:sz w:val="20"/>
              </w:rPr>
            </w:pPr>
            <w:r w:rsidRPr="00404A4D">
              <w:rPr>
                <w:sz w:val="20"/>
              </w:rPr>
              <w:t>L'unité</w:t>
            </w:r>
            <w:proofErr w:type="gramStart"/>
            <w:r w:rsidRPr="00404A4D">
              <w:rPr>
                <w:sz w:val="20"/>
              </w:rPr>
              <w:t xml:space="preserve"> «Politique</w:t>
            </w:r>
            <w:r>
              <w:rPr>
                <w:sz w:val="20"/>
              </w:rPr>
              <w:t>s</w:t>
            </w:r>
            <w:proofErr w:type="gramEnd"/>
            <w:r>
              <w:rPr>
                <w:sz w:val="20"/>
              </w:rPr>
              <w:t xml:space="preserve"> en matière</w:t>
            </w:r>
            <w:r w:rsidRPr="00404A4D">
              <w:rPr>
                <w:sz w:val="20"/>
              </w:rPr>
              <w:t xml:space="preserve"> de communication</w:t>
            </w:r>
            <w:r>
              <w:rPr>
                <w:sz w:val="20"/>
              </w:rPr>
              <w:t>s</w:t>
            </w:r>
            <w:r w:rsidRPr="00404A4D">
              <w:rPr>
                <w:sz w:val="20"/>
              </w:rPr>
              <w:t xml:space="preserve"> électronique</w:t>
            </w:r>
            <w:r>
              <w:rPr>
                <w:sz w:val="20"/>
              </w:rPr>
              <w:t>s</w:t>
            </w:r>
            <w:r w:rsidRPr="00404A4D">
              <w:rPr>
                <w:sz w:val="20"/>
              </w:rPr>
              <w:t>» élabore des politiques et des lois dans le domaine des co</w:t>
            </w:r>
            <w:r>
              <w:rPr>
                <w:sz w:val="20"/>
              </w:rPr>
              <w:t>mmunications électroniques. C</w:t>
            </w:r>
            <w:r w:rsidRPr="00404A4D">
              <w:rPr>
                <w:sz w:val="20"/>
              </w:rPr>
              <w:t>oordonnant la révision du cadre réglementaire des télécommunications, l'Unité est le point de convergence de l'</w:t>
            </w:r>
            <w:r>
              <w:rPr>
                <w:sz w:val="20"/>
              </w:rPr>
              <w:t>une des initiatives-clés de la s</w:t>
            </w:r>
            <w:r w:rsidRPr="00404A4D">
              <w:rPr>
                <w:sz w:val="20"/>
              </w:rPr>
              <w:t xml:space="preserve">tratégie pour le marché unique numérique. Les attributions de l'unité couvrent divers aspects de la politique </w:t>
            </w:r>
            <w:r>
              <w:rPr>
                <w:sz w:val="20"/>
              </w:rPr>
              <w:t xml:space="preserve">en matière </w:t>
            </w:r>
            <w:r w:rsidRPr="00404A4D">
              <w:rPr>
                <w:sz w:val="20"/>
              </w:rPr>
              <w:t>de communications électroniques, allant de l'accès au réseau et de la concurrence à la sécurité et à la numérotation, ainsi que divers problèmes de consommation tels que la neutralité du réseau, la commutation et le service universel. Si l'achèvement du Code européen des communications électroniques est une priorité à court terme, l'unité suivra naturellement de près la mise en œuvre du nouveau cadre et participera à la préparation de la législation</w:t>
            </w:r>
            <w:r>
              <w:rPr>
                <w:sz w:val="20"/>
              </w:rPr>
              <w:t xml:space="preserve"> secondaire et des orientations</w:t>
            </w:r>
            <w:r w:rsidRPr="00404A4D">
              <w:rPr>
                <w:sz w:val="20"/>
              </w:rPr>
              <w:t>. A l'approche de</w:t>
            </w:r>
            <w:r>
              <w:rPr>
                <w:sz w:val="20"/>
              </w:rPr>
              <w:t xml:space="preserve">s </w:t>
            </w:r>
            <w:r w:rsidRPr="00404A4D">
              <w:rPr>
                <w:sz w:val="20"/>
              </w:rPr>
              <w:t>élection</w:t>
            </w:r>
            <w:r>
              <w:rPr>
                <w:sz w:val="20"/>
              </w:rPr>
              <w:t>s</w:t>
            </w:r>
            <w:r w:rsidRPr="00404A4D">
              <w:rPr>
                <w:sz w:val="20"/>
              </w:rPr>
              <w:t xml:space="preserve"> du Parlement e</w:t>
            </w:r>
            <w:r>
              <w:rPr>
                <w:sz w:val="20"/>
              </w:rPr>
              <w:t>uropéen, l'unité jouera un rôle-</w:t>
            </w:r>
            <w:r w:rsidRPr="00404A4D">
              <w:rPr>
                <w:sz w:val="20"/>
              </w:rPr>
              <w:t>clé dans la préparation du mandat de la prochaine Commission.</w:t>
            </w:r>
          </w:p>
          <w:p w:rsidR="00836F84" w:rsidRDefault="00836F84" w:rsidP="0059779D">
            <w:pPr>
              <w:ind w:right="1317"/>
              <w:jc w:val="both"/>
              <w:rPr>
                <w:b/>
                <w:sz w:val="20"/>
              </w:rPr>
            </w:pPr>
          </w:p>
          <w:p w:rsidR="00836F84" w:rsidRPr="0059779D" w:rsidRDefault="00C365C5" w:rsidP="00C365C5">
            <w:pPr>
              <w:ind w:right="303"/>
              <w:jc w:val="both"/>
              <w:rPr>
                <w:b/>
                <w:sz w:val="20"/>
              </w:rPr>
            </w:pPr>
            <w:r w:rsidRPr="00404A4D">
              <w:rPr>
                <w:sz w:val="20"/>
              </w:rPr>
              <w:t xml:space="preserve">Sous la supervision d'un fonctionnaire de la Commission, le candidat retenu contribuera aux développements politiques futurs et au suivi de la réglementation, des marchés et des développements technologiques nécessaires au travail politique. Ce travail implique des contacts réguliers avec les États membres, les autorités de régulation, les utilisateurs, les acteurs du marché et les associations </w:t>
            </w:r>
            <w:r>
              <w:rPr>
                <w:sz w:val="20"/>
              </w:rPr>
              <w:t>du secteur</w:t>
            </w:r>
            <w:r w:rsidRPr="00404A4D">
              <w:rPr>
                <w:sz w:val="20"/>
              </w:rPr>
              <w:t>.</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110555">
            <w:pPr>
              <w:ind w:right="1317"/>
              <w:jc w:val="both"/>
              <w:rPr>
                <w:b/>
                <w:sz w:val="20"/>
              </w:rPr>
            </w:pPr>
          </w:p>
        </w:tc>
        <w:tc>
          <w:tcPr>
            <w:tcW w:w="8916" w:type="dxa"/>
            <w:gridSpan w:val="3"/>
            <w:tcBorders>
              <w:right w:val="single" w:sz="4" w:space="0" w:color="auto"/>
            </w:tcBorders>
            <w:shd w:val="clear" w:color="auto" w:fill="auto"/>
          </w:tcPr>
          <w:p w:rsidR="001653AB" w:rsidRPr="008262CD" w:rsidRDefault="001653AB" w:rsidP="00836F84">
            <w:pPr>
              <w:spacing w:before="100" w:beforeAutospacing="1" w:after="180"/>
              <w:jc w:val="both"/>
              <w:rPr>
                <w:b/>
                <w:sz w:val="20"/>
              </w:rPr>
            </w:pPr>
          </w:p>
        </w:tc>
      </w:tr>
      <w:tr w:rsidR="001653AB" w:rsidRPr="0059779D" w:rsidTr="0059779D">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Qualifications requises :</w:t>
            </w:r>
          </w:p>
        </w:tc>
      </w:tr>
      <w:tr w:rsidR="001653AB" w:rsidRPr="0059779D" w:rsidTr="0059779D">
        <w:trPr>
          <w:gridAfter w:val="1"/>
          <w:wAfter w:w="14" w:type="dxa"/>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1653AB" w:rsidRPr="0059779D" w:rsidRDefault="001653AB" w:rsidP="0059779D">
            <w:pPr>
              <w:ind w:right="1317"/>
              <w:jc w:val="both"/>
              <w:rPr>
                <w:sz w:val="20"/>
              </w:rPr>
            </w:pPr>
          </w:p>
          <w:p w:rsidR="001653AB" w:rsidRPr="0059779D" w:rsidRDefault="001653AB" w:rsidP="0059779D">
            <w:pPr>
              <w:ind w:right="1317"/>
              <w:jc w:val="both"/>
              <w:rPr>
                <w:sz w:val="20"/>
              </w:rPr>
            </w:pPr>
            <w:r w:rsidRPr="0059779D">
              <w:rPr>
                <w:sz w:val="20"/>
              </w:rPr>
              <w:t>a) Critères d'éligibilité</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317"/>
              <w:jc w:val="both"/>
              <w:rPr>
                <w:b/>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rsidR="001653AB" w:rsidRPr="0059779D" w:rsidRDefault="001653AB" w:rsidP="00DF3FDD">
            <w:pPr>
              <w:ind w:right="161"/>
              <w:jc w:val="both"/>
              <w:rPr>
                <w:sz w:val="20"/>
              </w:rPr>
            </w:pPr>
          </w:p>
          <w:p w:rsidR="001653AB" w:rsidRPr="0059779D" w:rsidRDefault="001653AB"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rsidR="001653AB" w:rsidRPr="0059779D" w:rsidRDefault="001653AB" w:rsidP="0059779D">
            <w:pPr>
              <w:ind w:left="473" w:right="161" w:hanging="473"/>
              <w:jc w:val="both"/>
              <w:rPr>
                <w:sz w:val="20"/>
              </w:rPr>
            </w:pPr>
          </w:p>
          <w:p w:rsidR="001653AB" w:rsidRPr="0059779D" w:rsidRDefault="001653AB" w:rsidP="0059779D">
            <w:pPr>
              <w:ind w:left="473" w:right="161" w:hanging="473"/>
              <w:jc w:val="both"/>
              <w:rPr>
                <w:sz w:val="20"/>
              </w:rPr>
            </w:pPr>
            <w:r w:rsidRPr="0059779D">
              <w:rPr>
                <w:sz w:val="20"/>
              </w:rPr>
              <w:t>•</w:t>
            </w:r>
            <w:r w:rsidRPr="0059779D">
              <w:rPr>
                <w:sz w:val="20"/>
              </w:rPr>
              <w:tab/>
              <w:t>Ancienneté de service</w:t>
            </w:r>
            <w:r w:rsidR="00110A6A">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00110A6A">
              <w:rPr>
                <w:sz w:val="20"/>
              </w:rPr>
              <w:t>;</w:t>
            </w:r>
            <w:r w:rsidRPr="0059779D">
              <w:rPr>
                <w:sz w:val="20"/>
              </w:rPr>
              <w:t xml:space="preserve"> </w:t>
            </w:r>
          </w:p>
          <w:p w:rsidR="001653AB" w:rsidRPr="0059779D" w:rsidRDefault="001653AB" w:rsidP="0059779D">
            <w:pPr>
              <w:ind w:left="473" w:right="161" w:hanging="473"/>
              <w:jc w:val="both"/>
              <w:rPr>
                <w:sz w:val="20"/>
              </w:rPr>
            </w:pPr>
          </w:p>
          <w:p w:rsidR="001653AB" w:rsidRPr="0059779D" w:rsidRDefault="001653AB"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317"/>
              <w:jc w:val="both"/>
              <w:rPr>
                <w:b/>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rPr>
                <w:sz w:val="20"/>
              </w:rPr>
            </w:pPr>
            <w:r>
              <w:rPr>
                <w:sz w:val="20"/>
              </w:rPr>
              <w:t>b)</w:t>
            </w:r>
            <w:r>
              <w:rPr>
                <w:sz w:val="20"/>
              </w:rPr>
              <w:tab/>
            </w:r>
            <w:r w:rsidR="001653AB" w:rsidRPr="0059779D">
              <w:rPr>
                <w:sz w:val="20"/>
              </w:rPr>
              <w:t>Critères de sélection</w:t>
            </w:r>
          </w:p>
          <w:p w:rsidR="006A35E2" w:rsidRPr="0059779D" w:rsidRDefault="006A35E2" w:rsidP="0059779D">
            <w:pPr>
              <w:ind w:right="1317"/>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1653AB" w:rsidRDefault="00110A6A" w:rsidP="00110A6A">
            <w:pPr>
              <w:tabs>
                <w:tab w:val="left" w:pos="317"/>
              </w:tabs>
              <w:ind w:right="1317"/>
              <w:jc w:val="both"/>
              <w:rPr>
                <w:sz w:val="20"/>
              </w:rPr>
            </w:pPr>
            <w:r>
              <w:rPr>
                <w:sz w:val="20"/>
              </w:rPr>
              <w:tab/>
            </w:r>
            <w:r w:rsidR="001653AB" w:rsidRPr="009F57AC">
              <w:rPr>
                <w:sz w:val="20"/>
              </w:rPr>
              <w:t>Diplôme</w:t>
            </w:r>
            <w:r>
              <w:rPr>
                <w:sz w:val="20"/>
              </w:rPr>
              <w:t xml:space="preserve"> :</w:t>
            </w:r>
          </w:p>
          <w:p w:rsidR="00110A6A" w:rsidRDefault="00110A6A" w:rsidP="00110A6A">
            <w:pPr>
              <w:tabs>
                <w:tab w:val="left" w:pos="317"/>
              </w:tabs>
              <w:ind w:right="1317"/>
              <w:jc w:val="both"/>
              <w:rPr>
                <w:sz w:val="20"/>
              </w:rPr>
            </w:pPr>
            <w:r>
              <w:rPr>
                <w:sz w:val="20"/>
              </w:rPr>
              <w:tab/>
              <w:t xml:space="preserve">- </w:t>
            </w:r>
            <w:r w:rsidRPr="00110A6A">
              <w:rPr>
                <w:sz w:val="20"/>
              </w:rPr>
              <w:t xml:space="preserve">diplôme universitaire </w:t>
            </w:r>
            <w:proofErr w:type="gramStart"/>
            <w:r w:rsidRPr="00110A6A">
              <w:rPr>
                <w:sz w:val="20"/>
              </w:rPr>
              <w:t>ou</w:t>
            </w:r>
            <w:proofErr w:type="gramEnd"/>
            <w:r w:rsidRPr="00110A6A">
              <w:rPr>
                <w:sz w:val="20"/>
              </w:rPr>
              <w:t xml:space="preserve"> </w:t>
            </w:r>
          </w:p>
          <w:p w:rsidR="001653AB" w:rsidRDefault="00110A6A" w:rsidP="00110A6A">
            <w:pPr>
              <w:tabs>
                <w:tab w:val="left" w:pos="317"/>
              </w:tabs>
              <w:ind w:right="1317"/>
              <w:jc w:val="both"/>
              <w:rPr>
                <w:sz w:val="20"/>
              </w:rPr>
            </w:pPr>
            <w:r>
              <w:rPr>
                <w:sz w:val="20"/>
              </w:rPr>
              <w:tab/>
              <w:t xml:space="preserve">- </w:t>
            </w:r>
            <w:r w:rsidRPr="00110A6A">
              <w:rPr>
                <w:sz w:val="20"/>
              </w:rPr>
              <w:t>formation professionnelle ou expérience professionnelle de niveau équivalent</w:t>
            </w:r>
          </w:p>
          <w:p w:rsidR="00110A6A" w:rsidRDefault="00110A6A" w:rsidP="00110A6A">
            <w:pPr>
              <w:tabs>
                <w:tab w:val="left" w:pos="317"/>
              </w:tabs>
              <w:ind w:right="1317"/>
              <w:jc w:val="both"/>
              <w:rPr>
                <w:sz w:val="20"/>
              </w:rPr>
            </w:pPr>
          </w:p>
          <w:p w:rsidR="00110A6A" w:rsidRPr="001653AB" w:rsidRDefault="00110A6A" w:rsidP="00110A6A">
            <w:pPr>
              <w:tabs>
                <w:tab w:val="left" w:pos="317"/>
              </w:tabs>
              <w:ind w:right="1317"/>
              <w:jc w:val="both"/>
              <w:rPr>
                <w:sz w:val="20"/>
              </w:rPr>
            </w:pPr>
            <w:r>
              <w:rPr>
                <w:sz w:val="20"/>
              </w:rPr>
              <w:tab/>
            </w:r>
            <w:proofErr w:type="gramStart"/>
            <w:r>
              <w:rPr>
                <w:sz w:val="20"/>
              </w:rPr>
              <w:t>dans</w:t>
            </w:r>
            <w:proofErr w:type="gramEnd"/>
            <w:r>
              <w:rPr>
                <w:sz w:val="20"/>
              </w:rPr>
              <w:t xml:space="preserve"> le(s) domaine(s) </w:t>
            </w:r>
            <w:r w:rsidR="00C365C5">
              <w:rPr>
                <w:sz w:val="20"/>
              </w:rPr>
              <w:t>juridique ou économique</w:t>
            </w:r>
          </w:p>
          <w:p w:rsidR="001653AB" w:rsidRPr="00257D51" w:rsidRDefault="001653AB" w:rsidP="00110555">
            <w:pPr>
              <w:tabs>
                <w:tab w:val="left" w:pos="8539"/>
              </w:tabs>
              <w:ind w:right="161"/>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653AB" w:rsidP="00110555">
            <w:pPr>
              <w:tabs>
                <w:tab w:val="left" w:pos="8539"/>
              </w:tabs>
              <w:ind w:right="1317"/>
              <w:jc w:val="both"/>
              <w:rPr>
                <w:sz w:val="20"/>
              </w:rPr>
            </w:pPr>
          </w:p>
          <w:p w:rsidR="006A35E2" w:rsidRPr="00257D51" w:rsidRDefault="006A35E2" w:rsidP="00110555">
            <w:pPr>
              <w:tabs>
                <w:tab w:val="left" w:pos="8539"/>
              </w:tabs>
              <w:ind w:right="1317"/>
              <w:jc w:val="both"/>
              <w:rPr>
                <w:sz w:val="20"/>
              </w:rPr>
            </w:pPr>
          </w:p>
        </w:tc>
      </w:tr>
      <w:tr w:rsidR="001653AB" w:rsidRPr="0059779D" w:rsidTr="0059779D">
        <w:trPr>
          <w:gridAfter w:val="1"/>
          <w:wAfter w:w="14" w:type="dxa"/>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Default="00110A6A" w:rsidP="00110A6A">
            <w:pPr>
              <w:tabs>
                <w:tab w:val="left" w:pos="317"/>
              </w:tabs>
              <w:ind w:right="1317"/>
              <w:jc w:val="both"/>
              <w:rPr>
                <w:sz w:val="20"/>
              </w:rPr>
            </w:pPr>
            <w:r>
              <w:rPr>
                <w:sz w:val="20"/>
              </w:rPr>
              <w:tab/>
            </w:r>
            <w:r w:rsidR="001653AB" w:rsidRPr="00257D51">
              <w:rPr>
                <w:sz w:val="20"/>
              </w:rPr>
              <w:t>Expérience professionnelle :</w:t>
            </w:r>
          </w:p>
          <w:p w:rsidR="00C365C5" w:rsidRPr="00257D51" w:rsidRDefault="00C365C5" w:rsidP="00C365C5">
            <w:pPr>
              <w:tabs>
                <w:tab w:val="left" w:pos="8539"/>
              </w:tabs>
              <w:ind w:left="317" w:right="1317"/>
              <w:jc w:val="both"/>
              <w:rPr>
                <w:sz w:val="20"/>
              </w:rPr>
            </w:pPr>
            <w:r>
              <w:rPr>
                <w:sz w:val="20"/>
              </w:rPr>
              <w:t>Une expérience solide dans le domaine des communications électroniques est requise ainsi qu'une bonne connaissance de la régulation. Une b</w:t>
            </w:r>
            <w:r w:rsidRPr="0036706C">
              <w:rPr>
                <w:sz w:val="20"/>
              </w:rPr>
              <w:t xml:space="preserve">onne compréhension des procédures de prise de décision </w:t>
            </w:r>
            <w:r>
              <w:rPr>
                <w:sz w:val="20"/>
              </w:rPr>
              <w:t>de</w:t>
            </w:r>
            <w:r w:rsidRPr="0036706C">
              <w:rPr>
                <w:sz w:val="20"/>
              </w:rPr>
              <w:t xml:space="preserve"> l’UE</w:t>
            </w:r>
            <w:r>
              <w:rPr>
                <w:sz w:val="20"/>
              </w:rPr>
              <w:t xml:space="preserve"> est un avantage.</w:t>
            </w:r>
          </w:p>
          <w:p w:rsidR="001653AB" w:rsidRPr="00BD4203" w:rsidRDefault="001653AB" w:rsidP="00110555">
            <w:pPr>
              <w:tabs>
                <w:tab w:val="left" w:pos="8539"/>
              </w:tabs>
              <w:ind w:right="161"/>
              <w:jc w:val="both"/>
              <w:rPr>
                <w:sz w:val="20"/>
              </w:rPr>
            </w:pP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BD4203" w:rsidRDefault="001653AB" w:rsidP="00110555">
            <w:pPr>
              <w:ind w:right="1317"/>
              <w:jc w:val="both"/>
            </w:pP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6A35E2" w:rsidRPr="00C365C5" w:rsidRDefault="001653AB" w:rsidP="00C365C5">
            <w:pPr>
              <w:tabs>
                <w:tab w:val="left" w:pos="8539"/>
              </w:tabs>
              <w:ind w:left="317" w:right="1317"/>
              <w:jc w:val="both"/>
              <w:rPr>
                <w:sz w:val="20"/>
              </w:rPr>
            </w:pPr>
            <w:r>
              <w:rPr>
                <w:sz w:val="20"/>
              </w:rPr>
              <w:t>L</w:t>
            </w:r>
            <w:r w:rsidRPr="0059779D">
              <w:rPr>
                <w:sz w:val="20"/>
              </w:rPr>
              <w:t>angue</w:t>
            </w:r>
            <w:r>
              <w:rPr>
                <w:sz w:val="20"/>
              </w:rPr>
              <w:t>(</w:t>
            </w:r>
            <w:r w:rsidRPr="0059779D">
              <w:rPr>
                <w:sz w:val="20"/>
              </w:rPr>
              <w:t>s</w:t>
            </w:r>
            <w:r>
              <w:rPr>
                <w:sz w:val="20"/>
              </w:rPr>
              <w:t>) nécessaire(s) pour l'</w:t>
            </w:r>
            <w:r w:rsidRPr="00921131">
              <w:rPr>
                <w:sz w:val="20"/>
              </w:rPr>
              <w:t>accomplissement des</w:t>
            </w:r>
            <w:r>
              <w:rPr>
                <w:sz w:val="20"/>
              </w:rPr>
              <w:t xml:space="preserve"> tâches</w:t>
            </w:r>
            <w:r w:rsidRPr="0059779D">
              <w:rPr>
                <w:sz w:val="20"/>
              </w:rPr>
              <w:t> :</w:t>
            </w:r>
            <w:r w:rsidRPr="00C365C5">
              <w:rPr>
                <w:sz w:val="20"/>
              </w:rPr>
              <w:t xml:space="preserve"> </w:t>
            </w:r>
            <w:r w:rsidR="00C365C5" w:rsidRPr="00C365C5">
              <w:rPr>
                <w:sz w:val="20"/>
              </w:rPr>
              <w:t>anglais (la connaissance du français est un atout)</w:t>
            </w:r>
          </w:p>
          <w:p w:rsidR="001653AB" w:rsidRPr="008B38B2" w:rsidRDefault="001653AB" w:rsidP="006A35E2">
            <w:pPr>
              <w:ind w:right="92"/>
              <w:jc w:val="both"/>
            </w:pPr>
          </w:p>
        </w:tc>
      </w:tr>
      <w:tr w:rsidR="001653AB" w:rsidRPr="0059779D" w:rsidTr="0059779D">
        <w:trPr>
          <w:gridAfter w:val="1"/>
          <w:wAfter w:w="14" w:type="dxa"/>
          <w:trHeight w:val="95"/>
        </w:trPr>
        <w:tc>
          <w:tcPr>
            <w:tcW w:w="392" w:type="dxa"/>
            <w:tcBorders>
              <w:left w:val="single" w:sz="4" w:space="0" w:color="auto"/>
            </w:tcBorders>
            <w:shd w:val="clear" w:color="auto" w:fill="auto"/>
          </w:tcPr>
          <w:p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rsidR="001653AB" w:rsidRPr="0059779D" w:rsidRDefault="001653AB" w:rsidP="0059779D">
            <w:pPr>
              <w:ind w:right="161"/>
              <w:jc w:val="both"/>
              <w:rPr>
                <w:b/>
              </w:rPr>
            </w:pPr>
          </w:p>
        </w:tc>
      </w:tr>
      <w:tr w:rsidR="001653AB" w:rsidRPr="0059779D" w:rsidTr="0059779D">
        <w:trPr>
          <w:gridAfter w:val="1"/>
          <w:wAfter w:w="14" w:type="dxa"/>
        </w:trPr>
        <w:tc>
          <w:tcPr>
            <w:tcW w:w="392" w:type="dxa"/>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3B2134">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r>
      <w:tr w:rsidR="001653AB"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Soumission des candidatures</w:t>
            </w:r>
            <w:r>
              <w:rPr>
                <w:b/>
                <w:sz w:val="20"/>
              </w:rPr>
              <w:t xml:space="preserve"> et procédure de sélection</w:t>
            </w:r>
          </w:p>
        </w:tc>
      </w:tr>
      <w:tr w:rsidR="001653AB" w:rsidRPr="0059779D" w:rsidTr="0059779D">
        <w:trPr>
          <w:gridAfter w:val="1"/>
          <w:wAfter w:w="14" w:type="dxa"/>
        </w:trPr>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rsidR="001653AB" w:rsidRDefault="001653AB" w:rsidP="00DB7D07">
            <w:pPr>
              <w:ind w:right="175"/>
              <w:jc w:val="both"/>
              <w:rPr>
                <w:sz w:val="20"/>
              </w:rPr>
            </w:pPr>
          </w:p>
          <w:p w:rsidR="001653AB" w:rsidRPr="0059779D" w:rsidRDefault="001653AB"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10"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 xml:space="preserve">(tels que copie de carte d'identité, copie des diplômes et attestations d'expérience </w:t>
            </w:r>
            <w:proofErr w:type="gramStart"/>
            <w:r w:rsidRPr="0059779D">
              <w:rPr>
                <w:sz w:val="20"/>
              </w:rPr>
              <w:t>professionnelle,…</w:t>
            </w:r>
            <w:proofErr w:type="gramEnd"/>
            <w:r w:rsidRPr="0059779D">
              <w:rPr>
                <w:sz w:val="20"/>
              </w:rPr>
              <w:t>). Ces documents leur seront demandés, le cas échéant, à un stade ultérieur de la procédure de sélection.</w:t>
            </w:r>
          </w:p>
        </w:tc>
      </w:tr>
      <w:tr w:rsidR="001653AB" w:rsidRPr="0059779D" w:rsidTr="0059779D">
        <w:trPr>
          <w:gridAfter w:val="1"/>
          <w:wAfter w:w="14" w:type="dxa"/>
        </w:trPr>
        <w:tc>
          <w:tcPr>
            <w:tcW w:w="392" w:type="dxa"/>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Pr="004B0250" w:rsidRDefault="001653AB" w:rsidP="00F25489">
            <w:pPr>
              <w:ind w:right="175"/>
              <w:jc w:val="both"/>
              <w:rPr>
                <w:sz w:val="20"/>
              </w:rPr>
            </w:pPr>
            <w:r w:rsidRPr="004B0250">
              <w:rPr>
                <w:sz w:val="20"/>
              </w:rPr>
              <w:t>Les candidats seront informés du suivi de leur candidature par l'unité concernée.</w:t>
            </w:r>
          </w:p>
          <w:p w:rsidR="001653AB" w:rsidRPr="004B0250" w:rsidRDefault="001653AB" w:rsidP="00F25489">
            <w:pPr>
              <w:ind w:right="175"/>
              <w:jc w:val="both"/>
              <w:rPr>
                <w:b/>
                <w:sz w:val="20"/>
              </w:rPr>
            </w:pPr>
          </w:p>
        </w:tc>
      </w:tr>
      <w:tr w:rsidR="001653AB" w:rsidRPr="0059779D" w:rsidTr="003B2134">
        <w:trPr>
          <w:gridAfter w:val="1"/>
          <w:wAfter w:w="14" w:type="dxa"/>
        </w:trPr>
        <w:tc>
          <w:tcPr>
            <w:tcW w:w="392" w:type="dxa"/>
            <w:tcBorders>
              <w:top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rsidR="001653AB" w:rsidRPr="0059779D" w:rsidRDefault="001653AB" w:rsidP="0059779D">
            <w:pPr>
              <w:ind w:right="175"/>
              <w:jc w:val="both"/>
              <w:rPr>
                <w:b/>
                <w:sz w:val="20"/>
              </w:rPr>
            </w:pPr>
          </w:p>
        </w:tc>
      </w:tr>
      <w:tr w:rsidR="001653AB" w:rsidRPr="0059779D"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75"/>
              <w:jc w:val="both"/>
              <w:rPr>
                <w:b/>
                <w:sz w:val="20"/>
              </w:rPr>
            </w:pPr>
            <w:r w:rsidRPr="0059779D">
              <w:rPr>
                <w:b/>
                <w:sz w:val="20"/>
              </w:rPr>
              <w:t>Conditions du détachement</w:t>
            </w:r>
          </w:p>
        </w:tc>
      </w:tr>
      <w:tr w:rsidR="001653AB" w:rsidRPr="0059779D"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rsidR="001653AB" w:rsidRDefault="001653AB" w:rsidP="00CF55F6">
            <w:pPr>
              <w:ind w:right="175"/>
              <w:jc w:val="both"/>
              <w:rPr>
                <w:sz w:val="20"/>
              </w:rPr>
            </w:pPr>
          </w:p>
          <w:p w:rsidR="001653AB" w:rsidRPr="0059779D" w:rsidRDefault="001653AB" w:rsidP="00CF55F6">
            <w:pPr>
              <w:ind w:right="175"/>
              <w:jc w:val="both"/>
              <w:rPr>
                <w:sz w:val="20"/>
              </w:rPr>
            </w:pPr>
            <w:r w:rsidRPr="0059779D">
              <w:rPr>
                <w:sz w:val="20"/>
              </w:rPr>
              <w:t xml:space="preserve">Les détachements sont régis par la </w:t>
            </w:r>
            <w:r w:rsidRPr="00D459AB">
              <w:rPr>
                <w:b/>
                <w:sz w:val="20"/>
              </w:rPr>
              <w:t xml:space="preserve">décision de la Commission </w:t>
            </w:r>
            <w:proofErr w:type="gramStart"/>
            <w:r w:rsidRPr="00D459AB">
              <w:rPr>
                <w:b/>
                <w:sz w:val="20"/>
              </w:rPr>
              <w:t>C(</w:t>
            </w:r>
            <w:proofErr w:type="gramEnd"/>
            <w:r w:rsidRPr="00D459AB">
              <w:rPr>
                <w:b/>
                <w:sz w:val="20"/>
              </w:rPr>
              <w:t>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1" w:history="1">
              <w:r w:rsidRPr="00D85988">
                <w:rPr>
                  <w:rStyle w:val="Hyperlink"/>
                  <w:sz w:val="20"/>
                </w:rPr>
                <w:t>http://ec.europa.eu/civil_service/job/sne/index_fr.htm</w:t>
              </w:r>
            </w:hyperlink>
            <w:r w:rsidRPr="0059779D">
              <w:rPr>
                <w:sz w:val="20"/>
              </w:rPr>
              <w:t>.</w:t>
            </w:r>
          </w:p>
          <w:p w:rsidR="001653AB" w:rsidRPr="0059779D" w:rsidRDefault="001653AB"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rsidR="001653AB" w:rsidRPr="0059779D" w:rsidRDefault="001653AB"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rsidR="001653AB" w:rsidRDefault="001653AB"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rsidR="001653AB" w:rsidRPr="0059779D" w:rsidRDefault="001653AB" w:rsidP="00D85988">
            <w:pPr>
              <w:pStyle w:val="ListBullet"/>
              <w:numPr>
                <w:ilvl w:val="0"/>
                <w:numId w:val="0"/>
              </w:numPr>
              <w:ind w:right="161"/>
              <w:rPr>
                <w:sz w:val="20"/>
              </w:rPr>
            </w:pPr>
            <w:r>
              <w:rPr>
                <w:bCs/>
                <w:sz w:val="20"/>
              </w:rPr>
              <w:t>Toute déclaration incomplète ou fausse pourra entraîner le refus de la candidature.</w:t>
            </w:r>
          </w:p>
        </w:tc>
      </w:tr>
      <w:tr w:rsidR="001653AB" w:rsidRPr="0059779D" w:rsidTr="00A26BD3">
        <w:tc>
          <w:tcPr>
            <w:tcW w:w="392" w:type="dxa"/>
            <w:tcBorders>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bottom w:val="single" w:sz="4" w:space="0" w:color="auto"/>
            </w:tcBorders>
            <w:shd w:val="clear" w:color="auto" w:fill="auto"/>
          </w:tcPr>
          <w:p w:rsidR="001653AB" w:rsidRPr="0059779D" w:rsidRDefault="001653AB" w:rsidP="0059779D">
            <w:pPr>
              <w:ind w:left="473"/>
              <w:jc w:val="both"/>
              <w:rPr>
                <w:sz w:val="20"/>
              </w:rPr>
            </w:pPr>
          </w:p>
        </w:tc>
      </w:tr>
      <w:tr w:rsidR="001653AB" w:rsidRPr="0059779D"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rsidR="001653AB" w:rsidRPr="0059779D" w:rsidRDefault="001653AB" w:rsidP="00E3586A">
            <w:pPr>
              <w:pStyle w:val="Footer"/>
              <w:rPr>
                <w:b/>
                <w:sz w:val="20"/>
              </w:rPr>
            </w:pPr>
            <w:r w:rsidRPr="0059779D">
              <w:rPr>
                <w:b/>
                <w:sz w:val="20"/>
              </w:rPr>
              <w:t>Traitement des données à caractère personnel :</w:t>
            </w:r>
          </w:p>
        </w:tc>
      </w:tr>
      <w:tr w:rsidR="001653AB" w:rsidRPr="0059779D" w:rsidTr="00A26BD3">
        <w:tc>
          <w:tcPr>
            <w:tcW w:w="392" w:type="dxa"/>
            <w:tcBorders>
              <w:top w:val="single" w:sz="4" w:space="0" w:color="auto"/>
              <w:left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rsidR="001653AB" w:rsidRDefault="001653AB"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xml:space="preserve">, sous la responsabilité du chef de l'unité </w:t>
            </w:r>
            <w:proofErr w:type="gramStart"/>
            <w:r>
              <w:rPr>
                <w:sz w:val="20"/>
              </w:rPr>
              <w:t>HR.B</w:t>
            </w:r>
            <w:proofErr w:type="gramEnd"/>
            <w:r>
              <w:rPr>
                <w:sz w:val="20"/>
              </w:rPr>
              <w:t>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rsidR="001653AB" w:rsidRDefault="001653AB"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rsidR="001653AB" w:rsidRPr="0059779D" w:rsidRDefault="001653AB"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2" w:history="1">
              <w:r w:rsidRPr="00D85988">
                <w:rPr>
                  <w:rStyle w:val="Hyperlink"/>
                  <w:sz w:val="20"/>
                </w:rPr>
                <w:t>edps@edps.europa.eu</w:t>
              </w:r>
            </w:hyperlink>
            <w:r w:rsidRPr="0059779D">
              <w:rPr>
                <w:sz w:val="20"/>
              </w:rPr>
              <w:t>.</w:t>
            </w:r>
          </w:p>
          <w:p w:rsidR="001653AB" w:rsidRDefault="001653AB"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rsidR="001653AB" w:rsidRPr="0059779D" w:rsidRDefault="00B3203A" w:rsidP="00D85988">
            <w:pPr>
              <w:ind w:right="175"/>
              <w:jc w:val="both"/>
              <w:rPr>
                <w:sz w:val="20"/>
              </w:rPr>
            </w:pPr>
            <w:hyperlink r:id="rId13" w:history="1">
              <w:r w:rsidR="001653AB" w:rsidRPr="00D85988">
                <w:rPr>
                  <w:rStyle w:val="Hyperlink"/>
                  <w:sz w:val="20"/>
                </w:rPr>
                <w:t>http://ec.europa.eu/dgs/personnel_administration/security_fr.htm</w:t>
              </w:r>
            </w:hyperlink>
            <w:r w:rsidR="001653AB" w:rsidRPr="00D85988">
              <w:rPr>
                <w:rStyle w:val="Hyperlink"/>
                <w:color w:val="auto"/>
                <w:u w:val="none"/>
              </w:rPr>
              <w:t>.</w:t>
            </w:r>
          </w:p>
        </w:tc>
      </w:tr>
      <w:tr w:rsidR="001653AB" w:rsidRPr="0059779D" w:rsidTr="00A26BD3">
        <w:trPr>
          <w:trHeight w:val="473"/>
        </w:trPr>
        <w:tc>
          <w:tcPr>
            <w:tcW w:w="392" w:type="dxa"/>
            <w:vMerge w:val="restart"/>
            <w:tcBorders>
              <w:left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right w:val="single" w:sz="4" w:space="0" w:color="auto"/>
            </w:tcBorders>
            <w:shd w:val="clear" w:color="auto" w:fill="auto"/>
          </w:tcPr>
          <w:p w:rsidR="001653AB" w:rsidRPr="0059779D" w:rsidRDefault="001653AB" w:rsidP="00D85988">
            <w:pPr>
              <w:ind w:right="175"/>
              <w:jc w:val="both"/>
              <w:rPr>
                <w:sz w:val="20"/>
              </w:rPr>
            </w:pPr>
            <w:r w:rsidRPr="00D85988">
              <w:rPr>
                <w:sz w:val="20"/>
              </w:rPr>
              <w:t xml:space="preserve">Les informations sur le traitement des données personnelles au sein du JRC sont disponibles à l'adresse: </w:t>
            </w:r>
            <w:hyperlink r:id="rId14" w:history="1">
              <w:r w:rsidRPr="00D85988">
                <w:rPr>
                  <w:rStyle w:val="Hyperlink"/>
                  <w:sz w:val="20"/>
                </w:rPr>
                <w:t>http://ec.europa.eu/dgs/jrc/index.cfm?id=6270</w:t>
              </w:r>
            </w:hyperlink>
            <w:r w:rsidRPr="00D85988">
              <w:rPr>
                <w:rStyle w:val="Hyperlink"/>
                <w:color w:val="auto"/>
                <w:sz w:val="20"/>
                <w:u w:val="none"/>
              </w:rPr>
              <w:t>.</w:t>
            </w:r>
          </w:p>
        </w:tc>
      </w:tr>
      <w:tr w:rsidR="001653AB" w:rsidRPr="0059779D" w:rsidTr="00DF3FDD">
        <w:trPr>
          <w:trHeight w:val="311"/>
        </w:trPr>
        <w:tc>
          <w:tcPr>
            <w:tcW w:w="392" w:type="dxa"/>
            <w:vMerge/>
            <w:tcBorders>
              <w:left w:val="single" w:sz="4" w:space="0" w:color="auto"/>
              <w:bottom w:val="single" w:sz="4" w:space="0" w:color="auto"/>
            </w:tcBorders>
            <w:shd w:val="clear" w:color="auto" w:fill="auto"/>
          </w:tcPr>
          <w:p w:rsidR="001653AB" w:rsidRPr="0059779D" w:rsidRDefault="001653AB"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rsidR="001653AB" w:rsidRPr="0059779D" w:rsidRDefault="001653AB" w:rsidP="0059779D">
            <w:pPr>
              <w:tabs>
                <w:tab w:val="left" w:pos="540"/>
              </w:tabs>
              <w:autoSpaceDE w:val="0"/>
              <w:autoSpaceDN w:val="0"/>
              <w:adjustRightInd w:val="0"/>
              <w:jc w:val="both"/>
              <w:rPr>
                <w:sz w:val="20"/>
                <w:lang w:val="fr-FR"/>
              </w:rPr>
            </w:pPr>
          </w:p>
        </w:tc>
      </w:tr>
    </w:tbl>
    <w:p w:rsidR="00E45131" w:rsidRPr="00300579" w:rsidRDefault="00E45131" w:rsidP="00300579">
      <w:pPr>
        <w:ind w:right="1317"/>
        <w:jc w:val="both"/>
        <w:rPr>
          <w:sz w:val="8"/>
          <w:szCs w:val="8"/>
        </w:rPr>
      </w:pPr>
    </w:p>
    <w:sectPr w:rsidR="00E45131" w:rsidRPr="00300579" w:rsidSect="00C44E7E">
      <w:headerReference w:type="default" r:id="rId15"/>
      <w:footerReference w:type="default" r:id="rId16"/>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973" w:rsidRDefault="00103973">
      <w:r>
        <w:separator/>
      </w:r>
    </w:p>
  </w:endnote>
  <w:endnote w:type="continuationSeparator" w:id="0">
    <w:p w:rsidR="00103973" w:rsidRDefault="00103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EE4" w:rsidRPr="004C1142" w:rsidRDefault="004C1142" w:rsidP="004C1142">
    <w:pPr>
      <w:pStyle w:val="Footer"/>
      <w:jc w:val="right"/>
      <w:rPr>
        <w:sz w:val="20"/>
      </w:rPr>
    </w:pPr>
    <w:r w:rsidRPr="004C1142">
      <w:rPr>
        <w:sz w:val="20"/>
      </w:rPr>
      <w:t>Version 201</w:t>
    </w:r>
    <w:r w:rsidR="00110A6A">
      <w:rPr>
        <w:sz w:val="20"/>
      </w:rPr>
      <w:t>8</w:t>
    </w:r>
    <w:r w:rsidRPr="004C1142">
      <w:rPr>
        <w:sz w:val="20"/>
      </w:rPr>
      <w:t>-</w:t>
    </w:r>
    <w:r w:rsidR="00110A6A">
      <w:rPr>
        <w:sz w:val="20"/>
      </w:rPr>
      <w:t>02</w:t>
    </w:r>
    <w:r>
      <w:rPr>
        <w:sz w:val="20"/>
      </w:rPr>
      <w:t xml:space="preserve">                 </w:t>
    </w:r>
    <w:r>
      <w:rPr>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973" w:rsidRDefault="00103973">
      <w:r>
        <w:separator/>
      </w:r>
    </w:p>
  </w:footnote>
  <w:footnote w:type="continuationSeparator" w:id="0">
    <w:p w:rsidR="00103973" w:rsidRDefault="00103973">
      <w:r>
        <w:continuationSeparator/>
      </w:r>
    </w:p>
  </w:footnote>
  <w:footnote w:id="1">
    <w:p w:rsidR="009555C7" w:rsidRDefault="009555C7" w:rsidP="00625DED">
      <w:pPr>
        <w:pStyle w:val="FootnoteText"/>
        <w:ind w:right="1175"/>
        <w:jc w:val="both"/>
      </w:pPr>
      <w:r>
        <w:rPr>
          <w:rStyle w:val="FootnoteReference"/>
        </w:rPr>
        <w:footnoteRef/>
      </w:r>
      <w:r>
        <w:t xml:space="preserve"> Les précisions liées à la date de prise de fonction et à la durée du détachement </w:t>
      </w:r>
      <w:r w:rsidR="00FD2BE5">
        <w:t>sont données à titre indicatif uniquement</w:t>
      </w:r>
      <w:r w:rsidR="00682CB4">
        <w:t xml:space="preserve"> (article 4 de la décision END)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5C7" w:rsidRPr="00D459AB" w:rsidRDefault="009555C7" w:rsidP="00844D7B">
    <w:pPr>
      <w:pStyle w:val="Header"/>
      <w:ind w:right="325"/>
      <w:jc w:val="right"/>
      <w:rPr>
        <w:b/>
        <w:sz w:val="20"/>
      </w:rPr>
    </w:pPr>
    <w:r w:rsidRPr="00D459AB">
      <w:rPr>
        <w:b/>
        <w:sz w:val="16"/>
        <w:szCs w:val="16"/>
      </w:rPr>
      <w:t>Formulaire DG.</w:t>
    </w:r>
    <w:r w:rsidR="00110A6A">
      <w:rPr>
        <w:b/>
        <w:sz w:val="16"/>
        <w:szCs w:val="16"/>
      </w:rPr>
      <w:t>1</w:t>
    </w:r>
    <w:r w:rsidRPr="00D459AB">
      <w:rPr>
        <w:b/>
        <w:sz w:val="16"/>
        <w:szCs w:val="16"/>
      </w:rPr>
      <w:t xml:space="preserve"> (FR)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4"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8"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9"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0"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6"/>
  </w:num>
  <w:num w:numId="4">
    <w:abstractNumId w:val="9"/>
  </w:num>
  <w:num w:numId="5">
    <w:abstractNumId w:val="8"/>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7"/>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514"/>
    <w:rsid w:val="000230DA"/>
    <w:rsid w:val="0006506F"/>
    <w:rsid w:val="000860A3"/>
    <w:rsid w:val="000D13C7"/>
    <w:rsid w:val="000E6B9E"/>
    <w:rsid w:val="000F0B02"/>
    <w:rsid w:val="00103973"/>
    <w:rsid w:val="00110555"/>
    <w:rsid w:val="00110A6A"/>
    <w:rsid w:val="00135773"/>
    <w:rsid w:val="0016470B"/>
    <w:rsid w:val="001653AB"/>
    <w:rsid w:val="00182ACD"/>
    <w:rsid w:val="00184D0D"/>
    <w:rsid w:val="00184FC0"/>
    <w:rsid w:val="00185847"/>
    <w:rsid w:val="00185A6E"/>
    <w:rsid w:val="001B6676"/>
    <w:rsid w:val="001F3C83"/>
    <w:rsid w:val="00207EB1"/>
    <w:rsid w:val="00210198"/>
    <w:rsid w:val="00213AC7"/>
    <w:rsid w:val="00225615"/>
    <w:rsid w:val="002269A9"/>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73AA"/>
    <w:rsid w:val="002F757B"/>
    <w:rsid w:val="00300579"/>
    <w:rsid w:val="00332DA7"/>
    <w:rsid w:val="003469B4"/>
    <w:rsid w:val="00353449"/>
    <w:rsid w:val="003639FD"/>
    <w:rsid w:val="003776E4"/>
    <w:rsid w:val="00377F18"/>
    <w:rsid w:val="003B2134"/>
    <w:rsid w:val="003D484D"/>
    <w:rsid w:val="003E0024"/>
    <w:rsid w:val="003E7309"/>
    <w:rsid w:val="00407204"/>
    <w:rsid w:val="00410120"/>
    <w:rsid w:val="0045400E"/>
    <w:rsid w:val="00454010"/>
    <w:rsid w:val="00491CA2"/>
    <w:rsid w:val="00491FE7"/>
    <w:rsid w:val="004B0250"/>
    <w:rsid w:val="004B7487"/>
    <w:rsid w:val="004C1142"/>
    <w:rsid w:val="004C1CF4"/>
    <w:rsid w:val="00506CDC"/>
    <w:rsid w:val="00523BEC"/>
    <w:rsid w:val="00525AB3"/>
    <w:rsid w:val="0053797D"/>
    <w:rsid w:val="005459ED"/>
    <w:rsid w:val="005524F3"/>
    <w:rsid w:val="0055386D"/>
    <w:rsid w:val="00554C6D"/>
    <w:rsid w:val="0056395F"/>
    <w:rsid w:val="00570F58"/>
    <w:rsid w:val="00577BDC"/>
    <w:rsid w:val="00577E73"/>
    <w:rsid w:val="00597574"/>
    <w:rsid w:val="0059779D"/>
    <w:rsid w:val="005A1433"/>
    <w:rsid w:val="005A2544"/>
    <w:rsid w:val="005D3035"/>
    <w:rsid w:val="005D56DF"/>
    <w:rsid w:val="005D6462"/>
    <w:rsid w:val="005F7BCC"/>
    <w:rsid w:val="00625DED"/>
    <w:rsid w:val="00630D64"/>
    <w:rsid w:val="00657080"/>
    <w:rsid w:val="00673097"/>
    <w:rsid w:val="00682CB4"/>
    <w:rsid w:val="006A175E"/>
    <w:rsid w:val="006A35E2"/>
    <w:rsid w:val="007429C6"/>
    <w:rsid w:val="00747985"/>
    <w:rsid w:val="0076561B"/>
    <w:rsid w:val="0078320E"/>
    <w:rsid w:val="007E36DE"/>
    <w:rsid w:val="007F12AE"/>
    <w:rsid w:val="00807D4A"/>
    <w:rsid w:val="00811432"/>
    <w:rsid w:val="00820556"/>
    <w:rsid w:val="0083637C"/>
    <w:rsid w:val="00836F84"/>
    <w:rsid w:val="00837C9B"/>
    <w:rsid w:val="00844D7B"/>
    <w:rsid w:val="00856CF1"/>
    <w:rsid w:val="008650B6"/>
    <w:rsid w:val="008B38B2"/>
    <w:rsid w:val="008C1BAB"/>
    <w:rsid w:val="008F4E36"/>
    <w:rsid w:val="008F5099"/>
    <w:rsid w:val="008F6CE2"/>
    <w:rsid w:val="00921131"/>
    <w:rsid w:val="009436D0"/>
    <w:rsid w:val="0094446C"/>
    <w:rsid w:val="00951939"/>
    <w:rsid w:val="00952714"/>
    <w:rsid w:val="009555C7"/>
    <w:rsid w:val="009E1B29"/>
    <w:rsid w:val="009F27F5"/>
    <w:rsid w:val="00A26BD3"/>
    <w:rsid w:val="00A26C4A"/>
    <w:rsid w:val="00A462B8"/>
    <w:rsid w:val="00A83AC3"/>
    <w:rsid w:val="00AA6F9C"/>
    <w:rsid w:val="00AA7C72"/>
    <w:rsid w:val="00AB2358"/>
    <w:rsid w:val="00B07C01"/>
    <w:rsid w:val="00B25175"/>
    <w:rsid w:val="00B25951"/>
    <w:rsid w:val="00B3203A"/>
    <w:rsid w:val="00B51D63"/>
    <w:rsid w:val="00B57F47"/>
    <w:rsid w:val="00B62E7D"/>
    <w:rsid w:val="00B70174"/>
    <w:rsid w:val="00B90296"/>
    <w:rsid w:val="00BA1CA5"/>
    <w:rsid w:val="00BC732B"/>
    <w:rsid w:val="00BC7731"/>
    <w:rsid w:val="00BD6207"/>
    <w:rsid w:val="00C0285B"/>
    <w:rsid w:val="00C2181F"/>
    <w:rsid w:val="00C21F2B"/>
    <w:rsid w:val="00C365C5"/>
    <w:rsid w:val="00C41FD8"/>
    <w:rsid w:val="00C44E7E"/>
    <w:rsid w:val="00C47260"/>
    <w:rsid w:val="00C6355A"/>
    <w:rsid w:val="00C67062"/>
    <w:rsid w:val="00C72A05"/>
    <w:rsid w:val="00C7471D"/>
    <w:rsid w:val="00CC0DBE"/>
    <w:rsid w:val="00CC6445"/>
    <w:rsid w:val="00CD0164"/>
    <w:rsid w:val="00CD6C77"/>
    <w:rsid w:val="00CF55F6"/>
    <w:rsid w:val="00CF75BB"/>
    <w:rsid w:val="00D07676"/>
    <w:rsid w:val="00D17D0C"/>
    <w:rsid w:val="00D411C5"/>
    <w:rsid w:val="00D436AB"/>
    <w:rsid w:val="00D459AB"/>
    <w:rsid w:val="00D743B0"/>
    <w:rsid w:val="00D85988"/>
    <w:rsid w:val="00DB2121"/>
    <w:rsid w:val="00DB2B95"/>
    <w:rsid w:val="00DB632F"/>
    <w:rsid w:val="00DB7CF2"/>
    <w:rsid w:val="00DB7D07"/>
    <w:rsid w:val="00DC353D"/>
    <w:rsid w:val="00DD20D9"/>
    <w:rsid w:val="00DE6CF2"/>
    <w:rsid w:val="00DF3FDD"/>
    <w:rsid w:val="00E00EE4"/>
    <w:rsid w:val="00E3586A"/>
    <w:rsid w:val="00E45131"/>
    <w:rsid w:val="00E63EEB"/>
    <w:rsid w:val="00E67CD7"/>
    <w:rsid w:val="00E71A8F"/>
    <w:rsid w:val="00E71C56"/>
    <w:rsid w:val="00EB347A"/>
    <w:rsid w:val="00ED15A0"/>
    <w:rsid w:val="00EE2303"/>
    <w:rsid w:val="00EF61D4"/>
    <w:rsid w:val="00F25489"/>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6FB436A"/>
  <w15:docId w15:val="{B71D3F95-8049-4634-B39F-1B5842278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europa.eu/dgs/personnel_administration/security_fr.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ivil_service/job/sne/index_fr.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fr/documents/curriculum-vitae" TargetMode="External"/><Relationship Id="rId4" Type="http://schemas.openxmlformats.org/officeDocument/2006/relationships/settings" Target="settings.xml"/><Relationship Id="rId9" Type="http://schemas.openxmlformats.org/officeDocument/2006/relationships/hyperlink" Target="mailto:stefan.lechler@ec.europa.eu" TargetMode="External"/><Relationship Id="rId14" Type="http://schemas.openxmlformats.org/officeDocument/2006/relationships/hyperlink" Target="http://ec.europa.eu/dgs/jrc/index.cfm?id=62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36A77-1CE1-41E0-A299-B70F6877D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1214</Words>
  <Characters>7127</Characters>
  <Application>Microsoft Office Word</Application>
  <DocSecurity>4</DocSecurity>
  <Lines>215</Lines>
  <Paragraphs>89</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8252</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1245253</vt:i4>
      </vt:variant>
      <vt:variant>
        <vt:i4>12</vt:i4>
      </vt:variant>
      <vt:variant>
        <vt:i4>0</vt:i4>
      </vt:variant>
      <vt:variant>
        <vt:i4>5</vt:i4>
      </vt:variant>
      <vt:variant>
        <vt:lpwstr>http://ec.europa.eu/dgs/personnel_administration/security_fr.htm</vt:lpwstr>
      </vt:variant>
      <vt:variant>
        <vt:lpwstr/>
      </vt:variant>
      <vt:variant>
        <vt:i4>1835128</vt:i4>
      </vt:variant>
      <vt:variant>
        <vt:i4>9</vt:i4>
      </vt:variant>
      <vt:variant>
        <vt:i4>0</vt:i4>
      </vt:variant>
      <vt:variant>
        <vt:i4>5</vt:i4>
      </vt:variant>
      <vt:variant>
        <vt:lpwstr>mailto:edps@edps.europa.eu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LONNOY Bernard (HR)</cp:lastModifiedBy>
  <cp:revision>2</cp:revision>
  <cp:lastPrinted>2014-11-07T12:14:00Z</cp:lastPrinted>
  <dcterms:created xsi:type="dcterms:W3CDTF">2018-10-10T14:14:00Z</dcterms:created>
  <dcterms:modified xsi:type="dcterms:W3CDTF">2018-10-10T14:14:00Z</dcterms:modified>
</cp:coreProperties>
</file>