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4B2" w:rsidRDefault="007834B2" w:rsidP="007834B2">
      <w:pPr>
        <w:rPr>
          <w:rFonts w:ascii="Verdana" w:hAnsi="Verdana"/>
          <w:sz w:val="20"/>
          <w:szCs w:val="20"/>
          <w:lang w:val="en-GB"/>
        </w:rPr>
      </w:pPr>
    </w:p>
    <w:p w:rsidR="007834B2" w:rsidRDefault="007834B2" w:rsidP="007834B2">
      <w:pPr>
        <w:rPr>
          <w:rFonts w:ascii="Verdana" w:hAnsi="Verdana"/>
          <w:sz w:val="20"/>
          <w:szCs w:val="20"/>
          <w:shd w:val="clear" w:color="auto" w:fill="FFFFFF"/>
          <w:lang w:val="en-GB"/>
        </w:rPr>
      </w:pPr>
      <w:r>
        <w:rPr>
          <w:rFonts w:ascii="Verdana" w:hAnsi="Verdana"/>
          <w:sz w:val="20"/>
          <w:szCs w:val="20"/>
          <w:shd w:val="clear" w:color="auto" w:fill="FFFFFF"/>
          <w:lang w:val="en-GB"/>
        </w:rPr>
        <w:t xml:space="preserve">The vacancy notice for the position of Chair and alternate Chair of ECHA’s Board of Appeal has been published in the Official Journal of the European Union. </w:t>
      </w:r>
    </w:p>
    <w:p w:rsidR="007834B2" w:rsidRDefault="007834B2" w:rsidP="007834B2">
      <w:pPr>
        <w:rPr>
          <w:rFonts w:ascii="Verdana" w:hAnsi="Verdana"/>
          <w:sz w:val="20"/>
          <w:szCs w:val="20"/>
          <w:shd w:val="clear" w:color="auto" w:fill="FFFFFF"/>
          <w:lang w:val="en-GB"/>
        </w:rPr>
      </w:pPr>
      <w:r>
        <w:rPr>
          <w:rFonts w:ascii="Verdana" w:hAnsi="Verdana"/>
          <w:sz w:val="20"/>
          <w:szCs w:val="20"/>
          <w:shd w:val="clear" w:color="auto" w:fill="FFFFFF"/>
          <w:lang w:val="en-GB"/>
        </w:rPr>
        <w:t>The selection process is organised by the European Commission and the Chair/ alternate Chair of the Board of Appeal will be appointed by the Management Board of ECHA.</w:t>
      </w:r>
    </w:p>
    <w:p w:rsidR="007834B2" w:rsidRDefault="007834B2" w:rsidP="007834B2">
      <w:pPr>
        <w:rPr>
          <w:rFonts w:ascii="Verdana" w:hAnsi="Verdana"/>
          <w:sz w:val="20"/>
          <w:szCs w:val="20"/>
          <w:lang w:val="en-GB"/>
        </w:rPr>
      </w:pPr>
    </w:p>
    <w:p w:rsidR="007834B2" w:rsidRDefault="007834B2" w:rsidP="007834B2">
      <w:pPr>
        <w:rPr>
          <w:rFonts w:ascii="Verdana" w:hAnsi="Verdana"/>
          <w:b/>
          <w:bCs/>
          <w:sz w:val="20"/>
          <w:szCs w:val="20"/>
          <w:lang w:val="en-GB"/>
        </w:rPr>
      </w:pPr>
      <w:r>
        <w:rPr>
          <w:rFonts w:ascii="Verdana" w:hAnsi="Verdana"/>
          <w:b/>
          <w:bCs/>
          <w:sz w:val="20"/>
          <w:szCs w:val="20"/>
          <w:lang w:val="en-GB"/>
        </w:rPr>
        <w:t xml:space="preserve">Chair and alternate Chair of the Board of Appeal </w:t>
      </w:r>
    </w:p>
    <w:p w:rsidR="007834B2" w:rsidRDefault="007834B2" w:rsidP="007834B2">
      <w:pPr>
        <w:rPr>
          <w:rFonts w:ascii="Verdana" w:hAnsi="Verdana"/>
          <w:b/>
          <w:bCs/>
          <w:sz w:val="20"/>
          <w:szCs w:val="20"/>
          <w:lang w:val="en-GB"/>
        </w:rPr>
      </w:pPr>
      <w:r>
        <w:rPr>
          <w:rFonts w:ascii="Verdana" w:hAnsi="Verdana"/>
          <w:b/>
          <w:bCs/>
          <w:sz w:val="20"/>
          <w:szCs w:val="20"/>
          <w:lang w:val="en-GB"/>
        </w:rPr>
        <w:t xml:space="preserve">ECHA – European Chemicals Agency </w:t>
      </w:r>
    </w:p>
    <w:p w:rsidR="007834B2" w:rsidRDefault="007834B2" w:rsidP="007834B2">
      <w:pPr>
        <w:rPr>
          <w:rFonts w:ascii="Verdana" w:hAnsi="Verdana"/>
          <w:sz w:val="20"/>
          <w:szCs w:val="20"/>
          <w:lang w:val="en-GB"/>
        </w:rPr>
      </w:pPr>
      <w:r>
        <w:rPr>
          <w:rFonts w:ascii="Verdana" w:hAnsi="Verdana"/>
          <w:b/>
          <w:bCs/>
          <w:sz w:val="20"/>
          <w:szCs w:val="20"/>
          <w:lang w:val="en-GB"/>
        </w:rPr>
        <w:t>Helsinki, Finland</w:t>
      </w:r>
    </w:p>
    <w:p w:rsidR="007834B2" w:rsidRDefault="007834B2" w:rsidP="007834B2">
      <w:pPr>
        <w:rPr>
          <w:rFonts w:ascii="Verdana" w:hAnsi="Verdana"/>
          <w:sz w:val="20"/>
          <w:szCs w:val="20"/>
          <w:lang w:val="en-GB"/>
        </w:rPr>
      </w:pPr>
    </w:p>
    <w:p w:rsidR="007834B2" w:rsidRDefault="007834B2" w:rsidP="007834B2">
      <w:pPr>
        <w:spacing w:after="200"/>
        <w:rPr>
          <w:rFonts w:ascii="Verdana" w:hAnsi="Verdana"/>
          <w:sz w:val="20"/>
          <w:szCs w:val="20"/>
          <w:lang w:val="en-GB"/>
        </w:rPr>
      </w:pPr>
      <w:r>
        <w:rPr>
          <w:rFonts w:ascii="Verdana" w:hAnsi="Verdana"/>
          <w:sz w:val="20"/>
          <w:szCs w:val="20"/>
          <w:lang w:val="en-GB"/>
        </w:rPr>
        <w:t>The European Chemicals Agency is the driving force in implementing the EU's chemicals legislation for the benefit of human health and the environment as well as for innovation and competitiveness. The Agency is located in Helsinki, Finland, rated one of the world’s most liveable cities.</w:t>
      </w:r>
    </w:p>
    <w:p w:rsidR="007834B2" w:rsidRDefault="007834B2" w:rsidP="007834B2">
      <w:pPr>
        <w:spacing w:after="200"/>
        <w:rPr>
          <w:rFonts w:ascii="Verdana" w:hAnsi="Verdana"/>
          <w:sz w:val="20"/>
          <w:szCs w:val="20"/>
          <w:lang w:val="en-GB"/>
        </w:rPr>
      </w:pPr>
      <w:r>
        <w:rPr>
          <w:rFonts w:ascii="Verdana" w:hAnsi="Verdana"/>
          <w:sz w:val="20"/>
          <w:szCs w:val="20"/>
          <w:lang w:val="en-GB"/>
        </w:rPr>
        <w:t xml:space="preserve">The Chair of Board of Appeal will represent ECHA’s Board of Appeal, taking responsibility for its operations, ensuring the achievement of objectives in line with the applicable EU chemicals legislation (REACH, CLP, PIC, </w:t>
      </w:r>
      <w:proofErr w:type="gramStart"/>
      <w:r>
        <w:rPr>
          <w:rFonts w:ascii="Verdana" w:hAnsi="Verdana"/>
          <w:sz w:val="20"/>
          <w:szCs w:val="20"/>
          <w:lang w:val="en-GB"/>
        </w:rPr>
        <w:t>BPR</w:t>
      </w:r>
      <w:proofErr w:type="gramEnd"/>
      <w:r>
        <w:rPr>
          <w:rFonts w:ascii="Verdana" w:hAnsi="Verdana"/>
          <w:sz w:val="20"/>
          <w:szCs w:val="20"/>
          <w:lang w:val="en-GB"/>
        </w:rPr>
        <w:t xml:space="preserve">). </w:t>
      </w:r>
    </w:p>
    <w:p w:rsidR="007834B2" w:rsidRDefault="007834B2" w:rsidP="007834B2">
      <w:pPr>
        <w:spacing w:after="200"/>
        <w:rPr>
          <w:rFonts w:ascii="Verdana" w:hAnsi="Verdana"/>
          <w:b/>
          <w:bCs/>
          <w:sz w:val="20"/>
          <w:szCs w:val="20"/>
          <w:lang w:val="en-GB"/>
        </w:rPr>
      </w:pPr>
      <w:r>
        <w:rPr>
          <w:rFonts w:ascii="Verdana" w:hAnsi="Verdana"/>
          <w:b/>
          <w:bCs/>
          <w:sz w:val="20"/>
          <w:szCs w:val="20"/>
          <w:lang w:val="en-GB"/>
        </w:rPr>
        <w:t>The role</w:t>
      </w:r>
    </w:p>
    <w:p w:rsidR="007834B2" w:rsidRDefault="007834B2" w:rsidP="007834B2">
      <w:pPr>
        <w:pStyle w:val="ListParagraph"/>
        <w:ind w:hanging="360"/>
        <w:rPr>
          <w:rFonts w:ascii="Verdana" w:hAnsi="Verdana"/>
          <w:sz w:val="20"/>
          <w:szCs w:val="20"/>
          <w:lang w:val="en-GB"/>
        </w:rPr>
      </w:pPr>
      <w:r>
        <w:rPr>
          <w:rFonts w:ascii="Symbol" w:hAnsi="Symbol"/>
          <w:sz w:val="20"/>
          <w:szCs w:val="20"/>
          <w:lang w:val="en-GB"/>
        </w:rPr>
        <w:t></w:t>
      </w:r>
      <w:r>
        <w:rPr>
          <w:rFonts w:ascii="Times New Roman" w:hAnsi="Times New Roman" w:cs="Times New Roman"/>
          <w:sz w:val="14"/>
          <w:szCs w:val="14"/>
          <w:lang w:val="en-GB"/>
        </w:rPr>
        <w:t xml:space="preserve">        </w:t>
      </w:r>
      <w:proofErr w:type="gramStart"/>
      <w:r>
        <w:rPr>
          <w:rFonts w:ascii="Verdana" w:hAnsi="Verdana"/>
          <w:sz w:val="20"/>
          <w:szCs w:val="20"/>
          <w:lang w:val="en-GB"/>
        </w:rPr>
        <w:t>Presiding</w:t>
      </w:r>
      <w:proofErr w:type="gramEnd"/>
      <w:r>
        <w:rPr>
          <w:rFonts w:ascii="Verdana" w:hAnsi="Verdana"/>
          <w:sz w:val="20"/>
          <w:szCs w:val="20"/>
          <w:lang w:val="en-GB"/>
        </w:rPr>
        <w:t xml:space="preserve"> over all appeals;</w:t>
      </w:r>
    </w:p>
    <w:p w:rsidR="007834B2" w:rsidRDefault="007834B2" w:rsidP="007834B2">
      <w:pPr>
        <w:pStyle w:val="ListParagraph"/>
        <w:ind w:hanging="360"/>
        <w:rPr>
          <w:rFonts w:ascii="Verdana" w:hAnsi="Verdana"/>
          <w:sz w:val="20"/>
          <w:szCs w:val="20"/>
          <w:lang w:val="en-GB"/>
        </w:rPr>
      </w:pPr>
      <w:r>
        <w:rPr>
          <w:rFonts w:ascii="Symbol" w:hAnsi="Symbol"/>
          <w:sz w:val="20"/>
          <w:szCs w:val="20"/>
          <w:lang w:val="en-GB"/>
        </w:rPr>
        <w:t></w:t>
      </w:r>
      <w:r>
        <w:rPr>
          <w:rFonts w:ascii="Times New Roman" w:hAnsi="Times New Roman" w:cs="Times New Roman"/>
          <w:sz w:val="14"/>
          <w:szCs w:val="14"/>
          <w:lang w:val="en-GB"/>
        </w:rPr>
        <w:t xml:space="preserve">        </w:t>
      </w:r>
      <w:r>
        <w:rPr>
          <w:rFonts w:ascii="Verdana" w:hAnsi="Verdana"/>
          <w:sz w:val="20"/>
          <w:szCs w:val="20"/>
          <w:lang w:val="en-GB"/>
        </w:rPr>
        <w:t>Examining and deciding on appeals in an independent and impartial manner;</w:t>
      </w:r>
    </w:p>
    <w:p w:rsidR="007834B2" w:rsidRDefault="007834B2" w:rsidP="007834B2">
      <w:pPr>
        <w:pStyle w:val="ListParagraph"/>
        <w:spacing w:line="240" w:lineRule="auto"/>
        <w:ind w:hanging="360"/>
        <w:jc w:val="both"/>
        <w:rPr>
          <w:rFonts w:ascii="Verdana" w:hAnsi="Verdana"/>
          <w:sz w:val="20"/>
          <w:szCs w:val="20"/>
          <w:lang w:val="en-GB"/>
        </w:rPr>
      </w:pPr>
      <w:r>
        <w:rPr>
          <w:rFonts w:ascii="Symbol" w:hAnsi="Symbol"/>
          <w:sz w:val="20"/>
          <w:szCs w:val="20"/>
          <w:lang w:val="en-GB"/>
        </w:rPr>
        <w:t></w:t>
      </w:r>
      <w:r>
        <w:rPr>
          <w:rFonts w:ascii="Times New Roman" w:hAnsi="Times New Roman" w:cs="Times New Roman"/>
          <w:sz w:val="14"/>
          <w:szCs w:val="14"/>
          <w:lang w:val="en-GB"/>
        </w:rPr>
        <w:t xml:space="preserve">        </w:t>
      </w:r>
      <w:proofErr w:type="gramStart"/>
      <w:r>
        <w:rPr>
          <w:rFonts w:ascii="Verdana" w:hAnsi="Verdana"/>
          <w:sz w:val="20"/>
          <w:szCs w:val="20"/>
          <w:lang w:val="en-GB"/>
        </w:rPr>
        <w:t>Managing</w:t>
      </w:r>
      <w:proofErr w:type="gramEnd"/>
      <w:r>
        <w:rPr>
          <w:rFonts w:ascii="Verdana" w:hAnsi="Verdana"/>
          <w:sz w:val="20"/>
          <w:szCs w:val="20"/>
          <w:lang w:val="en-GB"/>
        </w:rPr>
        <w:t xml:space="preserve"> the operation of the Board of Appeal and the Registrar of the Board of Appeal.</w:t>
      </w:r>
    </w:p>
    <w:p w:rsidR="007834B2" w:rsidRDefault="007834B2" w:rsidP="007834B2">
      <w:pPr>
        <w:spacing w:after="200"/>
        <w:rPr>
          <w:rFonts w:ascii="Verdana" w:hAnsi="Verdana"/>
          <w:b/>
          <w:bCs/>
          <w:sz w:val="20"/>
          <w:szCs w:val="20"/>
          <w:lang w:val="en-GB"/>
        </w:rPr>
      </w:pPr>
      <w:r>
        <w:rPr>
          <w:rFonts w:ascii="Verdana" w:hAnsi="Verdana"/>
          <w:b/>
          <w:bCs/>
          <w:sz w:val="20"/>
          <w:szCs w:val="20"/>
          <w:lang w:val="en-GB"/>
        </w:rPr>
        <w:t>The candidate</w:t>
      </w:r>
    </w:p>
    <w:p w:rsidR="007834B2" w:rsidRDefault="007834B2" w:rsidP="007834B2">
      <w:pPr>
        <w:pStyle w:val="ListParagraph"/>
        <w:spacing w:line="240" w:lineRule="auto"/>
        <w:ind w:hanging="360"/>
        <w:jc w:val="both"/>
        <w:rPr>
          <w:rFonts w:ascii="Verdana" w:hAnsi="Verdana"/>
          <w:sz w:val="20"/>
          <w:szCs w:val="20"/>
          <w:lang w:val="en-GB"/>
        </w:rPr>
      </w:pPr>
      <w:r>
        <w:rPr>
          <w:rFonts w:ascii="Symbol" w:hAnsi="Symbol"/>
          <w:sz w:val="20"/>
          <w:szCs w:val="20"/>
          <w:lang w:val="en-GB"/>
        </w:rPr>
        <w:t></w:t>
      </w:r>
      <w:r>
        <w:rPr>
          <w:rFonts w:ascii="Times New Roman" w:hAnsi="Times New Roman" w:cs="Times New Roman"/>
          <w:sz w:val="14"/>
          <w:szCs w:val="14"/>
          <w:lang w:val="en-GB"/>
        </w:rPr>
        <w:t xml:space="preserve">        </w:t>
      </w:r>
      <w:r>
        <w:rPr>
          <w:rFonts w:ascii="Verdana" w:hAnsi="Verdana"/>
          <w:sz w:val="20"/>
          <w:szCs w:val="20"/>
          <w:lang w:val="en-GB"/>
        </w:rPr>
        <w:t>National of an EU Member State;</w:t>
      </w:r>
    </w:p>
    <w:p w:rsidR="007834B2" w:rsidRDefault="007834B2" w:rsidP="007834B2">
      <w:pPr>
        <w:pStyle w:val="ListParagraph"/>
        <w:spacing w:line="240" w:lineRule="auto"/>
        <w:ind w:hanging="360"/>
        <w:jc w:val="both"/>
        <w:rPr>
          <w:rFonts w:ascii="Verdana" w:hAnsi="Verdana"/>
          <w:sz w:val="20"/>
          <w:szCs w:val="20"/>
          <w:lang w:val="en-GB"/>
        </w:rPr>
      </w:pPr>
      <w:r>
        <w:rPr>
          <w:rFonts w:ascii="Symbol" w:hAnsi="Symbol"/>
          <w:sz w:val="20"/>
          <w:szCs w:val="20"/>
          <w:lang w:val="en-GB"/>
        </w:rPr>
        <w:t></w:t>
      </w:r>
      <w:r>
        <w:rPr>
          <w:rFonts w:ascii="Times New Roman" w:hAnsi="Times New Roman" w:cs="Times New Roman"/>
          <w:sz w:val="14"/>
          <w:szCs w:val="14"/>
          <w:lang w:val="en-GB"/>
        </w:rPr>
        <w:t xml:space="preserve">        </w:t>
      </w:r>
      <w:r>
        <w:rPr>
          <w:rFonts w:ascii="Verdana" w:hAnsi="Verdana"/>
          <w:sz w:val="20"/>
          <w:szCs w:val="20"/>
          <w:lang w:val="en-GB"/>
        </w:rPr>
        <w:t>University degree in law or professional qualification for practicing as a lawyer;</w:t>
      </w:r>
    </w:p>
    <w:p w:rsidR="007834B2" w:rsidRDefault="007834B2" w:rsidP="007834B2">
      <w:pPr>
        <w:pStyle w:val="ListParagraph"/>
        <w:spacing w:line="240" w:lineRule="auto"/>
        <w:ind w:hanging="360"/>
        <w:jc w:val="both"/>
        <w:rPr>
          <w:rFonts w:ascii="Verdana" w:hAnsi="Verdana"/>
          <w:sz w:val="20"/>
          <w:szCs w:val="20"/>
          <w:lang w:val="en-GB"/>
        </w:rPr>
      </w:pPr>
      <w:r>
        <w:rPr>
          <w:rFonts w:ascii="Symbol" w:hAnsi="Symbol"/>
          <w:sz w:val="20"/>
          <w:szCs w:val="20"/>
          <w:lang w:val="en-GB"/>
        </w:rPr>
        <w:t></w:t>
      </w:r>
      <w:r>
        <w:rPr>
          <w:rFonts w:ascii="Times New Roman" w:hAnsi="Times New Roman" w:cs="Times New Roman"/>
          <w:sz w:val="14"/>
          <w:szCs w:val="14"/>
          <w:lang w:val="en-GB"/>
        </w:rPr>
        <w:t xml:space="preserve">        </w:t>
      </w:r>
      <w:r>
        <w:rPr>
          <w:rFonts w:ascii="Verdana" w:hAnsi="Verdana"/>
          <w:sz w:val="20"/>
          <w:szCs w:val="20"/>
          <w:lang w:val="en-GB"/>
        </w:rPr>
        <w:t>Professional experience gained in the legal field;</w:t>
      </w:r>
    </w:p>
    <w:p w:rsidR="007834B2" w:rsidRDefault="007834B2" w:rsidP="007834B2">
      <w:pPr>
        <w:pStyle w:val="ListParagraph"/>
        <w:ind w:hanging="360"/>
        <w:rPr>
          <w:rFonts w:ascii="Verdana" w:hAnsi="Verdana"/>
          <w:sz w:val="20"/>
          <w:szCs w:val="20"/>
          <w:lang w:val="en-GB"/>
        </w:rPr>
      </w:pPr>
      <w:r>
        <w:rPr>
          <w:rFonts w:ascii="Symbol" w:hAnsi="Symbol"/>
          <w:sz w:val="20"/>
          <w:szCs w:val="20"/>
          <w:lang w:val="en-GB"/>
        </w:rPr>
        <w:t></w:t>
      </w:r>
      <w:r>
        <w:rPr>
          <w:rFonts w:ascii="Times New Roman" w:hAnsi="Times New Roman" w:cs="Times New Roman"/>
          <w:sz w:val="14"/>
          <w:szCs w:val="14"/>
          <w:lang w:val="en-GB"/>
        </w:rPr>
        <w:t xml:space="preserve">        </w:t>
      </w:r>
      <w:r>
        <w:rPr>
          <w:rFonts w:ascii="Verdana" w:hAnsi="Verdana"/>
          <w:sz w:val="20"/>
          <w:szCs w:val="20"/>
          <w:lang w:val="en-GB"/>
        </w:rPr>
        <w:t>Experience of regulatory and judicial procedures;</w:t>
      </w:r>
    </w:p>
    <w:p w:rsidR="007834B2" w:rsidRDefault="007834B2" w:rsidP="007834B2">
      <w:pPr>
        <w:pStyle w:val="ListParagraph"/>
        <w:ind w:hanging="360"/>
        <w:rPr>
          <w:rFonts w:ascii="Verdana" w:hAnsi="Verdana"/>
          <w:sz w:val="20"/>
          <w:szCs w:val="20"/>
          <w:lang w:val="en-GB"/>
        </w:rPr>
      </w:pPr>
      <w:r>
        <w:rPr>
          <w:rFonts w:ascii="Symbol" w:hAnsi="Symbol"/>
          <w:sz w:val="20"/>
          <w:szCs w:val="20"/>
          <w:lang w:val="en-GB"/>
        </w:rPr>
        <w:t></w:t>
      </w:r>
      <w:r>
        <w:rPr>
          <w:rFonts w:ascii="Times New Roman" w:hAnsi="Times New Roman" w:cs="Times New Roman"/>
          <w:sz w:val="14"/>
          <w:szCs w:val="14"/>
          <w:lang w:val="en-GB"/>
        </w:rPr>
        <w:t xml:space="preserve">        </w:t>
      </w:r>
      <w:r>
        <w:rPr>
          <w:rFonts w:ascii="Verdana" w:hAnsi="Verdana"/>
          <w:sz w:val="20"/>
          <w:szCs w:val="20"/>
          <w:lang w:val="en-GB"/>
        </w:rPr>
        <w:t xml:space="preserve">Strong communication and inter-personal skills, being able to discuss effectively and efficiently with internal and external stakeholders; </w:t>
      </w:r>
    </w:p>
    <w:p w:rsidR="007834B2" w:rsidRDefault="007834B2" w:rsidP="007834B2">
      <w:pPr>
        <w:pStyle w:val="ListParagraph"/>
        <w:spacing w:line="240" w:lineRule="auto"/>
        <w:ind w:hanging="360"/>
        <w:jc w:val="both"/>
        <w:rPr>
          <w:rFonts w:ascii="Verdana" w:hAnsi="Verdana"/>
          <w:sz w:val="20"/>
          <w:szCs w:val="20"/>
          <w:lang w:val="en-GB"/>
        </w:rPr>
      </w:pPr>
      <w:r>
        <w:rPr>
          <w:rFonts w:ascii="Symbol" w:hAnsi="Symbol"/>
          <w:sz w:val="20"/>
          <w:szCs w:val="20"/>
          <w:lang w:val="en-GB"/>
        </w:rPr>
        <w:t></w:t>
      </w:r>
      <w:r>
        <w:rPr>
          <w:rFonts w:ascii="Times New Roman" w:hAnsi="Times New Roman" w:cs="Times New Roman"/>
          <w:sz w:val="14"/>
          <w:szCs w:val="14"/>
          <w:lang w:val="en-GB"/>
        </w:rPr>
        <w:t xml:space="preserve">        </w:t>
      </w:r>
      <w:r>
        <w:rPr>
          <w:rFonts w:ascii="Verdana" w:hAnsi="Verdana"/>
          <w:sz w:val="20"/>
          <w:szCs w:val="20"/>
          <w:lang w:val="en-GB"/>
        </w:rPr>
        <w:t>Knowledge of one of the official EU languages and a satisfactory knowledge of another of these languages;</w:t>
      </w:r>
    </w:p>
    <w:p w:rsidR="007834B2" w:rsidRDefault="007834B2" w:rsidP="007834B2">
      <w:pPr>
        <w:pStyle w:val="ListParagraph"/>
        <w:spacing w:line="240" w:lineRule="auto"/>
        <w:ind w:hanging="360"/>
        <w:jc w:val="both"/>
        <w:rPr>
          <w:rFonts w:ascii="Verdana" w:hAnsi="Verdana"/>
          <w:sz w:val="20"/>
          <w:szCs w:val="20"/>
          <w:lang w:val="en-GB"/>
        </w:rPr>
      </w:pPr>
      <w:r>
        <w:rPr>
          <w:rFonts w:ascii="Symbol" w:hAnsi="Symbol"/>
          <w:sz w:val="20"/>
          <w:szCs w:val="20"/>
          <w:lang w:val="en-GB"/>
        </w:rPr>
        <w:t></w:t>
      </w:r>
      <w:r>
        <w:rPr>
          <w:rFonts w:ascii="Times New Roman" w:hAnsi="Times New Roman" w:cs="Times New Roman"/>
          <w:sz w:val="14"/>
          <w:szCs w:val="14"/>
          <w:lang w:val="en-GB"/>
        </w:rPr>
        <w:t xml:space="preserve">        </w:t>
      </w:r>
      <w:r>
        <w:rPr>
          <w:rFonts w:ascii="Verdana" w:hAnsi="Verdana"/>
          <w:sz w:val="20"/>
          <w:szCs w:val="20"/>
          <w:lang w:val="en-GB"/>
        </w:rPr>
        <w:t>A very good command of English;</w:t>
      </w:r>
    </w:p>
    <w:p w:rsidR="007834B2" w:rsidRDefault="007834B2" w:rsidP="007834B2">
      <w:pPr>
        <w:pStyle w:val="ListParagraph"/>
        <w:spacing w:line="240" w:lineRule="auto"/>
        <w:ind w:hanging="360"/>
        <w:jc w:val="both"/>
        <w:rPr>
          <w:rFonts w:ascii="Verdana" w:hAnsi="Verdana"/>
          <w:sz w:val="20"/>
          <w:szCs w:val="20"/>
          <w:lang w:val="en-GB"/>
        </w:rPr>
      </w:pPr>
      <w:r>
        <w:rPr>
          <w:rFonts w:ascii="Symbol" w:hAnsi="Symbol"/>
          <w:sz w:val="20"/>
          <w:szCs w:val="20"/>
          <w:lang w:val="en-GB"/>
        </w:rPr>
        <w:t></w:t>
      </w:r>
      <w:r>
        <w:rPr>
          <w:rFonts w:ascii="Times New Roman" w:hAnsi="Times New Roman" w:cs="Times New Roman"/>
          <w:sz w:val="14"/>
          <w:szCs w:val="14"/>
          <w:lang w:val="en-GB"/>
        </w:rPr>
        <w:t xml:space="preserve">        </w:t>
      </w:r>
      <w:r>
        <w:rPr>
          <w:rFonts w:ascii="Verdana" w:hAnsi="Verdana"/>
          <w:sz w:val="20"/>
          <w:szCs w:val="20"/>
          <w:lang w:val="en-GB"/>
        </w:rPr>
        <w:t>Managerial experience and work experience gained in a similar multicultural environment would be an asset;</w:t>
      </w:r>
    </w:p>
    <w:p w:rsidR="007834B2" w:rsidRDefault="007834B2" w:rsidP="007834B2">
      <w:pPr>
        <w:spacing w:after="200"/>
        <w:rPr>
          <w:rFonts w:ascii="Verdana" w:hAnsi="Verdana"/>
          <w:sz w:val="20"/>
          <w:szCs w:val="20"/>
          <w:lang w:val="en-GB"/>
        </w:rPr>
      </w:pPr>
      <w:r>
        <w:rPr>
          <w:rFonts w:ascii="Verdana" w:hAnsi="Verdana"/>
          <w:sz w:val="20"/>
          <w:szCs w:val="20"/>
          <w:lang w:val="en-GB"/>
        </w:rPr>
        <w:t>Please consult the Official Journal OJ C 295 A of 21/08/2018 for the full vacancy notice as well as the eligibility and selection criteria.</w:t>
      </w:r>
    </w:p>
    <w:p w:rsidR="007834B2" w:rsidRDefault="007834B2" w:rsidP="007834B2">
      <w:pPr>
        <w:spacing w:after="200"/>
        <w:rPr>
          <w:rFonts w:ascii="Verdana" w:hAnsi="Verdana"/>
          <w:sz w:val="20"/>
          <w:szCs w:val="20"/>
          <w:lang w:val="en-GB"/>
        </w:rPr>
      </w:pPr>
      <w:r>
        <w:rPr>
          <w:rFonts w:ascii="Verdana" w:hAnsi="Verdana"/>
          <w:sz w:val="20"/>
          <w:szCs w:val="20"/>
          <w:lang w:val="en-GB"/>
        </w:rPr>
        <w:t xml:space="preserve">Registration for applicants: </w:t>
      </w:r>
    </w:p>
    <w:p w:rsidR="007834B2" w:rsidRDefault="007834B2" w:rsidP="007834B2">
      <w:pPr>
        <w:spacing w:after="200"/>
        <w:rPr>
          <w:rFonts w:ascii="Verdana" w:hAnsi="Verdana"/>
          <w:sz w:val="20"/>
          <w:szCs w:val="20"/>
          <w:lang w:val="en-GB"/>
        </w:rPr>
      </w:pPr>
      <w:hyperlink r:id="rId5" w:history="1">
        <w:r>
          <w:rPr>
            <w:rStyle w:val="Hyperlink"/>
            <w:rFonts w:ascii="Verdana" w:hAnsi="Verdana"/>
            <w:sz w:val="20"/>
            <w:szCs w:val="20"/>
            <w:lang w:val="en-GB" w:eastAsia="en-GB"/>
          </w:rPr>
          <w:t>https://ec.europa.eu/dgs/human-resources/seniormanagementvacancies/</w:t>
        </w:r>
      </w:hyperlink>
    </w:p>
    <w:p w:rsidR="007834B2" w:rsidRDefault="007834B2" w:rsidP="007834B2">
      <w:pPr>
        <w:rPr>
          <w:rFonts w:ascii="Verdana" w:hAnsi="Verdana"/>
          <w:sz w:val="20"/>
          <w:szCs w:val="20"/>
          <w:lang w:val="en-GB"/>
        </w:rPr>
      </w:pPr>
      <w:r>
        <w:rPr>
          <w:rFonts w:ascii="Verdana" w:hAnsi="Verdana"/>
          <w:sz w:val="20"/>
          <w:szCs w:val="20"/>
          <w:lang w:val="en-GB"/>
        </w:rPr>
        <w:t>The deadline for applications is</w:t>
      </w:r>
      <w:r>
        <w:rPr>
          <w:rFonts w:ascii="Verdana" w:hAnsi="Verdana"/>
          <w:b/>
          <w:bCs/>
          <w:sz w:val="20"/>
          <w:szCs w:val="20"/>
          <w:lang w:val="en-GB"/>
        </w:rPr>
        <w:t xml:space="preserve"> 28/09/2018, 12.00 noon Brussels time</w:t>
      </w:r>
      <w:r>
        <w:rPr>
          <w:rFonts w:ascii="Verdana" w:hAnsi="Verdana"/>
          <w:sz w:val="20"/>
          <w:szCs w:val="20"/>
          <w:lang w:val="en-GB"/>
        </w:rPr>
        <w:t>.</w:t>
      </w:r>
    </w:p>
    <w:p w:rsidR="007834B2" w:rsidRDefault="007834B2" w:rsidP="007834B2">
      <w:pPr>
        <w:rPr>
          <w:rFonts w:ascii="Verdana" w:hAnsi="Verdana"/>
          <w:sz w:val="20"/>
          <w:szCs w:val="20"/>
          <w:shd w:val="clear" w:color="auto" w:fill="FFFFFF"/>
          <w:lang w:val="en-GB"/>
        </w:rPr>
      </w:pPr>
    </w:p>
    <w:p w:rsidR="00AB000C" w:rsidRDefault="007834B2">
      <w:bookmarkStart w:id="0" w:name="_GoBack"/>
      <w:bookmarkEnd w:id="0"/>
    </w:p>
    <w:sectPr w:rsidR="00AB0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B2"/>
    <w:rsid w:val="007834B2"/>
    <w:rsid w:val="00A4176C"/>
    <w:rsid w:val="00E3346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4B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34B2"/>
    <w:rPr>
      <w:color w:val="0563C1"/>
      <w:u w:val="single"/>
    </w:rPr>
  </w:style>
  <w:style w:type="paragraph" w:styleId="ListParagraph">
    <w:name w:val="List Paragraph"/>
    <w:basedOn w:val="Normal"/>
    <w:uiPriority w:val="34"/>
    <w:qFormat/>
    <w:rsid w:val="007834B2"/>
    <w:pPr>
      <w:spacing w:after="200" w:line="276" w:lineRule="auto"/>
      <w:ind w:left="720"/>
      <w:contextualSpacing/>
    </w:pPr>
  </w:style>
  <w:style w:type="paragraph" w:styleId="BalloonText">
    <w:name w:val="Balloon Text"/>
    <w:basedOn w:val="Normal"/>
    <w:link w:val="BalloonTextChar"/>
    <w:uiPriority w:val="99"/>
    <w:semiHidden/>
    <w:unhideWhenUsed/>
    <w:rsid w:val="007834B2"/>
    <w:rPr>
      <w:rFonts w:ascii="Tahoma" w:hAnsi="Tahoma" w:cs="Tahoma"/>
      <w:sz w:val="16"/>
      <w:szCs w:val="16"/>
    </w:rPr>
  </w:style>
  <w:style w:type="character" w:customStyle="1" w:styleId="BalloonTextChar">
    <w:name w:val="Balloon Text Char"/>
    <w:basedOn w:val="DefaultParagraphFont"/>
    <w:link w:val="BalloonText"/>
    <w:uiPriority w:val="99"/>
    <w:semiHidden/>
    <w:rsid w:val="007834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4B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34B2"/>
    <w:rPr>
      <w:color w:val="0563C1"/>
      <w:u w:val="single"/>
    </w:rPr>
  </w:style>
  <w:style w:type="paragraph" w:styleId="ListParagraph">
    <w:name w:val="List Paragraph"/>
    <w:basedOn w:val="Normal"/>
    <w:uiPriority w:val="34"/>
    <w:qFormat/>
    <w:rsid w:val="007834B2"/>
    <w:pPr>
      <w:spacing w:after="200" w:line="276" w:lineRule="auto"/>
      <w:ind w:left="720"/>
      <w:contextualSpacing/>
    </w:pPr>
  </w:style>
  <w:style w:type="paragraph" w:styleId="BalloonText">
    <w:name w:val="Balloon Text"/>
    <w:basedOn w:val="Normal"/>
    <w:link w:val="BalloonTextChar"/>
    <w:uiPriority w:val="99"/>
    <w:semiHidden/>
    <w:unhideWhenUsed/>
    <w:rsid w:val="007834B2"/>
    <w:rPr>
      <w:rFonts w:ascii="Tahoma" w:hAnsi="Tahoma" w:cs="Tahoma"/>
      <w:sz w:val="16"/>
      <w:szCs w:val="16"/>
    </w:rPr>
  </w:style>
  <w:style w:type="character" w:customStyle="1" w:styleId="BalloonTextChar">
    <w:name w:val="Balloon Text Char"/>
    <w:basedOn w:val="DefaultParagraphFont"/>
    <w:link w:val="BalloonText"/>
    <w:uiPriority w:val="99"/>
    <w:semiHidden/>
    <w:rsid w:val="00783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9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europa.eu/dgs/human-resources/seniormanagementvacan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Isaeva</dc:creator>
  <cp:lastModifiedBy>Margarita Isaeva</cp:lastModifiedBy>
  <cp:revision>1</cp:revision>
  <dcterms:created xsi:type="dcterms:W3CDTF">2018-08-24T09:28:00Z</dcterms:created>
  <dcterms:modified xsi:type="dcterms:W3CDTF">2018-08-24T09:28:00Z</dcterms:modified>
</cp:coreProperties>
</file>