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D12" w:rsidRDefault="00944D12" w:rsidP="00944D12">
      <w:pPr>
        <w:jc w:val="both"/>
        <w:rPr>
          <w:color w:val="1F497D"/>
        </w:rPr>
      </w:pPr>
      <w:r w:rsidRPr="00944D12">
        <w:t>Dear PSC c</w:t>
      </w:r>
      <w:r>
        <w:t>olleagues,</w:t>
      </w:r>
    </w:p>
    <w:p w:rsidR="00944D12" w:rsidRDefault="00944D12" w:rsidP="00944D12">
      <w:pPr>
        <w:jc w:val="both"/>
        <w:rPr>
          <w:color w:val="1F497D"/>
        </w:rPr>
      </w:pPr>
    </w:p>
    <w:p w:rsidR="00944D12" w:rsidRDefault="00944D12" w:rsidP="00944D12">
      <w:pPr>
        <w:jc w:val="both"/>
      </w:pPr>
      <w:r>
        <w:t xml:space="preserve">I would like to bring to your attention the publication of four vacancy notices for Seconded National Experts (SNEs) in the Directorate General for Neighbourhood and Enlargement Negotiations (DG NEAR), in particular in the areas of security and migration. </w:t>
      </w:r>
    </w:p>
    <w:p w:rsidR="00944D12" w:rsidRDefault="00944D12" w:rsidP="00944D12">
      <w:pPr>
        <w:jc w:val="both"/>
        <w:rPr>
          <w:color w:val="1F497D"/>
        </w:rPr>
      </w:pPr>
      <w:r>
        <w:t xml:space="preserve">Security and migration are amongst the top priorities of the </w:t>
      </w:r>
      <w:proofErr w:type="spellStart"/>
      <w:r>
        <w:t>Juncker</w:t>
      </w:r>
      <w:proofErr w:type="spellEnd"/>
      <w:r>
        <w:t xml:space="preserve"> Commission and are essential policies in the EU relations with the neighbourhood and enlargement countries. Your expertise would make a valuable contribution to the work of the Commission.</w:t>
      </w:r>
      <w:r>
        <w:rPr>
          <w:color w:val="1F497D"/>
        </w:rPr>
        <w:t xml:space="preserve"> </w:t>
      </w:r>
      <w:r>
        <w:t>The vacancy notices were distributed to each of your Permanent Representations through the channel of the Commission (DG Human Resources) with a deadline for submission of applications on 25</w:t>
      </w:r>
      <w:r>
        <w:rPr>
          <w:vertAlign w:val="superscript"/>
        </w:rPr>
        <w:t>th</w:t>
      </w:r>
      <w:r>
        <w:t xml:space="preserve"> April. </w:t>
      </w:r>
    </w:p>
    <w:p w:rsidR="00944D12" w:rsidRDefault="00944D12" w:rsidP="00944D12">
      <w:pPr>
        <w:ind w:left="720"/>
        <w:jc w:val="both"/>
      </w:pPr>
    </w:p>
    <w:p w:rsidR="00944D12" w:rsidRDefault="00944D12" w:rsidP="00944D12">
      <w:pPr>
        <w:jc w:val="both"/>
      </w:pPr>
      <w:r>
        <w:t xml:space="preserve">In total, 4 </w:t>
      </w:r>
      <w:proofErr w:type="gramStart"/>
      <w:r>
        <w:t>position</w:t>
      </w:r>
      <w:proofErr w:type="gramEnd"/>
      <w:r>
        <w:t xml:space="preserve"> are available, with the following responsibilities:</w:t>
      </w:r>
    </w:p>
    <w:p w:rsidR="00944D12" w:rsidRDefault="00944D12" w:rsidP="00944D12">
      <w:pPr>
        <w:ind w:left="720"/>
        <w:jc w:val="both"/>
      </w:pPr>
    </w:p>
    <w:p w:rsidR="00944D12" w:rsidRDefault="00944D12" w:rsidP="00944D12">
      <w:pPr>
        <w:jc w:val="both"/>
      </w:pPr>
      <w:r>
        <w:t xml:space="preserve">-1 SNE position to develop and implement the EU wide strategic framework on EU security Sector Reform (SRR) ¡ in the neighbourhood and enlargement countries and to provide operational support to on-going and future EU-funded SSR support. The unit of destination is NEAR-B2 – Regional Programmes Neighbourhood South. </w:t>
      </w:r>
    </w:p>
    <w:p w:rsidR="00944D12" w:rsidRDefault="00944D12" w:rsidP="00944D12">
      <w:pPr>
        <w:ind w:left="720"/>
        <w:jc w:val="both"/>
      </w:pPr>
    </w:p>
    <w:p w:rsidR="00944D12" w:rsidRDefault="00944D12" w:rsidP="00944D12">
      <w:pPr>
        <w:jc w:val="both"/>
      </w:pPr>
      <w:r>
        <w:t xml:space="preserve">-1 SNE position to contribute to the implementation of the Security dimension of the Eastern partnership, including SSR support activities, measures in support of the resolution of frozen conflicts in the Eastern Neighbourhood region, conflict prevention and crisis management, cyber security and disruptive organised crime. The unit of destination is NEAR-C1 – Georgia, Moldova and </w:t>
      </w:r>
      <w:proofErr w:type="spellStart"/>
      <w:r>
        <w:t>Crossborder</w:t>
      </w:r>
      <w:proofErr w:type="spellEnd"/>
      <w:r>
        <w:t xml:space="preserve"> Cooperation. </w:t>
      </w:r>
    </w:p>
    <w:p w:rsidR="00944D12" w:rsidRDefault="00944D12" w:rsidP="004F5EF8">
      <w:pPr>
        <w:jc w:val="both"/>
      </w:pPr>
    </w:p>
    <w:p w:rsidR="00944D12" w:rsidRDefault="00944D12" w:rsidP="00944D12">
      <w:pPr>
        <w:jc w:val="both"/>
      </w:pPr>
      <w:r>
        <w:t xml:space="preserve">-2 SNE positions to contribute to the implementation of migration support activities in neighbourhood and enlargement countries and coordinate with international partners. The unit of destination is NEAR-B3 – Maghreb. </w:t>
      </w:r>
    </w:p>
    <w:p w:rsidR="00944D12" w:rsidRDefault="00944D12" w:rsidP="00944D12">
      <w:pPr>
        <w:jc w:val="both"/>
      </w:pPr>
    </w:p>
    <w:p w:rsidR="00944D12" w:rsidRDefault="00944D12" w:rsidP="00944D12">
      <w:pPr>
        <w:jc w:val="both"/>
      </w:pPr>
      <w:r>
        <w:t xml:space="preserve">Specific information on eligibility and selection criteria and conditions for the secondment are available in the vacancy notices attached. </w:t>
      </w:r>
    </w:p>
    <w:p w:rsidR="00944D12" w:rsidRDefault="00944D12" w:rsidP="00944D12">
      <w:pPr>
        <w:ind w:left="720"/>
        <w:jc w:val="both"/>
      </w:pPr>
    </w:p>
    <w:p w:rsidR="00944D12" w:rsidRDefault="00944D12" w:rsidP="00944D12">
      <w:pPr>
        <w:jc w:val="both"/>
      </w:pPr>
      <w:r>
        <w:t>I highly encourage you to apply.</w:t>
      </w:r>
    </w:p>
    <w:p w:rsidR="00944D12" w:rsidRDefault="00944D12" w:rsidP="00944D12">
      <w:pPr>
        <w:jc w:val="both"/>
        <w:rPr>
          <w:color w:val="1F497D"/>
        </w:rPr>
      </w:pPr>
    </w:p>
    <w:p w:rsidR="00944D12" w:rsidRDefault="00944D12" w:rsidP="00944D12">
      <w:pPr>
        <w:jc w:val="both"/>
      </w:pPr>
      <w:r>
        <w:t>I thank you in advance and I look forward to an eventual mutually beneficial cooperation, kind regards,</w:t>
      </w:r>
    </w:p>
    <w:p w:rsidR="00944D12" w:rsidRDefault="00944D12" w:rsidP="00944D12">
      <w:pPr>
        <w:rPr>
          <w:rFonts w:ascii="Arial" w:hAnsi="Arial" w:cs="Arial"/>
          <w:color w:val="000000"/>
          <w:sz w:val="20"/>
          <w:szCs w:val="20"/>
          <w:lang w:eastAsia="en-GB"/>
        </w:rPr>
      </w:pPr>
    </w:p>
    <w:p w:rsidR="00D86DB4" w:rsidRDefault="00944D12" w:rsidP="00944D12">
      <w:pPr>
        <w:rPr>
          <w:rFonts w:ascii="Arial" w:hAnsi="Arial" w:cs="Arial"/>
          <w:color w:val="000000"/>
          <w:sz w:val="20"/>
          <w:szCs w:val="20"/>
          <w:lang w:eastAsia="en-GB"/>
        </w:rPr>
      </w:pPr>
      <w:r w:rsidRPr="00944D12">
        <w:rPr>
          <w:rFonts w:ascii="Arial" w:hAnsi="Arial" w:cs="Arial"/>
          <w:b/>
          <w:bCs/>
          <w:color w:val="000000"/>
          <w:sz w:val="20"/>
          <w:szCs w:val="20"/>
          <w:lang w:eastAsia="en-GB"/>
        </w:rPr>
        <w:t xml:space="preserve">Maciej </w:t>
      </w:r>
      <w:proofErr w:type="spellStart"/>
      <w:r w:rsidRPr="00944D12">
        <w:rPr>
          <w:rFonts w:ascii="Arial" w:hAnsi="Arial" w:cs="Arial"/>
          <w:b/>
          <w:bCs/>
          <w:color w:val="000000"/>
          <w:sz w:val="20"/>
          <w:szCs w:val="20"/>
          <w:lang w:eastAsia="en-GB"/>
        </w:rPr>
        <w:t>Popowski</w:t>
      </w:r>
      <w:proofErr w:type="spellEnd"/>
      <w:r w:rsidRPr="00944D12">
        <w:rPr>
          <w:rFonts w:ascii="Arial" w:hAnsi="Arial" w:cs="Arial"/>
          <w:b/>
          <w:bCs/>
          <w:color w:val="000000"/>
          <w:sz w:val="20"/>
          <w:szCs w:val="20"/>
          <w:lang w:eastAsia="en-GB"/>
        </w:rPr>
        <w:br/>
      </w:r>
      <w:r w:rsidRPr="00944D12">
        <w:rPr>
          <w:rFonts w:ascii="Arial" w:hAnsi="Arial" w:cs="Arial"/>
          <w:color w:val="000000"/>
          <w:sz w:val="20"/>
          <w:szCs w:val="20"/>
          <w:lang w:eastAsia="en-GB"/>
        </w:rPr>
        <w:br/>
      </w:r>
      <w:r>
        <w:rPr>
          <w:rFonts w:ascii="Arial" w:hAnsi="Arial" w:cs="Arial"/>
          <w:noProof/>
          <w:color w:val="000000"/>
          <w:sz w:val="20"/>
          <w:szCs w:val="20"/>
          <w:lang w:eastAsia="en-GB"/>
        </w:rPr>
        <w:drawing>
          <wp:inline distT="0" distB="0" distL="0" distR="0" wp14:anchorId="4F043A33" wp14:editId="70399FCD">
            <wp:extent cx="955040" cy="467360"/>
            <wp:effectExtent l="0" t="0" r="0" b="889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5040" cy="467360"/>
                    </a:xfrm>
                    <a:prstGeom prst="rect">
                      <a:avLst/>
                    </a:prstGeom>
                    <a:noFill/>
                    <a:ln>
                      <a:noFill/>
                    </a:ln>
                  </pic:spPr>
                </pic:pic>
              </a:graphicData>
            </a:graphic>
          </wp:inline>
        </w:drawing>
      </w:r>
      <w:r w:rsidRPr="00944D12">
        <w:rPr>
          <w:rFonts w:ascii="Arial" w:hAnsi="Arial" w:cs="Arial"/>
          <w:color w:val="000000"/>
          <w:sz w:val="20"/>
          <w:szCs w:val="20"/>
          <w:lang w:eastAsia="en-GB"/>
        </w:rPr>
        <w:br/>
      </w:r>
      <w:r w:rsidRPr="00944D12">
        <w:rPr>
          <w:rFonts w:ascii="Arial" w:hAnsi="Arial" w:cs="Arial"/>
          <w:b/>
          <w:bCs/>
          <w:color w:val="000000"/>
          <w:sz w:val="20"/>
          <w:szCs w:val="20"/>
          <w:lang w:eastAsia="en-GB"/>
        </w:rPr>
        <w:t>European Commission</w:t>
      </w:r>
      <w:r w:rsidRPr="00944D12">
        <w:rPr>
          <w:rFonts w:ascii="Arial" w:hAnsi="Arial" w:cs="Arial"/>
          <w:color w:val="000000"/>
          <w:sz w:val="20"/>
          <w:szCs w:val="20"/>
          <w:lang w:eastAsia="en-GB"/>
        </w:rPr>
        <w:br/>
        <w:t>Directorate General for Neighbourhood and Enlargement Negotiations</w:t>
      </w:r>
      <w:r w:rsidRPr="00944D12">
        <w:rPr>
          <w:rFonts w:ascii="Arial" w:hAnsi="Arial" w:cs="Arial"/>
          <w:color w:val="000000"/>
          <w:sz w:val="20"/>
          <w:szCs w:val="20"/>
          <w:lang w:eastAsia="en-GB"/>
        </w:rPr>
        <w:br/>
      </w:r>
      <w:r w:rsidRPr="00944D12">
        <w:rPr>
          <w:rFonts w:ascii="Arial" w:hAnsi="Arial" w:cs="Arial"/>
          <w:b/>
          <w:bCs/>
          <w:color w:val="000000"/>
          <w:sz w:val="20"/>
          <w:szCs w:val="20"/>
          <w:lang w:eastAsia="en-GB"/>
        </w:rPr>
        <w:t>Deputy Director-General</w:t>
      </w:r>
      <w:r w:rsidRPr="00944D12">
        <w:rPr>
          <w:rFonts w:ascii="Arial" w:hAnsi="Arial" w:cs="Arial"/>
          <w:color w:val="000000"/>
          <w:sz w:val="20"/>
          <w:szCs w:val="20"/>
          <w:lang w:eastAsia="en-GB"/>
        </w:rPr>
        <w:br/>
        <w:t xml:space="preserve">Rue de la </w:t>
      </w:r>
      <w:proofErr w:type="spellStart"/>
      <w:r w:rsidRPr="00944D12">
        <w:rPr>
          <w:rFonts w:ascii="Arial" w:hAnsi="Arial" w:cs="Arial"/>
          <w:color w:val="000000"/>
          <w:sz w:val="20"/>
          <w:szCs w:val="20"/>
          <w:lang w:eastAsia="en-GB"/>
        </w:rPr>
        <w:t>Loi</w:t>
      </w:r>
      <w:proofErr w:type="spellEnd"/>
      <w:r w:rsidRPr="00944D12">
        <w:rPr>
          <w:rFonts w:ascii="Arial" w:hAnsi="Arial" w:cs="Arial"/>
          <w:color w:val="000000"/>
          <w:sz w:val="20"/>
          <w:szCs w:val="20"/>
          <w:lang w:eastAsia="en-GB"/>
        </w:rPr>
        <w:t xml:space="preserve"> 15, 1000 </w:t>
      </w:r>
      <w:proofErr w:type="spellStart"/>
      <w:r w:rsidRPr="00944D12">
        <w:rPr>
          <w:rFonts w:ascii="Arial" w:hAnsi="Arial" w:cs="Arial"/>
          <w:color w:val="000000"/>
          <w:sz w:val="20"/>
          <w:szCs w:val="20"/>
          <w:lang w:eastAsia="en-GB"/>
        </w:rPr>
        <w:t>Bruxelles</w:t>
      </w:r>
      <w:proofErr w:type="spellEnd"/>
      <w:r w:rsidRPr="00944D12">
        <w:rPr>
          <w:rFonts w:ascii="Arial" w:hAnsi="Arial" w:cs="Arial"/>
          <w:color w:val="000000"/>
          <w:sz w:val="20"/>
          <w:szCs w:val="20"/>
          <w:lang w:eastAsia="en-GB"/>
        </w:rPr>
        <w:br/>
        <w:t>T: +32-2-295.99.10</w:t>
      </w:r>
      <w:r w:rsidRPr="00944D12">
        <w:rPr>
          <w:rFonts w:ascii="Arial" w:hAnsi="Arial" w:cs="Arial"/>
          <w:color w:val="000000"/>
          <w:sz w:val="20"/>
          <w:szCs w:val="20"/>
          <w:lang w:eastAsia="en-GB"/>
        </w:rPr>
        <w:br/>
      </w:r>
      <w:r w:rsidR="00D86DB4">
        <w:rPr>
          <w:rFonts w:ascii="Arial" w:hAnsi="Arial" w:cs="Arial"/>
          <w:color w:val="000000"/>
          <w:sz w:val="20"/>
          <w:szCs w:val="20"/>
          <w:lang w:eastAsia="en-GB"/>
        </w:rPr>
        <w:t>maciej.popowski@ec.europa.eu</w:t>
      </w:r>
    </w:p>
    <w:p w:rsidR="00944D12" w:rsidRPr="00944D12" w:rsidRDefault="00944D12" w:rsidP="00944D12">
      <w:pPr>
        <w:rPr>
          <w:rFonts w:ascii="Arial" w:hAnsi="Arial" w:cs="Arial"/>
          <w:color w:val="000000"/>
          <w:sz w:val="20"/>
          <w:szCs w:val="20"/>
          <w:lang w:eastAsia="en-GB"/>
        </w:rPr>
      </w:pPr>
      <w:bookmarkStart w:id="0" w:name="_GoBack"/>
      <w:bookmarkEnd w:id="0"/>
      <w:r w:rsidRPr="00944D12">
        <w:rPr>
          <w:rFonts w:ascii="Arial" w:hAnsi="Arial" w:cs="Arial"/>
          <w:color w:val="000000"/>
          <w:sz w:val="20"/>
          <w:szCs w:val="20"/>
          <w:lang w:eastAsia="en-GB"/>
        </w:rPr>
        <w:br/>
        <w:t> </w:t>
      </w:r>
    </w:p>
    <w:p w:rsidR="00944D12" w:rsidRPr="00944D12" w:rsidRDefault="00944D12" w:rsidP="00944D12">
      <w:pPr>
        <w:rPr>
          <w:rFonts w:ascii="Arial" w:hAnsi="Arial" w:cs="Arial"/>
          <w:color w:val="000000"/>
          <w:sz w:val="20"/>
          <w:szCs w:val="20"/>
          <w:lang w:eastAsia="en-GB"/>
        </w:rPr>
      </w:pPr>
    </w:p>
    <w:p w:rsidR="00944D12" w:rsidRPr="00944D12" w:rsidRDefault="00944D12" w:rsidP="00944D12">
      <w:pPr>
        <w:rPr>
          <w:color w:val="1F497D"/>
        </w:rPr>
      </w:pPr>
    </w:p>
    <w:p w:rsidR="00944D12" w:rsidRDefault="00944D12" w:rsidP="004F5EF8">
      <w:pPr>
        <w:rPr>
          <w:lang w:val="ca-ES"/>
        </w:rPr>
      </w:pPr>
    </w:p>
    <w:p w:rsidR="00076E84" w:rsidRPr="00944D12" w:rsidRDefault="00D86DB4">
      <w:pPr>
        <w:rPr>
          <w:lang w:val="ca-ES"/>
        </w:rPr>
      </w:pPr>
    </w:p>
    <w:sectPr w:rsidR="00076E84" w:rsidRPr="00944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D12"/>
    <w:rsid w:val="004F5EF8"/>
    <w:rsid w:val="00640CA3"/>
    <w:rsid w:val="00944D12"/>
    <w:rsid w:val="00D86DB4"/>
    <w:rsid w:val="00FB25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1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4D12"/>
    <w:rPr>
      <w:color w:val="0000FF"/>
      <w:u w:val="single"/>
    </w:rPr>
  </w:style>
  <w:style w:type="paragraph" w:styleId="BalloonText">
    <w:name w:val="Balloon Text"/>
    <w:basedOn w:val="Normal"/>
    <w:link w:val="BalloonTextChar"/>
    <w:uiPriority w:val="99"/>
    <w:semiHidden/>
    <w:unhideWhenUsed/>
    <w:rsid w:val="00944D12"/>
    <w:rPr>
      <w:rFonts w:ascii="Tahoma" w:hAnsi="Tahoma" w:cs="Tahoma"/>
      <w:sz w:val="16"/>
      <w:szCs w:val="16"/>
    </w:rPr>
  </w:style>
  <w:style w:type="character" w:customStyle="1" w:styleId="BalloonTextChar">
    <w:name w:val="Balloon Text Char"/>
    <w:basedOn w:val="DefaultParagraphFont"/>
    <w:link w:val="BalloonText"/>
    <w:uiPriority w:val="99"/>
    <w:semiHidden/>
    <w:rsid w:val="00944D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1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4D12"/>
    <w:rPr>
      <w:color w:val="0000FF"/>
      <w:u w:val="single"/>
    </w:rPr>
  </w:style>
  <w:style w:type="paragraph" w:styleId="BalloonText">
    <w:name w:val="Balloon Text"/>
    <w:basedOn w:val="Normal"/>
    <w:link w:val="BalloonTextChar"/>
    <w:uiPriority w:val="99"/>
    <w:semiHidden/>
    <w:unhideWhenUsed/>
    <w:rsid w:val="00944D12"/>
    <w:rPr>
      <w:rFonts w:ascii="Tahoma" w:hAnsi="Tahoma" w:cs="Tahoma"/>
      <w:sz w:val="16"/>
      <w:szCs w:val="16"/>
    </w:rPr>
  </w:style>
  <w:style w:type="character" w:customStyle="1" w:styleId="BalloonTextChar">
    <w:name w:val="Balloon Text Char"/>
    <w:basedOn w:val="DefaultParagraphFont"/>
    <w:link w:val="BalloonText"/>
    <w:uiPriority w:val="99"/>
    <w:semiHidden/>
    <w:rsid w:val="00944D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03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1.gif@01D2AD57.A83B8A40"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PIGNOT Clement (SG-EXT)</dc:creator>
  <cp:lastModifiedBy>PIGNOT Clement (SG-EXT)</cp:lastModifiedBy>
  <cp:revision>3</cp:revision>
  <dcterms:created xsi:type="dcterms:W3CDTF">2017-04-07T15:10:00Z</dcterms:created>
  <dcterms:modified xsi:type="dcterms:W3CDTF">2017-04-07T15:12:00Z</dcterms:modified>
</cp:coreProperties>
</file>