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39541F4" w:rsidR="00F6462F" w:rsidRDefault="00A77262">
                <w:pPr>
                  <w:pStyle w:val="ZCom"/>
                </w:pPr>
                <w:r w:rsidRPr="00A77262">
                  <w:t>COMMISSION EUROPÉENNE</w:t>
                </w:r>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19760627" w:rsidR="00F6462F" w:rsidRPr="00A77262" w:rsidRDefault="00A77262" w:rsidP="008D02B7">
      <w:pPr>
        <w:pStyle w:val="NoteHead"/>
        <w:spacing w:before="600" w:after="600"/>
        <w:rPr>
          <w:lang w:val="fr-BE"/>
        </w:rPr>
      </w:pPr>
      <w:r w:rsidRPr="00A77262">
        <w:rPr>
          <w:lang w:val="fr-BE"/>
        </w:rP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374E9092" w:rsidR="00B65513" w:rsidRPr="0007110E" w:rsidRDefault="00A77262" w:rsidP="00E82667">
            <w:pPr>
              <w:tabs>
                <w:tab w:val="left" w:pos="426"/>
              </w:tabs>
              <w:spacing w:before="120"/>
              <w:rPr>
                <w:bCs/>
                <w:lang w:val="en-IE" w:eastAsia="en-GB"/>
              </w:rPr>
            </w:pPr>
            <w:bookmarkStart w:id="0" w:name="_Hlk132128466"/>
            <w:r w:rsidRPr="00A77262">
              <w:rPr>
                <w:bCs/>
                <w:lang w:val="en-IE" w:eastAsia="en-GB"/>
              </w:rP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574C63D5" w:rsidR="00B65513" w:rsidRPr="0007110E" w:rsidRDefault="00127C07" w:rsidP="00E82667">
                <w:pPr>
                  <w:tabs>
                    <w:tab w:val="left" w:pos="426"/>
                  </w:tabs>
                  <w:spacing w:before="120"/>
                  <w:rPr>
                    <w:bCs/>
                    <w:lang w:val="en-IE" w:eastAsia="en-GB"/>
                  </w:rPr>
                </w:pPr>
                <w:r>
                  <w:rPr>
                    <w:bCs/>
                    <w:lang w:val="en-IE" w:eastAsia="en-GB"/>
                  </w:rPr>
                  <w:t>SANTE</w:t>
                </w:r>
                <w:r w:rsidR="00823ADF">
                  <w:rPr>
                    <w:bCs/>
                    <w:lang w:val="en-IE" w:eastAsia="en-GB"/>
                  </w:rPr>
                  <w:t>.</w:t>
                </w:r>
                <w:r>
                  <w:rPr>
                    <w:bCs/>
                    <w:lang w:val="en-IE" w:eastAsia="en-GB"/>
                  </w:rPr>
                  <w:t>D</w:t>
                </w:r>
                <w:r w:rsidR="00823ADF">
                  <w:rPr>
                    <w:bCs/>
                    <w:lang w:val="en-IE" w:eastAsia="en-GB"/>
                  </w:rPr>
                  <w:t>.</w:t>
                </w:r>
                <w:r>
                  <w:rPr>
                    <w:bCs/>
                    <w:lang w:val="en-IE" w:eastAsia="en-GB"/>
                  </w:rPr>
                  <w:t>2</w:t>
                </w:r>
              </w:p>
            </w:tc>
          </w:sdtContent>
        </w:sdt>
      </w:tr>
      <w:tr w:rsidR="00D96984" w:rsidRPr="00823ADF" w14:paraId="4B8EFB62" w14:textId="77777777" w:rsidTr="0007110E">
        <w:tc>
          <w:tcPr>
            <w:tcW w:w="3111" w:type="dxa"/>
          </w:tcPr>
          <w:p w14:paraId="51EA5B20" w14:textId="02E00835" w:rsidR="00D96984" w:rsidRPr="00A77262" w:rsidRDefault="00A77262" w:rsidP="00E82667">
            <w:pPr>
              <w:tabs>
                <w:tab w:val="left" w:pos="426"/>
              </w:tabs>
              <w:spacing w:before="120"/>
              <w:rPr>
                <w:bCs/>
                <w:lang w:val="fr-BE" w:eastAsia="en-GB"/>
              </w:rPr>
            </w:pPr>
            <w:r w:rsidRPr="00A77262">
              <w:rPr>
                <w:bCs/>
                <w:lang w:val="fr-BE" w:eastAsia="en-GB"/>
              </w:rPr>
              <w:t>Numéro de poste dans sysper:</w:t>
            </w:r>
          </w:p>
        </w:tc>
        <w:tc>
          <w:tcPr>
            <w:tcW w:w="5491" w:type="dxa"/>
          </w:tcPr>
          <w:p w14:paraId="26B6BD75" w14:textId="1A3E2C98" w:rsidR="00D96984" w:rsidRPr="00A77262" w:rsidRDefault="00823ADF" w:rsidP="00E82667">
            <w:pPr>
              <w:tabs>
                <w:tab w:val="left" w:pos="426"/>
              </w:tabs>
              <w:spacing w:before="120"/>
              <w:rPr>
                <w:bCs/>
                <w:lang w:val="fr-BE" w:eastAsia="en-GB"/>
              </w:rPr>
            </w:pPr>
            <w:r w:rsidRPr="00823ADF">
              <w:rPr>
                <w:bCs/>
                <w:lang w:val="en-US" w:eastAsia="en-GB"/>
              </w:rPr>
              <w:t>344009</w:t>
            </w:r>
          </w:p>
        </w:tc>
      </w:tr>
      <w:tr w:rsidR="00E21DBD" w:rsidRPr="00B94AD1" w14:paraId="4E8359D5" w14:textId="77777777" w:rsidTr="0007110E">
        <w:tc>
          <w:tcPr>
            <w:tcW w:w="3111" w:type="dxa"/>
          </w:tcPr>
          <w:p w14:paraId="72A7A894" w14:textId="7E817CCF" w:rsidR="00E21DBD" w:rsidRPr="00A77262" w:rsidRDefault="00A77262" w:rsidP="00E82667">
            <w:pPr>
              <w:tabs>
                <w:tab w:val="left" w:pos="1697"/>
              </w:tabs>
              <w:spacing w:before="120"/>
              <w:ind w:right="-1741"/>
              <w:rPr>
                <w:bCs/>
                <w:szCs w:val="24"/>
                <w:lang w:val="fr-BE" w:eastAsia="en-GB"/>
              </w:rPr>
            </w:pPr>
            <w:r w:rsidRPr="00A77262">
              <w:rPr>
                <w:bCs/>
                <w:szCs w:val="24"/>
                <w:lang w:val="fr-BE" w:eastAsia="en-GB"/>
              </w:rPr>
              <w:t>Personne de contact:</w:t>
            </w:r>
          </w:p>
          <w:p w14:paraId="340F2399" w14:textId="77777777" w:rsidR="00A77262" w:rsidRPr="00A77262" w:rsidRDefault="00A77262" w:rsidP="00A77262">
            <w:pPr>
              <w:tabs>
                <w:tab w:val="left" w:pos="1697"/>
              </w:tabs>
              <w:ind w:right="-1739"/>
              <w:contextualSpacing/>
              <w:rPr>
                <w:bCs/>
                <w:szCs w:val="24"/>
                <w:lang w:val="fr-BE" w:eastAsia="en-GB"/>
              </w:rPr>
            </w:pPr>
            <w:r w:rsidRPr="00A77262">
              <w:rPr>
                <w:bCs/>
                <w:szCs w:val="24"/>
                <w:lang w:val="fr-BE" w:eastAsia="en-GB"/>
              </w:rPr>
              <w:t xml:space="preserve">Démarrage prévisionnel: </w:t>
            </w:r>
          </w:p>
          <w:p w14:paraId="43D57C06" w14:textId="77777777" w:rsidR="00A77262" w:rsidRPr="00A77262" w:rsidRDefault="00A77262" w:rsidP="00A77262">
            <w:pPr>
              <w:tabs>
                <w:tab w:val="left" w:pos="1697"/>
              </w:tabs>
              <w:ind w:right="-1739"/>
              <w:contextualSpacing/>
              <w:rPr>
                <w:bCs/>
                <w:szCs w:val="24"/>
                <w:lang w:val="en-US" w:eastAsia="en-GB"/>
              </w:rPr>
            </w:pPr>
            <w:r w:rsidRPr="00A77262">
              <w:rPr>
                <w:bCs/>
                <w:szCs w:val="24"/>
                <w:lang w:val="en-US" w:eastAsia="en-GB"/>
              </w:rPr>
              <w:t xml:space="preserve">Durée initiale: </w:t>
            </w:r>
          </w:p>
          <w:p w14:paraId="07FF8994" w14:textId="65710B96" w:rsidR="00E21DBD" w:rsidRPr="00A77262" w:rsidRDefault="00A77262" w:rsidP="00A77262">
            <w:pPr>
              <w:tabs>
                <w:tab w:val="left" w:pos="1697"/>
              </w:tabs>
              <w:ind w:right="-1739"/>
              <w:contextualSpacing/>
              <w:rPr>
                <w:bCs/>
                <w:szCs w:val="24"/>
                <w:lang w:val="en-US" w:eastAsia="en-GB"/>
              </w:rPr>
            </w:pPr>
            <w:r w:rsidRPr="00A77262">
              <w:rPr>
                <w:bCs/>
                <w:szCs w:val="24"/>
                <w:lang w:val="en-US" w:eastAsia="en-GB"/>
              </w:rPr>
              <w:t>Lieu d’affectation:</w:t>
            </w:r>
          </w:p>
        </w:tc>
        <w:tc>
          <w:tcPr>
            <w:tcW w:w="5491" w:type="dxa"/>
          </w:tcPr>
          <w:sdt>
            <w:sdtPr>
              <w:rPr>
                <w:bCs/>
                <w:lang w:val="en-IE" w:eastAsia="en-GB"/>
              </w:rPr>
              <w:id w:val="226507670"/>
              <w:placeholder>
                <w:docPart w:val="E4139A8A81AD41B0A456F71CC855670B"/>
              </w:placeholder>
            </w:sdtPr>
            <w:sdtEndPr/>
            <w:sdtContent>
              <w:p w14:paraId="714DA989" w14:textId="232AECB1" w:rsidR="00E21DBD" w:rsidRPr="003D6918" w:rsidRDefault="00127C07" w:rsidP="00E82667">
                <w:pPr>
                  <w:tabs>
                    <w:tab w:val="left" w:pos="426"/>
                  </w:tabs>
                  <w:spacing w:before="120"/>
                  <w:rPr>
                    <w:bCs/>
                    <w:lang w:val="fr-BE" w:eastAsia="en-GB"/>
                  </w:rPr>
                </w:pPr>
                <w:r w:rsidRPr="003D6918">
                  <w:rPr>
                    <w:bCs/>
                    <w:lang w:val="fr-BE" w:eastAsia="en-GB"/>
                  </w:rPr>
                  <w:t>Bruno GAUTRAIS</w:t>
                </w:r>
              </w:p>
            </w:sdtContent>
          </w:sdt>
          <w:p w14:paraId="34CF737A" w14:textId="58A79231" w:rsidR="00E21DBD" w:rsidRPr="003D6918" w:rsidRDefault="00B94AD1"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127C07" w:rsidRPr="003D6918">
                  <w:rPr>
                    <w:bCs/>
                    <w:lang w:val="fr-BE" w:eastAsia="en-GB"/>
                  </w:rPr>
                  <w:t>3</w:t>
                </w:r>
                <w:r w:rsidR="00A77262" w:rsidRPr="003D6918">
                  <w:rPr>
                    <w:bCs/>
                    <w:lang w:val="fr-BE" w:eastAsia="en-GB"/>
                  </w:rPr>
                  <w:t>ème</w:t>
                </w:r>
              </w:sdtContent>
            </w:sdt>
            <w:r w:rsidR="00E21DBD" w:rsidRPr="003D6918">
              <w:rPr>
                <w:bCs/>
                <w:lang w:val="fr-BE" w:eastAsia="en-GB"/>
              </w:rPr>
              <w:t xml:space="preserve"> </w:t>
            </w:r>
            <w:r w:rsidR="00A77262" w:rsidRPr="003D6918">
              <w:rPr>
                <w:bCs/>
                <w:lang w:val="fr-BE" w:eastAsia="en-GB"/>
              </w:rPr>
              <w:t xml:space="preserve">trimester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22CD8" w:rsidRPr="003D6918">
                  <w:rPr>
                    <w:bCs/>
                    <w:lang w:val="fr-BE" w:eastAsia="en-GB"/>
                  </w:rPr>
                  <w:t>2025</w:t>
                </w:r>
              </w:sdtContent>
            </w:sdt>
          </w:p>
          <w:p w14:paraId="158DD156" w14:textId="1CEC7080" w:rsidR="00E21DBD" w:rsidRPr="00A77262" w:rsidRDefault="00B94AD1" w:rsidP="00E82667">
            <w:pPr>
              <w:tabs>
                <w:tab w:val="left" w:pos="426"/>
              </w:tabs>
              <w:contextualSpacing/>
              <w:jc w:val="left"/>
              <w:rPr>
                <w:bCs/>
                <w:color w:val="92D050"/>
                <w:szCs w:val="24"/>
                <w:lang w:val="fr-BE" w:eastAsia="en-GB"/>
              </w:rPr>
            </w:pPr>
            <w:sdt>
              <w:sdtPr>
                <w:rPr>
                  <w:bCs/>
                  <w:lang w:val="en-IE" w:eastAsia="en-GB"/>
                </w:rPr>
                <w:id w:val="202528730"/>
                <w:placeholder>
                  <w:docPart w:val="DefaultPlaceholder_-1854013440"/>
                </w:placeholder>
              </w:sdtPr>
              <w:sdtEndPr/>
              <w:sdtContent>
                <w:r w:rsidR="00127C07" w:rsidRPr="00A77262">
                  <w:rPr>
                    <w:bCs/>
                    <w:lang w:val="fr-BE" w:eastAsia="en-GB"/>
                  </w:rPr>
                  <w:t>2</w:t>
                </w:r>
              </w:sdtContent>
            </w:sdt>
            <w:r w:rsidR="00E21DBD" w:rsidRPr="00A77262">
              <w:rPr>
                <w:bCs/>
                <w:lang w:val="fr-BE" w:eastAsia="en-GB"/>
              </w:rPr>
              <w:t xml:space="preserve"> </w:t>
            </w:r>
            <w:r w:rsidR="00A77262" w:rsidRPr="00A77262">
              <w:rPr>
                <w:bCs/>
                <w:lang w:val="fr-BE" w:eastAsia="en-GB"/>
              </w:rPr>
              <w:t>ans</w:t>
            </w:r>
            <w:r w:rsidR="00E21DBD" w:rsidRPr="00A77262">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27C07" w:rsidRPr="00A77262">
                  <w:rPr>
                    <w:rFonts w:ascii="MS Gothic" w:eastAsia="MS Gothic" w:hAnsi="MS Gothic" w:hint="eastAsia"/>
                    <w:bCs/>
                    <w:szCs w:val="24"/>
                    <w:lang w:val="fr-BE" w:eastAsia="en-GB"/>
                  </w:rPr>
                  <w:t>☒</w:t>
                </w:r>
              </w:sdtContent>
            </w:sdt>
            <w:r w:rsidR="00E21DBD" w:rsidRPr="00A77262">
              <w:rPr>
                <w:bCs/>
                <w:lang w:val="fr-BE" w:eastAsia="en-GB"/>
              </w:rPr>
              <w:t xml:space="preserve"> </w:t>
            </w:r>
            <w:r w:rsidR="00A77262" w:rsidRPr="00A77262">
              <w:rPr>
                <w:bCs/>
                <w:lang w:val="fr-BE" w:eastAsia="en-GB"/>
              </w:rPr>
              <w:t xml:space="preserve">Bruxelles </w:t>
            </w:r>
            <w:r w:rsidR="00A77262" w:rsidRPr="00A77262">
              <w:rPr>
                <w:rFonts w:ascii="Segoe UI Symbol" w:hAnsi="Segoe UI Symbol" w:cs="Segoe UI Symbol"/>
                <w:bCs/>
                <w:lang w:val="fr-BE" w:eastAsia="en-GB"/>
              </w:rPr>
              <w:t>☐</w:t>
            </w:r>
            <w:r w:rsidR="00A77262" w:rsidRPr="00A77262">
              <w:rPr>
                <w:bCs/>
                <w:lang w:val="fr-BE" w:eastAsia="en-GB"/>
              </w:rPr>
              <w:t xml:space="preserve"> Luxembourg </w:t>
            </w:r>
            <w:r w:rsidR="00A77262" w:rsidRPr="00A77262">
              <w:rPr>
                <w:rFonts w:ascii="Segoe UI Symbol" w:hAnsi="Segoe UI Symbol" w:cs="Segoe UI Symbol"/>
                <w:bCs/>
                <w:lang w:val="fr-BE" w:eastAsia="en-GB"/>
              </w:rPr>
              <w:t>☐</w:t>
            </w:r>
            <w:r w:rsidR="00A77262" w:rsidRPr="00A77262">
              <w:rPr>
                <w:bCs/>
                <w:lang w:val="fr-BE" w:eastAsia="en-GB"/>
              </w:rPr>
              <w:t xml:space="preserve"> Autres: </w:t>
            </w:r>
            <w:sdt>
              <w:sdtPr>
                <w:rPr>
                  <w:bCs/>
                  <w:szCs w:val="24"/>
                  <w:lang w:eastAsia="en-GB"/>
                </w:rPr>
                <w:id w:val="-186994276"/>
                <w:placeholder>
                  <w:docPart w:val="42CE55A0461841A39534A5E777539A67"/>
                </w:placeholder>
              </w:sdtPr>
              <w:sdtEndPr>
                <w:rPr>
                  <w:color w:val="92D050"/>
                </w:rPr>
              </w:sdtEndPr>
              <w:sdtContent>
                <w:r w:rsidR="00A77262" w:rsidRPr="00A77262">
                  <w:rPr>
                    <w:bCs/>
                    <w:color w:val="92D050"/>
                    <w:lang w:val="fr-BE" w:eastAsia="en-GB"/>
                  </w:rPr>
                  <w:t>Cliquer ou toucher ici pour introduire le texte.</w:t>
                </w:r>
              </w:sdtContent>
            </w:sdt>
          </w:p>
          <w:p w14:paraId="7CA484B0" w14:textId="77777777" w:rsidR="00E21DBD" w:rsidRPr="00A77262"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7E4DD92F" w:rsidR="00E21DBD" w:rsidRPr="00A77262" w:rsidRDefault="00A77262" w:rsidP="002C49D0">
            <w:pPr>
              <w:tabs>
                <w:tab w:val="left" w:pos="426"/>
              </w:tabs>
              <w:spacing w:before="180" w:after="0"/>
              <w:rPr>
                <w:bCs/>
                <w:lang w:val="fr-BE" w:eastAsia="en-GB"/>
              </w:rPr>
            </w:pPr>
            <w:bookmarkStart w:id="1" w:name="_Hlk135920176"/>
            <w:r w:rsidRPr="00A77262">
              <w:rPr>
                <w:bCs/>
                <w:lang w:val="fr-BE" w:eastAsia="en-GB"/>
              </w:rPr>
              <w:t>Type de détachement</w:t>
            </w:r>
          </w:p>
        </w:tc>
        <w:tc>
          <w:tcPr>
            <w:tcW w:w="5491" w:type="dxa"/>
          </w:tcPr>
          <w:p w14:paraId="6B14399A" w14:textId="380E17C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F54718" w14:paraId="539D0BAC" w14:textId="77777777" w:rsidTr="0007110E">
        <w:tc>
          <w:tcPr>
            <w:tcW w:w="8602" w:type="dxa"/>
            <w:gridSpan w:val="2"/>
          </w:tcPr>
          <w:p w14:paraId="582FFE97" w14:textId="7DFD6F5E" w:rsidR="00E21DBD" w:rsidRPr="00A77262" w:rsidRDefault="00A77262" w:rsidP="00A77262">
            <w:pPr>
              <w:tabs>
                <w:tab w:val="left" w:pos="426"/>
              </w:tabs>
              <w:spacing w:before="120"/>
              <w:rPr>
                <w:bCs/>
                <w:lang w:val="fr-BE" w:eastAsia="en-GB"/>
              </w:rPr>
            </w:pPr>
            <w:r w:rsidRPr="00A77262">
              <w:rPr>
                <w:bCs/>
                <w:lang w:val="fr-BE" w:eastAsia="en-GB"/>
              </w:rPr>
              <w:t xml:space="preserve">Cet avis de vacance est ouvert à: </w:t>
            </w:r>
          </w:p>
          <w:p w14:paraId="4446CE69" w14:textId="6A57A2A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735E06A3" w:rsidR="0040388A" w:rsidRPr="00F54718" w:rsidRDefault="00A77262" w:rsidP="00F54718">
            <w:pPr>
              <w:tabs>
                <w:tab w:val="left" w:pos="426"/>
              </w:tabs>
              <w:spacing w:after="120"/>
              <w:rPr>
                <w:bCs/>
                <w:szCs w:val="24"/>
                <w:lang w:val="fr-BE" w:eastAsia="en-GB"/>
              </w:rPr>
            </w:pPr>
            <w:r w:rsidRPr="00F54718">
              <w:rPr>
                <w:bCs/>
                <w:szCs w:val="24"/>
                <w:lang w:val="fr-BE" w:eastAsia="en-GB"/>
              </w:rPr>
              <w:t>Ainsi que</w:t>
            </w:r>
          </w:p>
          <w:p w14:paraId="48418475" w14:textId="6355E355" w:rsidR="0040388A" w:rsidRPr="00F54718" w:rsidRDefault="00B94AD1" w:rsidP="002C49D0">
            <w:pPr>
              <w:tabs>
                <w:tab w:val="left" w:pos="426"/>
              </w:tabs>
              <w:ind w:left="567"/>
              <w:contextualSpacing/>
              <w:rPr>
                <w:bCs/>
                <w:szCs w:val="24"/>
                <w:lang w:val="fr-BE" w:eastAsia="en-GB"/>
              </w:rPr>
            </w:pPr>
            <w:sdt>
              <w:sdtPr>
                <w:rPr>
                  <w:bCs/>
                  <w:szCs w:val="24"/>
                  <w:lang w:val="fr-BE" w:eastAsia="en-GB"/>
                </w:rPr>
                <w:id w:val="663369292"/>
                <w14:checkbox>
                  <w14:checked w14:val="1"/>
                  <w14:checkedState w14:val="2612" w14:font="MS Gothic"/>
                  <w14:uncheckedState w14:val="2610" w14:font="MS Gothic"/>
                </w14:checkbox>
              </w:sdtPr>
              <w:sdtEndPr/>
              <w:sdtContent>
                <w:r w:rsidR="00127C07" w:rsidRPr="00F54718">
                  <w:rPr>
                    <w:rFonts w:ascii="MS Gothic" w:eastAsia="MS Gothic" w:hAnsi="MS Gothic" w:hint="eastAsia"/>
                    <w:bCs/>
                    <w:szCs w:val="24"/>
                    <w:lang w:val="fr-BE" w:eastAsia="en-GB"/>
                  </w:rPr>
                  <w:t>☒</w:t>
                </w:r>
              </w:sdtContent>
            </w:sdt>
            <w:r w:rsidR="0040388A" w:rsidRPr="00F54718">
              <w:rPr>
                <w:bCs/>
                <w:szCs w:val="24"/>
                <w:lang w:val="fr-BE" w:eastAsia="en-GB"/>
              </w:rPr>
              <w:t xml:space="preserve"> </w:t>
            </w:r>
            <w:r w:rsidR="00F54718" w:rsidRPr="00F54718">
              <w:rPr>
                <w:bCs/>
                <w:szCs w:val="24"/>
                <w:lang w:val="fr-BE" w:eastAsia="en-GB"/>
              </w:rPr>
              <w:t>Pays AELE suivants:</w:t>
            </w:r>
          </w:p>
          <w:p w14:paraId="14835B5E" w14:textId="1E8BDDE9" w:rsidR="0040388A" w:rsidRPr="00F54718" w:rsidRDefault="0040388A" w:rsidP="002C49D0">
            <w:pPr>
              <w:tabs>
                <w:tab w:val="left" w:pos="426"/>
              </w:tabs>
              <w:ind w:left="1134"/>
              <w:contextualSpacing/>
              <w:rPr>
                <w:bCs/>
                <w:szCs w:val="24"/>
                <w:lang w:val="fr-BE" w:eastAsia="en-GB"/>
              </w:rPr>
            </w:pPr>
            <w:r w:rsidRPr="00F54718">
              <w:rPr>
                <w:bCs/>
                <w:szCs w:val="24"/>
                <w:lang w:val="fr-BE" w:eastAsia="en-GB"/>
              </w:rPr>
              <w:tab/>
            </w:r>
            <w:sdt>
              <w:sdtPr>
                <w:rPr>
                  <w:bCs/>
                  <w:szCs w:val="24"/>
                  <w:lang w:val="fr-BE" w:eastAsia="en-GB"/>
                </w:rPr>
                <w:id w:val="1342279711"/>
                <w14:checkbox>
                  <w14:checked w14:val="1"/>
                  <w14:checkedState w14:val="2612" w14:font="MS Gothic"/>
                  <w14:uncheckedState w14:val="2610" w14:font="MS Gothic"/>
                </w14:checkbox>
              </w:sdtPr>
              <w:sdtEndPr/>
              <w:sdtContent>
                <w:r w:rsidR="00703B3F">
                  <w:rPr>
                    <w:rFonts w:ascii="MS Gothic" w:eastAsia="MS Gothic" w:hAnsi="MS Gothic" w:hint="eastAsia"/>
                    <w:bCs/>
                    <w:szCs w:val="24"/>
                    <w:lang w:val="fr-BE" w:eastAsia="en-GB"/>
                  </w:rPr>
                  <w:t>☒</w:t>
                </w:r>
              </w:sdtContent>
            </w:sdt>
            <w:r w:rsidRPr="00F54718">
              <w:rPr>
                <w:bCs/>
                <w:szCs w:val="24"/>
                <w:lang w:val="fr-BE" w:eastAsia="en-GB"/>
              </w:rPr>
              <w:t xml:space="preserve"> </w:t>
            </w:r>
            <w:r w:rsidR="00F54718" w:rsidRPr="00F54718">
              <w:rPr>
                <w:bCs/>
                <w:szCs w:val="24"/>
                <w:lang w:val="fr-BE" w:eastAsia="en-GB"/>
              </w:rPr>
              <w:t xml:space="preserve">Islande </w:t>
            </w:r>
            <w:r w:rsidR="00F54718" w:rsidRPr="00F54718">
              <w:rPr>
                <w:rFonts w:ascii="Segoe UI Symbol" w:hAnsi="Segoe UI Symbol" w:cs="Segoe UI Symbol"/>
                <w:bCs/>
                <w:szCs w:val="24"/>
                <w:lang w:val="fr-BE" w:eastAsia="en-GB"/>
              </w:rPr>
              <w:t>☐</w:t>
            </w:r>
            <w:r w:rsidR="00F54718" w:rsidRPr="00F54718">
              <w:rPr>
                <w:bCs/>
                <w:szCs w:val="24"/>
                <w:lang w:val="fr-BE" w:eastAsia="en-GB"/>
              </w:rPr>
              <w:t xml:space="preserve"> Liechtenstein </w:t>
            </w:r>
            <w:r w:rsidR="00F54718" w:rsidRPr="00F54718">
              <w:rPr>
                <w:rFonts w:ascii="Segoe UI Symbol" w:hAnsi="Segoe UI Symbol" w:cs="Segoe UI Symbol"/>
                <w:bCs/>
                <w:szCs w:val="24"/>
                <w:lang w:val="fr-BE" w:eastAsia="en-GB"/>
              </w:rPr>
              <w:t>☒</w:t>
            </w:r>
            <w:r w:rsidR="00F54718" w:rsidRPr="00F54718">
              <w:rPr>
                <w:bCs/>
                <w:szCs w:val="24"/>
                <w:lang w:val="fr-BE" w:eastAsia="en-GB"/>
              </w:rPr>
              <w:t xml:space="preserve"> Norvège </w:t>
            </w:r>
            <w:r w:rsidR="00F54718" w:rsidRPr="00F54718">
              <w:rPr>
                <w:rFonts w:ascii="Segoe UI Symbol" w:hAnsi="Segoe UI Symbol" w:cs="Segoe UI Symbol"/>
                <w:bCs/>
                <w:szCs w:val="24"/>
                <w:lang w:val="fr-BE" w:eastAsia="en-GB"/>
              </w:rPr>
              <w:t>☐</w:t>
            </w:r>
            <w:r w:rsidR="00F54718" w:rsidRPr="00F54718">
              <w:rPr>
                <w:bCs/>
                <w:szCs w:val="24"/>
                <w:lang w:val="fr-BE" w:eastAsia="en-GB"/>
              </w:rPr>
              <w:t xml:space="preserve"> Suisse</w:t>
            </w:r>
          </w:p>
          <w:p w14:paraId="0E54D6FB" w14:textId="067C2D46" w:rsidR="0040388A" w:rsidRPr="00F54718" w:rsidRDefault="00B94AD1"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F54718">
                  <w:rPr>
                    <w:rFonts w:ascii="MS Gothic" w:eastAsia="MS Gothic" w:hAnsi="MS Gothic" w:hint="eastAsia"/>
                    <w:bCs/>
                    <w:szCs w:val="24"/>
                    <w:lang w:val="fr-BE" w:eastAsia="en-GB"/>
                  </w:rPr>
                  <w:t>☐</w:t>
                </w:r>
              </w:sdtContent>
            </w:sdt>
            <w:r w:rsidR="0040388A" w:rsidRPr="00F54718">
              <w:rPr>
                <w:bCs/>
                <w:szCs w:val="24"/>
                <w:lang w:val="fr-BE" w:eastAsia="en-GB"/>
              </w:rPr>
              <w:t xml:space="preserve"> </w:t>
            </w:r>
            <w:r w:rsidR="00F54718" w:rsidRPr="00F54718">
              <w:rPr>
                <w:bCs/>
                <w:szCs w:val="24"/>
                <w:lang w:val="fr-BE" w:eastAsia="en-GB"/>
              </w:rPr>
              <w:t xml:space="preserve">Pays tiers suivants: </w:t>
            </w:r>
            <w:sdt>
              <w:sdtPr>
                <w:rPr>
                  <w:bCs/>
                  <w:szCs w:val="24"/>
                  <w:lang w:eastAsia="en-GB"/>
                </w:rPr>
                <w:id w:val="1729192242"/>
                <w:placeholder>
                  <w:docPart w:val="0F3133D6BE42413DBE419145034143EB"/>
                </w:placeholder>
                <w:showingPlcHdr/>
              </w:sdtPr>
              <w:sdtEndPr/>
              <w:sdtContent>
                <w:r w:rsidR="00F54718" w:rsidRPr="003D6918">
                  <w:rPr>
                    <w:rStyle w:val="PlaceholderText"/>
                    <w:lang w:val="fr-BE"/>
                  </w:rPr>
                  <w:t xml:space="preserve">  …  </w:t>
                </w:r>
              </w:sdtContent>
            </w:sdt>
          </w:p>
          <w:p w14:paraId="265CD5A1" w14:textId="5976C612" w:rsidR="0040388A" w:rsidRPr="00F54718" w:rsidRDefault="00B94AD1" w:rsidP="002C49D0">
            <w:pPr>
              <w:tabs>
                <w:tab w:val="left" w:pos="426"/>
              </w:tabs>
              <w:ind w:left="567"/>
              <w:contextualSpacing/>
              <w:rPr>
                <w:bCs/>
                <w:szCs w:val="24"/>
                <w:lang w:val="fr-BE" w:eastAsia="en-GB"/>
              </w:rPr>
            </w:pPr>
            <w:sdt>
              <w:sdtPr>
                <w:rPr>
                  <w:bCs/>
                  <w:szCs w:val="24"/>
                  <w:lang w:val="fr-BE" w:eastAsia="en-GB"/>
                </w:rPr>
                <w:id w:val="-933426265"/>
                <w14:checkbox>
                  <w14:checked w14:val="0"/>
                  <w14:checkedState w14:val="2612" w14:font="MS Gothic"/>
                  <w14:uncheckedState w14:val="2610" w14:font="MS Gothic"/>
                </w14:checkbox>
              </w:sdtPr>
              <w:sdtEndPr/>
              <w:sdtContent>
                <w:r w:rsidR="0040388A" w:rsidRPr="00F54718">
                  <w:rPr>
                    <w:rFonts w:ascii="MS Gothic" w:eastAsia="MS Gothic" w:hAnsi="MS Gothic" w:hint="eastAsia"/>
                    <w:bCs/>
                    <w:szCs w:val="24"/>
                    <w:lang w:val="fr-BE" w:eastAsia="en-GB"/>
                  </w:rPr>
                  <w:t>☐</w:t>
                </w:r>
              </w:sdtContent>
            </w:sdt>
            <w:r w:rsidR="0040388A" w:rsidRPr="00F54718">
              <w:rPr>
                <w:bCs/>
                <w:szCs w:val="24"/>
                <w:lang w:val="fr-BE" w:eastAsia="en-GB"/>
              </w:rPr>
              <w:t xml:space="preserve"> </w:t>
            </w:r>
            <w:r w:rsidR="00F54718">
              <w:rPr>
                <w:bCs/>
                <w:szCs w:val="24"/>
                <w:lang w:val="fr-BE" w:eastAsia="en-GB"/>
              </w:rPr>
              <w:t>O</w:t>
            </w:r>
            <w:r w:rsidR="00F54718" w:rsidRPr="00F54718">
              <w:rPr>
                <w:bCs/>
                <w:szCs w:val="24"/>
                <w:lang w:val="fr-BE" w:eastAsia="en-GB"/>
              </w:rPr>
              <w:t xml:space="preserve">rganisations intergouvernementales suivantes: </w:t>
            </w:r>
            <w:r w:rsidR="0040388A" w:rsidRPr="00F54718">
              <w:rPr>
                <w:bCs/>
                <w:szCs w:val="24"/>
                <w:lang w:val="fr-BE"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Pr="00F54718" w:rsidRDefault="0040388A" w:rsidP="00E21DBD">
            <w:pPr>
              <w:tabs>
                <w:tab w:val="left" w:pos="426"/>
              </w:tabs>
              <w:contextualSpacing/>
              <w:rPr>
                <w:bCs/>
                <w:szCs w:val="24"/>
                <w:lang w:val="fr-BE" w:eastAsia="en-GB"/>
              </w:rPr>
            </w:pPr>
          </w:p>
          <w:p w14:paraId="6CECCDB8" w14:textId="7E0A5B96" w:rsidR="00E21DBD" w:rsidRPr="00F54718" w:rsidRDefault="00E82667" w:rsidP="00252050">
            <w:pPr>
              <w:tabs>
                <w:tab w:val="left" w:pos="426"/>
              </w:tabs>
              <w:rPr>
                <w:bCs/>
                <w:lang w:val="fr-BE" w:eastAsia="en-GB"/>
              </w:rPr>
            </w:pPr>
            <w:r>
              <w:rPr>
                <w:bCs/>
                <w:lang w:eastAsia="en-GB"/>
              </w:rPr>
              <w:object w:dxaOrig="225" w:dyaOrig="225" w14:anchorId="624C0115">
                <v:shape id="_x0000_i1043" type="#_x0000_t75" style="width:400.5pt;height:21.75pt" o:ole="">
                  <v:imagedata r:id="rId21" o:title=""/>
                </v:shape>
                <w:control r:id="rId22" w:name="OptionButton5" w:shapeid="_x0000_i1043"/>
              </w:object>
            </w:r>
            <w:r w:rsidR="00E21DBD" w:rsidRPr="00F54718">
              <w:rPr>
                <w:bCs/>
                <w:szCs w:val="24"/>
                <w:lang w:val="fr-BE" w:eastAsia="en-GB"/>
              </w:rPr>
              <w:t xml:space="preserve"> </w:t>
            </w:r>
          </w:p>
        </w:tc>
      </w:tr>
      <w:tr w:rsidR="00DF1E49" w:rsidRPr="00823ADF" w14:paraId="4E10CC7A" w14:textId="77777777" w:rsidTr="0007110E">
        <w:tc>
          <w:tcPr>
            <w:tcW w:w="3111" w:type="dxa"/>
          </w:tcPr>
          <w:p w14:paraId="4B77822C" w14:textId="7E5B0F3F" w:rsidR="00DF1E49" w:rsidRPr="004B60DB" w:rsidRDefault="004B60DB" w:rsidP="002C49D0">
            <w:pPr>
              <w:tabs>
                <w:tab w:val="left" w:pos="426"/>
              </w:tabs>
              <w:spacing w:before="180"/>
              <w:rPr>
                <w:bCs/>
                <w:lang w:val="fr-BE" w:eastAsia="en-GB"/>
              </w:rPr>
            </w:pPr>
            <w:r w:rsidRPr="004B60DB">
              <w:rPr>
                <w:bCs/>
                <w:lang w:val="fr-BE" w:eastAsia="en-GB"/>
              </w:rPr>
              <w:t>Délai des candidatures</w:t>
            </w:r>
          </w:p>
        </w:tc>
        <w:tc>
          <w:tcPr>
            <w:tcW w:w="5491" w:type="dxa"/>
          </w:tcPr>
          <w:p w14:paraId="240262F4" w14:textId="7BE0849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8EE4467" w:rsidR="002C13C3" w:rsidRPr="004B60DB" w:rsidRDefault="004B60DB" w:rsidP="00E82667">
            <w:pPr>
              <w:tabs>
                <w:tab w:val="left" w:pos="426"/>
              </w:tabs>
              <w:spacing w:before="120" w:after="120"/>
              <w:rPr>
                <w:bCs/>
                <w:lang w:val="fr-BE" w:eastAsia="en-GB"/>
              </w:rPr>
            </w:pPr>
            <w:r w:rsidRPr="004B60DB">
              <w:rPr>
                <w:bCs/>
                <w:szCs w:val="24"/>
                <w:lang w:val="fr-BE" w:eastAsia="en-GB"/>
              </w:rPr>
              <w:t>Délai des candidatures:</w:t>
            </w:r>
            <w:r w:rsidR="002C13C3" w:rsidRPr="004B60DB">
              <w:rPr>
                <w:bCs/>
                <w:szCs w:val="24"/>
                <w:lang w:val="fr-BE" w:eastAsia="en-GB"/>
              </w:rPr>
              <w:t xml:space="preserve"> </w:t>
            </w:r>
            <w:sdt>
              <w:sdtPr>
                <w:rPr>
                  <w:bCs/>
                  <w:color w:val="92D050"/>
                  <w:lang w:val="en-IE" w:eastAsia="en-GB"/>
                </w:rPr>
                <w:id w:val="319154040"/>
                <w:placeholder>
                  <w:docPart w:val="F8087F2A3C014B809064D3423F4C13C9"/>
                </w:placeholder>
                <w:date w:fullDate="2025-07-25T00:00:00Z">
                  <w:dateFormat w:val="dd-MM-yyyy"/>
                  <w:lid w:val="fr-BE"/>
                  <w:storeMappedDataAs w:val="dateTime"/>
                  <w:calendar w:val="gregorian"/>
                </w:date>
              </w:sdtPr>
              <w:sdtEndPr>
                <w:rPr>
                  <w:color w:val="auto"/>
                </w:rPr>
              </w:sdtEndPr>
              <w:sdtContent>
                <w:r w:rsidR="00B94AD1">
                  <w:rPr>
                    <w:bCs/>
                    <w:color w:val="92D050"/>
                    <w:lang w:val="fr-BE" w:eastAsia="en-GB"/>
                  </w:rPr>
                  <w:t>25-07-2025</w:t>
                </w:r>
              </w:sdtContent>
            </w:sdt>
          </w:p>
        </w:tc>
      </w:tr>
      <w:bookmarkEnd w:id="0"/>
      <w:bookmarkEnd w:id="1"/>
    </w:tbl>
    <w:p w14:paraId="4AD59AD4" w14:textId="77777777" w:rsidR="00E21DBD" w:rsidRPr="004B60DB" w:rsidRDefault="00E21DBD" w:rsidP="00E21DBD">
      <w:pPr>
        <w:tabs>
          <w:tab w:val="left" w:pos="426"/>
        </w:tabs>
        <w:spacing w:after="0"/>
        <w:rPr>
          <w:b/>
          <w:lang w:val="fr-BE" w:eastAsia="en-GB"/>
        </w:rPr>
      </w:pPr>
    </w:p>
    <w:p w14:paraId="7FA18C95" w14:textId="77777777" w:rsidR="00E21DBD" w:rsidRPr="004B60DB" w:rsidRDefault="00E21DBD" w:rsidP="00E21DBD">
      <w:pPr>
        <w:tabs>
          <w:tab w:val="left" w:pos="426"/>
        </w:tabs>
        <w:spacing w:after="0"/>
        <w:rPr>
          <w:b/>
          <w:lang w:val="fr-BE" w:eastAsia="en-GB"/>
        </w:rPr>
      </w:pPr>
    </w:p>
    <w:p w14:paraId="739B1A99" w14:textId="4F8A59FA" w:rsidR="00E21DBD" w:rsidRPr="004B60DB" w:rsidRDefault="004B60DB" w:rsidP="00994062">
      <w:pPr>
        <w:pStyle w:val="ListNumber"/>
        <w:numPr>
          <w:ilvl w:val="0"/>
          <w:numId w:val="0"/>
        </w:numPr>
        <w:ind w:left="709" w:hanging="709"/>
        <w:rPr>
          <w:lang w:val="fr-BE" w:eastAsia="en-GB"/>
        </w:rPr>
      </w:pPr>
      <w:bookmarkStart w:id="2" w:name="_Hlk132129090"/>
      <w:r w:rsidRPr="004B60DB">
        <w:rPr>
          <w:b/>
          <w:bCs/>
          <w:lang w:val="fr-BE" w:eastAsia="en-GB"/>
        </w:rPr>
        <w:t>Présentation de l’entité (Nous sommes)</w:t>
      </w:r>
    </w:p>
    <w:sdt>
      <w:sdtPr>
        <w:rPr>
          <w:lang w:val="en-US" w:eastAsia="en-GB"/>
        </w:rPr>
        <w:id w:val="1822233941"/>
        <w:placeholder>
          <w:docPart w:val="A1D7C4E93E5D41968C9784C962AACA55"/>
        </w:placeholder>
      </w:sdtPr>
      <w:sdtEndPr/>
      <w:sdtContent>
        <w:sdt>
          <w:sdtPr>
            <w:rPr>
              <w:lang w:val="en-US" w:eastAsia="en-GB"/>
            </w:rPr>
            <w:id w:val="1785453397"/>
            <w:placeholder>
              <w:docPart w:val="63570E9A4E8046ACB106B7A9DA3F84D4"/>
            </w:placeholder>
          </w:sdtPr>
          <w:sdtEndPr/>
          <w:sdtContent>
            <w:p w14:paraId="59DD0438" w14:textId="0C678D7A" w:rsidR="00E21DBD" w:rsidRPr="004B60DB" w:rsidRDefault="003D6918" w:rsidP="00C504C7">
              <w:pPr>
                <w:rPr>
                  <w:lang w:val="fr-BE" w:eastAsia="en-GB"/>
                </w:rPr>
              </w:pPr>
              <w:r w:rsidRPr="003D6918">
                <w:rPr>
                  <w:lang w:val="fr-BE" w:eastAsia="en-GB"/>
                </w:rPr>
                <w:t>L’</w:t>
              </w:r>
              <w:r>
                <w:rPr>
                  <w:lang w:val="fr-BE" w:eastAsia="en-GB"/>
                </w:rPr>
                <w:t>u</w:t>
              </w:r>
              <w:r w:rsidR="004B60DB" w:rsidRPr="004B60DB">
                <w:rPr>
                  <w:lang w:val="fr-BE" w:eastAsia="en-GB"/>
                </w:rPr>
                <w:t xml:space="preserve">nité SANTE.D2 «Produits médicaux: Qualité, sécurité, innovation», est chargée de l’élaboration et de la mise en œuvre d’aspects essentiels du cadre réglementaire de l’UE pour les médicaments ainsi que de la conduite des processus politiques de l’UE en matière de médicaments visant à promouvoir la qualité, l’innovation, l’accessibilité, la disponibilité et le caractère abordable des médicaments dans l’UE, conformément à la stratégie pharmaceutique pour l’Europe </w:t>
              </w:r>
              <w:r w:rsidR="004B60DB" w:rsidRPr="004B60DB">
                <w:rPr>
                  <w:i/>
                  <w:iCs/>
                  <w:lang w:val="fr-BE" w:eastAsia="en-GB"/>
                </w:rPr>
                <w:t xml:space="preserve">(communication de la Commission de novembre </w:t>
              </w:r>
              <w:r w:rsidR="004B60DB" w:rsidRPr="004B60DB">
                <w:rPr>
                  <w:i/>
                  <w:iCs/>
                  <w:lang w:val="fr-BE" w:eastAsia="en-GB"/>
                </w:rPr>
                <w:lastRenderedPageBreak/>
                <w:t>2020</w:t>
              </w:r>
              <w:r w:rsidR="004B60DB" w:rsidRPr="004B60DB">
                <w:rPr>
                  <w:lang w:val="fr-BE" w:eastAsia="en-GB"/>
                </w:rPr>
                <w:t>).</w:t>
              </w:r>
              <w:r w:rsidR="004B60DB">
                <w:rPr>
                  <w:lang w:val="fr-BE" w:eastAsia="en-GB"/>
                </w:rPr>
                <w:t xml:space="preserve"> </w:t>
              </w:r>
              <w:r w:rsidR="004B60DB" w:rsidRPr="004B60DB">
                <w:rPr>
                  <w:lang w:val="fr-BE" w:eastAsia="en-GB"/>
                </w:rPr>
                <w:t>L’unité est également chargée du cadre législatif de l’UE sur les substances d’origine humaine (SOHO) et de la surveillance de l’Agence européenne des médicaments. L’unité (environ 25 membres du personnel organisés en 4 équipes différentes) est engagée dans de multiples processus politiques et réglementaires, ainsi que dans la gestion de la législation et la coopération avec et entre les autorités nationales et les parties prenantes.</w:t>
              </w:r>
            </w:p>
          </w:sdtContent>
        </w:sdt>
      </w:sdtContent>
    </w:sdt>
    <w:p w14:paraId="69459484" w14:textId="77777777" w:rsidR="002B3CBF" w:rsidRPr="003D6918" w:rsidRDefault="002B3CBF" w:rsidP="00994062">
      <w:pPr>
        <w:pStyle w:val="ListNumber"/>
        <w:numPr>
          <w:ilvl w:val="0"/>
          <w:numId w:val="0"/>
        </w:numPr>
        <w:ind w:left="709" w:hanging="709"/>
        <w:rPr>
          <w:b/>
          <w:bCs/>
          <w:lang w:val="fr-BE" w:eastAsia="en-GB"/>
        </w:rPr>
      </w:pPr>
    </w:p>
    <w:p w14:paraId="50617C66" w14:textId="1E3FD48B" w:rsidR="00E21DBD" w:rsidRPr="004B60DB" w:rsidRDefault="004B60DB" w:rsidP="004B60DB">
      <w:pPr>
        <w:pStyle w:val="ListNumber"/>
        <w:numPr>
          <w:ilvl w:val="0"/>
          <w:numId w:val="0"/>
        </w:numPr>
        <w:rPr>
          <w:lang w:val="fr-BE" w:eastAsia="en-GB"/>
        </w:rPr>
      </w:pPr>
      <w:r w:rsidRPr="004B60DB">
        <w:rPr>
          <w:b/>
          <w:bCs/>
          <w:lang w:val="fr-BE" w:eastAsia="en-GB"/>
        </w:rPr>
        <w:t>Présentation du poste (Nous proposons)</w:t>
      </w:r>
    </w:p>
    <w:sdt>
      <w:sdtPr>
        <w:rPr>
          <w:lang w:val="en-US" w:eastAsia="en-GB"/>
        </w:rPr>
        <w:id w:val="-723136291"/>
        <w:placeholder>
          <w:docPart w:val="84FB87486BC94E5EB76E972E1BD8265B"/>
        </w:placeholder>
      </w:sdtPr>
      <w:sdtEndPr/>
      <w:sdtContent>
        <w:sdt>
          <w:sdtPr>
            <w:rPr>
              <w:lang w:val="en-US" w:eastAsia="en-GB"/>
            </w:rPr>
            <w:id w:val="-1348394179"/>
            <w:placeholder>
              <w:docPart w:val="6796FC3D084A4FB781EB47C0E4B8149A"/>
            </w:placeholder>
          </w:sdtPr>
          <w:sdtEndPr/>
          <w:sdtContent>
            <w:p w14:paraId="3AFB18CE" w14:textId="5AB71F1A" w:rsidR="004B60DB" w:rsidRPr="003D6918" w:rsidRDefault="00127C07" w:rsidP="004B60DB">
              <w:pPr>
                <w:rPr>
                  <w:lang w:val="fr-BE" w:eastAsia="en-GB"/>
                </w:rPr>
              </w:pPr>
              <w:r w:rsidRPr="004B60DB">
                <w:rPr>
                  <w:lang w:val="fr-BE" w:eastAsia="en-GB"/>
                </w:rPr>
                <w:t xml:space="preserve"> </w:t>
              </w:r>
              <w:r w:rsidR="004B60DB" w:rsidRPr="004B60DB">
                <w:rPr>
                  <w:lang w:val="fr-BE" w:eastAsia="en-GB"/>
                </w:rPr>
                <w:t xml:space="preserve">Nous proposons un poste </w:t>
              </w:r>
              <w:r w:rsidR="003D6918">
                <w:rPr>
                  <w:lang w:val="fr-BE" w:eastAsia="en-GB"/>
                </w:rPr>
                <w:t>motivant</w:t>
              </w:r>
              <w:r w:rsidR="004B60DB" w:rsidRPr="004B60DB">
                <w:rPr>
                  <w:lang w:val="fr-BE" w:eastAsia="en-GB"/>
                </w:rPr>
                <w:t xml:space="preserve"> et intéressant </w:t>
              </w:r>
              <w:r w:rsidR="003D6918">
                <w:rPr>
                  <w:lang w:val="fr-BE" w:eastAsia="en-GB"/>
                </w:rPr>
                <w:t>de</w:t>
              </w:r>
              <w:r w:rsidR="004B60DB" w:rsidRPr="004B60DB">
                <w:rPr>
                  <w:lang w:val="fr-BE" w:eastAsia="en-GB"/>
                </w:rPr>
                <w:t xml:space="preserve"> responsable de politiques dans un environnement dynamique, qui donne la possibilité de contribuer à la politique et à la législation en matière de santé dans le domaine des médicaments. Notre unité offre une atmosphère de travail conviviale et motivante et </w:t>
              </w:r>
              <w:r w:rsidR="003D6918">
                <w:rPr>
                  <w:lang w:val="fr-BE" w:eastAsia="en-GB"/>
                </w:rPr>
                <w:t xml:space="preserve">une </w:t>
              </w:r>
              <w:r w:rsidR="004B60DB" w:rsidRPr="004B60DB">
                <w:rPr>
                  <w:lang w:val="fr-BE" w:eastAsia="en-GB"/>
                </w:rPr>
                <w:t xml:space="preserve">équipe d’environ 4 collègues fait partie de l’unité plus vaste qui s’occupe de divers aspects de la sécurité, de la qualité, de l’accès aux thérapies de santé et de l’innovation dans ce domaine. </w:t>
              </w:r>
            </w:p>
            <w:p w14:paraId="4DF36848" w14:textId="77777777" w:rsidR="004B60DB" w:rsidRPr="004B60DB" w:rsidRDefault="004B60DB" w:rsidP="004B60DB">
              <w:pPr>
                <w:rPr>
                  <w:lang w:val="fr-BE" w:eastAsia="en-GB"/>
                </w:rPr>
              </w:pPr>
              <w:r w:rsidRPr="004B60DB">
                <w:rPr>
                  <w:lang w:val="fr-BE" w:eastAsia="en-GB"/>
                </w:rPr>
                <w:t xml:space="preserve">Le candidat retenu aura des responsabilités variées et importantes et contribuera à l’élaboration et à la mise en œuvre d’une législation et de politiques spécifiques de l’UE dans le domaine de la disponibilité (pénuries, sécurité d’approvisionnement), de l’accessibilité et du caractère abordable des médicaments, y compris, en particulier, la récente proposition </w:t>
              </w:r>
              <w:r w:rsidRPr="004B60DB">
                <w:rPr>
                  <w:b/>
                  <w:bCs/>
                  <w:lang w:val="fr-BE" w:eastAsia="en-GB"/>
                </w:rPr>
                <w:t>de loi sur les médicaments critiques</w:t>
              </w:r>
              <w:r w:rsidRPr="004B60DB">
                <w:rPr>
                  <w:lang w:val="fr-BE" w:eastAsia="en-GB"/>
                </w:rPr>
                <w:t xml:space="preserve">, ainsi que les mesures liées aux pénuries et à la sécurité de l’approvisionnement dans le cadre de la réforme de la législation pharmaceutique générale de l’UE et de la mise en œuvre du mandat élargi de l’EMA.  </w:t>
              </w:r>
            </w:p>
            <w:p w14:paraId="21E3817C" w14:textId="0DF47D02" w:rsidR="004B60DB" w:rsidRPr="004B60DB" w:rsidRDefault="004B60DB" w:rsidP="004B60DB">
              <w:pPr>
                <w:rPr>
                  <w:lang w:val="fr-BE" w:eastAsia="en-GB"/>
                </w:rPr>
              </w:pPr>
              <w:r w:rsidRPr="004B60DB">
                <w:rPr>
                  <w:lang w:val="fr-BE" w:eastAsia="en-GB"/>
                </w:rPr>
                <w:t>Le chargé de mission aura les tâches suivantes:</w:t>
              </w:r>
            </w:p>
            <w:p w14:paraId="4EBBFBD3" w14:textId="77777777" w:rsidR="004B60DB" w:rsidRPr="004B60DB" w:rsidRDefault="004B60DB" w:rsidP="004B60DB">
              <w:pPr>
                <w:rPr>
                  <w:lang w:val="fr-BE" w:eastAsia="en-GB"/>
                </w:rPr>
              </w:pPr>
              <w:r w:rsidRPr="004B60DB">
                <w:rPr>
                  <w:lang w:val="fr-BE" w:eastAsia="en-GB"/>
                </w:rPr>
                <w:t xml:space="preserve">* Élaborer, élaborer et gérer la législation et les lignes directrices relatives aux produits pharmaceutiques et veiller à la mise en œuvre, à l’évaluation, à l’analyse d’impact et à la modification effectives de la législation de l’Union européenne, en particulier en ce qui concerne la réforme de la législation pharmaceutique générale de l’UE et la loi sur les médicaments critiques. </w:t>
              </w:r>
            </w:p>
            <w:p w14:paraId="1CB8ABFD" w14:textId="77777777" w:rsidR="004B60DB" w:rsidRPr="004B60DB" w:rsidRDefault="004B60DB" w:rsidP="004B60DB">
              <w:pPr>
                <w:rPr>
                  <w:lang w:val="fr-BE" w:eastAsia="en-GB"/>
                </w:rPr>
              </w:pPr>
              <w:r w:rsidRPr="004B60DB">
                <w:rPr>
                  <w:lang w:val="fr-BE" w:eastAsia="en-GB"/>
                </w:rPr>
                <w:t xml:space="preserve">* Fournir une expertise et un soutien en matière d’études, d’analyses et de rapports liés à la mise en œuvre et à l’évaluation de la législation de l’UE sur les produits pharmaceutiques, y compris dans le domaine des pénuries/de la sécurité de l’approvisionnement en médicaments. </w:t>
              </w:r>
            </w:p>
            <w:p w14:paraId="73AAD6AF" w14:textId="5E8531D1" w:rsidR="004B60DB" w:rsidRPr="004B60DB" w:rsidRDefault="004B60DB" w:rsidP="004B60DB">
              <w:pPr>
                <w:rPr>
                  <w:lang w:val="fr-BE" w:eastAsia="en-GB"/>
                </w:rPr>
              </w:pPr>
              <w:r w:rsidRPr="004B60DB">
                <w:rPr>
                  <w:lang w:val="fr-BE" w:eastAsia="en-GB"/>
                </w:rPr>
                <w:t xml:space="preserve">* Organiser et gérer la coopération avec et entre les États membres, avec les parties prenantes, ainsi qu’avec les agences de l’UE et les organisations internationales compétentes sur </w:t>
              </w:r>
              <w:r w:rsidR="00B01EB7">
                <w:rPr>
                  <w:lang w:val="fr-BE" w:eastAsia="en-GB"/>
                </w:rPr>
                <w:t>l</w:t>
              </w:r>
              <w:r w:rsidRPr="004B60DB">
                <w:rPr>
                  <w:lang w:val="fr-BE" w:eastAsia="en-GB"/>
                </w:rPr>
                <w:t xml:space="preserve">es dossiers </w:t>
              </w:r>
              <w:r w:rsidR="00B01EB7">
                <w:rPr>
                  <w:lang w:val="fr-BE" w:eastAsia="en-GB"/>
                </w:rPr>
                <w:t>concernés.</w:t>
              </w:r>
            </w:p>
            <w:p w14:paraId="7BFAE63D" w14:textId="77777777" w:rsidR="004B60DB" w:rsidRPr="004B60DB" w:rsidRDefault="004B60DB" w:rsidP="004B60DB">
              <w:pPr>
                <w:rPr>
                  <w:lang w:val="fr-BE" w:eastAsia="en-GB"/>
                </w:rPr>
              </w:pPr>
              <w:r w:rsidRPr="004B60DB">
                <w:rPr>
                  <w:lang w:val="fr-BE" w:eastAsia="en-GB"/>
                </w:rPr>
                <w:t xml:space="preserve">* Développer l’expertise, collecter des informations, réaliser des analyses sur les aspects industriels et commerciaux du secteur pharmaceutique, y compris sur le fonctionnement et les vulnérabilités des chaînes d’approvisionnement en médicaments et sur les mécanismes de fixation des prix, de remboursement et de passation de marchés.  </w:t>
              </w:r>
            </w:p>
            <w:p w14:paraId="5232F73C" w14:textId="635FBD4D" w:rsidR="004B60DB" w:rsidRPr="004B60DB" w:rsidRDefault="004B60DB" w:rsidP="004B60DB">
              <w:pPr>
                <w:rPr>
                  <w:lang w:val="fr-BE" w:eastAsia="en-GB"/>
                </w:rPr>
              </w:pPr>
              <w:r w:rsidRPr="004B60DB">
                <w:rPr>
                  <w:lang w:val="fr-BE" w:eastAsia="en-GB"/>
                </w:rPr>
                <w:t>* Préparer et rédiger des notes d’information, des discours ou des notes d’orientation dans le domaine de la politique pharmaceutique.</w:t>
              </w:r>
            </w:p>
          </w:sdtContent>
        </w:sdt>
      </w:sdtContent>
    </w:sdt>
    <w:p w14:paraId="433AC71A" w14:textId="77777777" w:rsidR="002B3CBF" w:rsidRPr="004B60DB" w:rsidRDefault="002B3CBF" w:rsidP="00D545EA">
      <w:pPr>
        <w:pStyle w:val="ListNumber"/>
        <w:numPr>
          <w:ilvl w:val="0"/>
          <w:numId w:val="0"/>
        </w:numPr>
        <w:rPr>
          <w:b/>
          <w:bCs/>
          <w:lang w:val="fr-BE" w:eastAsia="en-GB"/>
        </w:rPr>
      </w:pPr>
    </w:p>
    <w:p w14:paraId="58E0FD96" w14:textId="203E357A" w:rsidR="00E21DBD" w:rsidRPr="004B60DB" w:rsidRDefault="004B60DB" w:rsidP="00994062">
      <w:pPr>
        <w:pStyle w:val="ListNumber"/>
        <w:numPr>
          <w:ilvl w:val="0"/>
          <w:numId w:val="0"/>
        </w:numPr>
        <w:ind w:left="709" w:hanging="709"/>
        <w:rPr>
          <w:lang w:val="fr-BE" w:eastAsia="en-GB"/>
        </w:rPr>
      </w:pPr>
      <w:r w:rsidRPr="004B60DB">
        <w:rPr>
          <w:b/>
          <w:bCs/>
          <w:lang w:val="fr-BE" w:eastAsia="en-GB"/>
        </w:rPr>
        <w:t>Profil du titulaire (Nous recherchons)</w:t>
      </w:r>
    </w:p>
    <w:sdt>
      <w:sdtPr>
        <w:rPr>
          <w:lang w:val="en-US" w:eastAsia="en-GB"/>
        </w:rPr>
        <w:id w:val="-209197804"/>
        <w:placeholder>
          <w:docPart w:val="D53C757808094631B3D30FCCF370CC97"/>
        </w:placeholder>
      </w:sdtPr>
      <w:sdtEndPr/>
      <w:sdtContent>
        <w:sdt>
          <w:sdtPr>
            <w:rPr>
              <w:lang w:val="en-US" w:eastAsia="en-GB"/>
            </w:rPr>
            <w:id w:val="-659074190"/>
            <w:placeholder>
              <w:docPart w:val="07CA02C659474D1CAF6E9262A47136D8"/>
            </w:placeholder>
          </w:sdtPr>
          <w:sdtEndPr/>
          <w:sdtContent>
            <w:p w14:paraId="11ACD91F" w14:textId="11EA3638" w:rsidR="004B60DB" w:rsidRPr="004B60DB" w:rsidRDefault="004B60DB" w:rsidP="00127C07">
              <w:pPr>
                <w:rPr>
                  <w:lang w:val="fr-BE" w:eastAsia="en-GB"/>
                </w:rPr>
              </w:pPr>
              <w:r w:rsidRPr="004B60DB">
                <w:rPr>
                  <w:lang w:val="fr-BE" w:eastAsia="en-GB"/>
                </w:rPr>
                <w:t xml:space="preserve">Nous recherchons un </w:t>
              </w:r>
              <w:r>
                <w:rPr>
                  <w:lang w:val="fr-BE" w:eastAsia="en-GB"/>
                </w:rPr>
                <w:t>SNE</w:t>
              </w:r>
              <w:r w:rsidRPr="004B60DB">
                <w:rPr>
                  <w:lang w:val="fr-BE" w:eastAsia="en-GB"/>
                </w:rPr>
                <w:t xml:space="preserve"> titulaire d’un diplôme universitaire et/ou d’une formation professionnelle ou d’une expérience professionnelle de niveau équivalent dans les domaines suivants: (micro) biologie, biotechnologie, médecine, pharmacie, passation de marchés ou politique industrielle — ou connexes; Les certificats de programmes de formation continue sur des aspects spécifiques dans le domaine des produits pharmaceutiques, des marchés publics et/ou de la politique industrielle sont considérés </w:t>
              </w:r>
              <w:r w:rsidR="00B01EB7">
                <w:rPr>
                  <w:lang w:val="fr-BE" w:eastAsia="en-GB"/>
                </w:rPr>
                <w:t>favorablement</w:t>
              </w:r>
              <w:r w:rsidRPr="004B60DB">
                <w:rPr>
                  <w:lang w:val="fr-BE" w:eastAsia="en-GB"/>
                </w:rPr>
                <w:t>, en particulier lorsqu’ils sont organisés au niveau européen ou international.</w:t>
              </w:r>
            </w:p>
            <w:p w14:paraId="108BD7E0" w14:textId="77777777" w:rsidR="00127C07" w:rsidRPr="004B60DB" w:rsidRDefault="00127C07" w:rsidP="00127C07">
              <w:pPr>
                <w:rPr>
                  <w:u w:val="single"/>
                  <w:lang w:val="fr-BE" w:eastAsia="en-GB"/>
                </w:rPr>
              </w:pPr>
            </w:p>
            <w:p w14:paraId="7CD1C8EB" w14:textId="39189C57" w:rsidR="00127C07" w:rsidRPr="006867E2" w:rsidRDefault="006867E2" w:rsidP="00127C07">
              <w:pPr>
                <w:rPr>
                  <w:u w:val="single"/>
                  <w:lang w:val="fr-BE" w:eastAsia="en-GB"/>
                </w:rPr>
              </w:pPr>
              <w:r w:rsidRPr="006867E2">
                <w:rPr>
                  <w:u w:val="single"/>
                  <w:lang w:val="fr-BE" w:eastAsia="en-GB"/>
                </w:rPr>
                <w:t>Une expérience dans un ou plusieurs des domaines suivants est considérée comme un atout:</w:t>
              </w:r>
            </w:p>
            <w:p w14:paraId="2842B515" w14:textId="77777777" w:rsidR="006867E2" w:rsidRPr="006867E2" w:rsidRDefault="006867E2" w:rsidP="006867E2">
              <w:pPr>
                <w:numPr>
                  <w:ilvl w:val="0"/>
                  <w:numId w:val="34"/>
                </w:numPr>
                <w:rPr>
                  <w:lang w:val="fr-BE" w:eastAsia="en-GB"/>
                </w:rPr>
              </w:pPr>
              <w:r w:rsidRPr="006867E2">
                <w:rPr>
                  <w:lang w:val="fr-BE" w:eastAsia="en-GB"/>
                </w:rPr>
                <w:t>marchés publics dans le secteur de la santé, en particulier pour les médicaments</w:t>
              </w:r>
            </w:p>
            <w:p w14:paraId="2229A100" w14:textId="77777777" w:rsidR="006867E2" w:rsidRPr="006867E2" w:rsidRDefault="006867E2" w:rsidP="006867E2">
              <w:pPr>
                <w:numPr>
                  <w:ilvl w:val="0"/>
                  <w:numId w:val="34"/>
                </w:numPr>
                <w:rPr>
                  <w:lang w:val="fr-BE" w:eastAsia="en-GB"/>
                </w:rPr>
              </w:pPr>
              <w:r w:rsidRPr="006867E2">
                <w:rPr>
                  <w:lang w:val="fr-BE" w:eastAsia="en-GB"/>
                </w:rPr>
                <w:t>chaînes de fabrication et d’approvisionnement en médicaments</w:t>
              </w:r>
            </w:p>
            <w:p w14:paraId="32124395" w14:textId="29259666" w:rsidR="006867E2" w:rsidRPr="006867E2" w:rsidRDefault="006867E2" w:rsidP="006867E2">
              <w:pPr>
                <w:numPr>
                  <w:ilvl w:val="0"/>
                  <w:numId w:val="34"/>
                </w:numPr>
                <w:rPr>
                  <w:lang w:val="fr-BE" w:eastAsia="en-GB"/>
                </w:rPr>
              </w:pPr>
              <w:r w:rsidRPr="006867E2">
                <w:rPr>
                  <w:lang w:val="fr-BE" w:eastAsia="en-GB"/>
                </w:rPr>
                <w:t>politique industrielle de soutien aux projets manufacturiers</w:t>
              </w:r>
            </w:p>
            <w:p w14:paraId="01B78905" w14:textId="167E27DA" w:rsidR="006867E2" w:rsidRPr="006867E2" w:rsidRDefault="006867E2" w:rsidP="006867E2">
              <w:pPr>
                <w:numPr>
                  <w:ilvl w:val="0"/>
                  <w:numId w:val="34"/>
                </w:numPr>
                <w:rPr>
                  <w:lang w:val="fr-BE" w:eastAsia="en-GB"/>
                </w:rPr>
              </w:pPr>
              <w:r w:rsidRPr="006867E2">
                <w:rPr>
                  <w:lang w:val="fr-BE" w:eastAsia="en-GB"/>
                </w:rPr>
                <w:t xml:space="preserve">prévention et atténuation des pénuries et élaboration ou mise en œuvre de politiques (nationales) visant à remédier aux pénuries de médicaments et à la sécurité de l’approvisionnement, au sein des autorités compétentes </w:t>
              </w:r>
            </w:p>
            <w:p w14:paraId="57ACDF0A" w14:textId="66F14851" w:rsidR="00127C07" w:rsidRPr="006867E2" w:rsidRDefault="006867E2" w:rsidP="00127C07">
              <w:pPr>
                <w:numPr>
                  <w:ilvl w:val="0"/>
                  <w:numId w:val="34"/>
                </w:numPr>
                <w:rPr>
                  <w:u w:val="single"/>
                  <w:lang w:val="fr-BE" w:eastAsia="en-GB"/>
                </w:rPr>
              </w:pPr>
              <w:r w:rsidRPr="006867E2">
                <w:rPr>
                  <w:lang w:val="fr-BE" w:eastAsia="en-GB"/>
                </w:rPr>
                <w:t xml:space="preserve">Expérience des collaborations internationales, en particulier de la gestion et de la coordination de projets de l’UE, ainsi que des processus politiques et réglementaires de l’UE   </w:t>
              </w:r>
            </w:p>
            <w:p w14:paraId="6AE068FF" w14:textId="46519F07" w:rsidR="00127C07" w:rsidRPr="006867E2" w:rsidRDefault="006867E2" w:rsidP="00127C07">
              <w:pPr>
                <w:rPr>
                  <w:u w:val="single"/>
                  <w:lang w:val="fr-BE" w:eastAsia="en-GB"/>
                </w:rPr>
              </w:pPr>
              <w:r w:rsidRPr="006867E2">
                <w:rPr>
                  <w:lang w:val="fr-BE"/>
                </w:rPr>
                <w:t xml:space="preserve"> </w:t>
              </w:r>
              <w:r w:rsidRPr="006867E2">
                <w:rPr>
                  <w:u w:val="single"/>
                  <w:lang w:val="fr-BE" w:eastAsia="en-GB"/>
                </w:rPr>
                <w:t>Langue (s) nécessaire (s) pour l’accomplissement des tâches</w:t>
              </w:r>
            </w:p>
            <w:p w14:paraId="51994EDB" w14:textId="6228DB5D" w:rsidR="002E40A9" w:rsidRPr="006867E2" w:rsidRDefault="006867E2" w:rsidP="002E40A9">
              <w:pPr>
                <w:rPr>
                  <w:lang w:val="fr-BE" w:eastAsia="en-GB"/>
                </w:rPr>
              </w:pPr>
              <w:r w:rsidRPr="006867E2">
                <w:rPr>
                  <w:lang w:val="fr-BE" w:eastAsia="en-GB"/>
                </w:rPr>
                <w:t>De bonnes aptitudes à l’écrit, à la lecture, à la parole et à la présentation en anglais sont essentielles.</w:t>
              </w:r>
            </w:p>
          </w:sdtContent>
        </w:sdt>
      </w:sdtContent>
    </w:sdt>
    <w:bookmarkEnd w:id="2"/>
    <w:p w14:paraId="4A6D5708" w14:textId="77777777" w:rsidR="00E21DBD" w:rsidRPr="003D6918" w:rsidRDefault="00E21DBD" w:rsidP="00E21DBD">
      <w:pPr>
        <w:spacing w:after="0"/>
        <w:rPr>
          <w:lang w:val="fr-BE" w:eastAsia="en-GB"/>
        </w:rPr>
      </w:pPr>
    </w:p>
    <w:p w14:paraId="5FB0AB31" w14:textId="77777777" w:rsidR="00E21DBD" w:rsidRPr="003D6918" w:rsidRDefault="00E21DBD" w:rsidP="00E21DBD">
      <w:pPr>
        <w:spacing w:after="0"/>
        <w:rPr>
          <w:lang w:val="fr-BE" w:eastAsia="en-GB"/>
        </w:rPr>
      </w:pPr>
    </w:p>
    <w:p w14:paraId="17A4561D" w14:textId="21E51E50" w:rsidR="00E21DBD" w:rsidRPr="006867E2" w:rsidRDefault="006867E2" w:rsidP="00252050">
      <w:pPr>
        <w:pStyle w:val="ListNumber"/>
        <w:keepNext/>
        <w:numPr>
          <w:ilvl w:val="0"/>
          <w:numId w:val="0"/>
        </w:numPr>
        <w:ind w:left="709" w:hanging="709"/>
        <w:rPr>
          <w:b/>
          <w:bCs/>
          <w:u w:val="single"/>
          <w:lang w:val="fr-BE" w:eastAsia="en-GB"/>
        </w:rPr>
      </w:pPr>
      <w:r w:rsidRPr="006867E2">
        <w:rPr>
          <w:b/>
          <w:bCs/>
          <w:u w:val="single"/>
          <w:lang w:val="fr-BE" w:eastAsia="en-GB"/>
        </w:rPr>
        <w:t>Critères d’éligibilité</w:t>
      </w:r>
    </w:p>
    <w:p w14:paraId="304C60FA" w14:textId="1D3A2447" w:rsidR="006867E2" w:rsidRPr="006867E2" w:rsidRDefault="006867E2" w:rsidP="36B2968C">
      <w:pPr>
        <w:keepNext/>
        <w:rPr>
          <w:lang w:eastAsia="en-GB"/>
        </w:rPr>
      </w:pPr>
      <w:r w:rsidRPr="36B2968C">
        <w:rPr>
          <w:lang w:eastAsia="en-GB"/>
        </w:rPr>
        <w:t xml:space="preserve">Les détachements sont régis par la décision de </w:t>
      </w:r>
      <w:r w:rsidRPr="36B2968C">
        <w:rPr>
          <w:b/>
          <w:bCs/>
          <w:lang w:eastAsia="en-GB"/>
        </w:rPr>
        <w:t>la Commission C (2008) 6866 du 12/11/2008</w:t>
      </w:r>
      <w:r w:rsidRPr="36B2968C">
        <w:rPr>
          <w:lang w:eastAsia="en-GB"/>
        </w:rPr>
        <w:t xml:space="preserve"> relative au régime applicable aux experts nationaux détachés et aux experts nationaux en formation professionnelle auprès des services de la Commission (décision SNE).  </w:t>
      </w:r>
    </w:p>
    <w:p w14:paraId="721C5F07" w14:textId="52A8786D" w:rsidR="006867E2" w:rsidRDefault="006867E2" w:rsidP="006867E2">
      <w:pPr>
        <w:keepNext/>
        <w:rPr>
          <w:lang w:val="fr-BE" w:eastAsia="en-GB"/>
        </w:rPr>
      </w:pPr>
      <w:r w:rsidRPr="006867E2">
        <w:rPr>
          <w:lang w:val="fr-BE" w:eastAsia="en-GB"/>
        </w:rPr>
        <w:t xml:space="preserve">Aux termes de la décision </w:t>
      </w:r>
      <w:r>
        <w:rPr>
          <w:lang w:val="fr-BE" w:eastAsia="en-GB"/>
        </w:rPr>
        <w:t>SNE</w:t>
      </w:r>
      <w:r w:rsidRPr="006867E2">
        <w:rPr>
          <w:lang w:val="fr-BE" w:eastAsia="en-GB"/>
        </w:rPr>
        <w:t xml:space="preserve">, vous devez remplir les critères d’admission suivants à </w:t>
      </w:r>
      <w:r w:rsidRPr="006867E2">
        <w:rPr>
          <w:b/>
          <w:bCs/>
          <w:lang w:val="fr-BE" w:eastAsia="en-GB"/>
        </w:rPr>
        <w:t>la date de début</w:t>
      </w:r>
      <w:r w:rsidRPr="006867E2">
        <w:rPr>
          <w:lang w:val="fr-BE" w:eastAsia="en-GB"/>
        </w:rPr>
        <w:t xml:space="preserve"> du détachement</w:t>
      </w:r>
      <w:r>
        <w:rPr>
          <w:lang w:val="fr-BE" w:eastAsia="en-GB"/>
        </w:rPr>
        <w:t xml:space="preserve"> </w:t>
      </w:r>
      <w:r w:rsidRPr="006867E2">
        <w:rPr>
          <w:lang w:val="fr-BE" w:eastAsia="en-GB"/>
        </w:rPr>
        <w:t>:</w:t>
      </w:r>
    </w:p>
    <w:p w14:paraId="2A82F38A" w14:textId="7BC9C062" w:rsidR="00E21DBD" w:rsidRPr="006867E2" w:rsidRDefault="006867E2" w:rsidP="00B73F08">
      <w:pPr>
        <w:pStyle w:val="ListBullet"/>
        <w:rPr>
          <w:lang w:val="fr-BE" w:eastAsia="en-GB"/>
        </w:rPr>
      </w:pPr>
      <w:r w:rsidRPr="006867E2">
        <w:rPr>
          <w:u w:val="single"/>
          <w:lang w:val="fr-BE" w:eastAsia="en-GB"/>
        </w:rPr>
        <w:t xml:space="preserve">Expérience professionnelle: </w:t>
      </w:r>
      <w:r w:rsidRPr="006867E2">
        <w:rPr>
          <w:lang w:val="fr-BE" w:eastAsia="en-GB"/>
        </w:rPr>
        <w:t>posséder une expérience professionnelle d’au moins trois ans dans l’exercice de fonctions administratives, juridiques, scientifiques, techniques, de conseil ou de supervision, à un grade équivalant au groupe de fonctions AD.</w:t>
      </w:r>
    </w:p>
    <w:p w14:paraId="47ED62CE" w14:textId="751C48E4" w:rsidR="00E21DBD" w:rsidRPr="006867E2" w:rsidRDefault="006867E2" w:rsidP="00B73F08">
      <w:pPr>
        <w:pStyle w:val="ListBullet"/>
        <w:rPr>
          <w:lang w:val="fr-BE" w:eastAsia="en-GB"/>
        </w:rPr>
      </w:pPr>
      <w:r w:rsidRPr="006867E2">
        <w:rPr>
          <w:u w:val="single"/>
          <w:lang w:val="fr-BE" w:eastAsia="en-GB"/>
        </w:rPr>
        <w:t>Ancienneté</w:t>
      </w:r>
      <w:r w:rsidRPr="006867E2">
        <w:rPr>
          <w:lang w:val="fr-BE" w:eastAsia="en-GB"/>
        </w:rPr>
        <w:t>: avoir travaillé pendant au moins une année complète (12 mois) auprès de votre employeur actuel dans un cadre statutaire ou contractuel.</w:t>
      </w:r>
    </w:p>
    <w:p w14:paraId="52986B8D" w14:textId="071155B9" w:rsidR="00E21DBD" w:rsidRPr="006867E2" w:rsidRDefault="006867E2" w:rsidP="00B73F08">
      <w:pPr>
        <w:pStyle w:val="ListBullet"/>
        <w:rPr>
          <w:lang w:val="fr-BE" w:eastAsia="en-GB"/>
        </w:rPr>
      </w:pPr>
      <w:r w:rsidRPr="006867E2">
        <w:rPr>
          <w:u w:val="single"/>
          <w:lang w:val="fr-BE" w:eastAsia="en-GB"/>
        </w:rPr>
        <w:t>Employeur</w:t>
      </w:r>
      <w:r w:rsidRPr="006867E2">
        <w:rPr>
          <w:lang w:val="fr-BE" w:eastAsia="en-GB"/>
        </w:rPr>
        <w:t xml:space="preserve">: être une administration nationale, régionale ou locale ou une organisation publique intergouvernementale (OIG); exceptionnellement et après dérogation spécifique, la Commission peut accepter des candidatures d’un employeur relevant du </w:t>
      </w:r>
      <w:r w:rsidRPr="006867E2">
        <w:rPr>
          <w:lang w:val="fr-BE" w:eastAsia="en-GB"/>
        </w:rPr>
        <w:lastRenderedPageBreak/>
        <w:t xml:space="preserve">secteur public (par exemple, agence ou institut de régulation), d’une université ou d’un institut de recherche indépendant; </w:t>
      </w:r>
    </w:p>
    <w:p w14:paraId="36ECEE24" w14:textId="292C1091" w:rsidR="00E21DBD" w:rsidRPr="00D913AD" w:rsidRDefault="00D913AD" w:rsidP="00B73F08">
      <w:pPr>
        <w:pStyle w:val="ListBullet"/>
        <w:rPr>
          <w:lang w:val="fr-BE" w:eastAsia="en-GB"/>
        </w:rPr>
      </w:pPr>
      <w:r w:rsidRPr="00D913AD">
        <w:rPr>
          <w:u w:val="single"/>
          <w:lang w:val="fr-BE" w:eastAsia="en-GB"/>
        </w:rPr>
        <w:t>Compétences linguistiques</w:t>
      </w:r>
      <w:r>
        <w:rPr>
          <w:u w:val="single"/>
          <w:lang w:val="fr-BE" w:eastAsia="en-GB"/>
        </w:rPr>
        <w:t xml:space="preserve"> </w:t>
      </w:r>
      <w:r w:rsidRPr="00D913AD">
        <w:rPr>
          <w:lang w:val="fr-BE" w:eastAsia="en-GB"/>
        </w:rPr>
        <w:t>: avoir une connaissance approfondie d’une des langues de l’Union européenne et une connaissance satisfaisante d’une autre langue de l’Union européenne dans la mesure nécessaire aux fonctions qu’il est appelé à exercer. L</w:t>
      </w:r>
      <w:r w:rsidR="00493D82">
        <w:rPr>
          <w:lang w:val="fr-BE" w:eastAsia="en-GB"/>
        </w:rPr>
        <w:t>e SNE</w:t>
      </w:r>
      <w:r w:rsidRPr="00D913AD">
        <w:rPr>
          <w:lang w:val="fr-BE" w:eastAsia="en-GB"/>
        </w:rPr>
        <w:t xml:space="preserve"> d’un pays tiers doit justifier posséder une connaissance approfondie d’une langue de l’Union nécessaire à l’accomplissement des tâches qui lui seront confiées.</w:t>
      </w:r>
    </w:p>
    <w:p w14:paraId="5802D30F" w14:textId="77777777" w:rsidR="00D913AD" w:rsidRDefault="00D913AD" w:rsidP="00D913AD">
      <w:pPr>
        <w:pStyle w:val="ListNumber"/>
        <w:keepNext/>
        <w:numPr>
          <w:ilvl w:val="0"/>
          <w:numId w:val="0"/>
        </w:numPr>
        <w:rPr>
          <w:lang w:val="fr-BE"/>
        </w:rPr>
      </w:pPr>
    </w:p>
    <w:p w14:paraId="5C3A2162" w14:textId="7F67C8AD" w:rsidR="00DF1E49" w:rsidRPr="00D913AD" w:rsidRDefault="00D913AD" w:rsidP="00D913AD">
      <w:pPr>
        <w:pStyle w:val="ListNumber"/>
        <w:keepNext/>
        <w:numPr>
          <w:ilvl w:val="0"/>
          <w:numId w:val="0"/>
        </w:numPr>
        <w:rPr>
          <w:b/>
          <w:bCs/>
          <w:u w:val="single"/>
          <w:lang w:val="fr-BE" w:eastAsia="en-GB"/>
        </w:rPr>
      </w:pPr>
      <w:r w:rsidRPr="00D913AD">
        <w:rPr>
          <w:b/>
          <w:bCs/>
          <w:u w:val="single"/>
          <w:lang w:val="fr-BE" w:eastAsia="en-GB"/>
        </w:rPr>
        <w:t>Conditions de détachement</w:t>
      </w:r>
    </w:p>
    <w:p w14:paraId="02D8237A" w14:textId="77777777" w:rsidR="00D913AD" w:rsidRPr="00D913AD" w:rsidRDefault="00D913AD" w:rsidP="00D913AD">
      <w:pPr>
        <w:rPr>
          <w:lang w:val="fr-BE" w:eastAsia="en-GB"/>
        </w:rPr>
      </w:pPr>
      <w:r w:rsidRPr="00D913AD">
        <w:rPr>
          <w:lang w:val="fr-BE" w:eastAsia="en-GB"/>
        </w:rPr>
        <w:t xml:space="preserve">Pendant toute la durée de votre détachement, vous devez rester employé et rémunéré par votre employeur et être couvert par votre système de sécurité sociale (national). </w:t>
      </w:r>
    </w:p>
    <w:p w14:paraId="38D5A888" w14:textId="35845553" w:rsidR="00D913AD" w:rsidRPr="00D913AD" w:rsidRDefault="00D913AD" w:rsidP="00D913AD">
      <w:pPr>
        <w:rPr>
          <w:lang w:val="fr-BE" w:eastAsia="en-GB"/>
        </w:rPr>
      </w:pPr>
      <w:r w:rsidRPr="00D913AD">
        <w:rPr>
          <w:lang w:val="fr-BE" w:eastAsia="en-GB"/>
        </w:rPr>
        <w:t xml:space="preserve">Vous exercerez vos fonctions au sein de la Commission dans les conditions prévues par la décision </w:t>
      </w:r>
      <w:r>
        <w:rPr>
          <w:lang w:val="fr-BE" w:eastAsia="en-GB"/>
        </w:rPr>
        <w:t>SNE</w:t>
      </w:r>
      <w:r w:rsidRPr="00D913AD">
        <w:rPr>
          <w:lang w:val="fr-BE" w:eastAsia="en-GB"/>
        </w:rPr>
        <w:t xml:space="preserve"> susmentionnée et êtes soumis aux règles de confidentialité, de loyauté et d’absence de conflit d’intérêts qui y sont définies.  </w:t>
      </w:r>
    </w:p>
    <w:p w14:paraId="2DF8AF83" w14:textId="1823C26D" w:rsidR="00D913AD" w:rsidRPr="00D913AD" w:rsidRDefault="00D913AD" w:rsidP="00D913AD">
      <w:pPr>
        <w:rPr>
          <w:lang w:val="fr-BE" w:eastAsia="en-GB"/>
        </w:rPr>
      </w:pPr>
      <w:r w:rsidRPr="00D913AD">
        <w:rPr>
          <w:lang w:val="fr-BE" w:eastAsia="en-GB"/>
        </w:rPr>
        <w:t xml:space="preserve">Si le poste est publié avec des indemnités, celles-ci ne peuvent être accordées que si vous remplissez les conditions prévues à l’article 17 de la décision </w:t>
      </w:r>
      <w:r>
        <w:rPr>
          <w:lang w:val="fr-BE" w:eastAsia="en-GB"/>
        </w:rPr>
        <w:t>SNE</w:t>
      </w:r>
      <w:r w:rsidRPr="00D913AD">
        <w:rPr>
          <w:lang w:val="fr-BE" w:eastAsia="en-GB"/>
        </w:rPr>
        <w:t>.</w:t>
      </w:r>
    </w:p>
    <w:p w14:paraId="47F718AD" w14:textId="3325590E" w:rsidR="00E21DBD" w:rsidRDefault="00D913AD" w:rsidP="009A2F00">
      <w:pPr>
        <w:rPr>
          <w:lang w:val="fr-BE" w:eastAsia="en-GB"/>
        </w:rPr>
      </w:pPr>
      <w:r>
        <w:rPr>
          <w:lang w:val="fr-BE" w:eastAsia="en-GB"/>
        </w:rPr>
        <w:t>T</w:t>
      </w:r>
      <w:r w:rsidRPr="00D913AD">
        <w:rPr>
          <w:lang w:val="fr-BE" w:eastAsia="en-GB"/>
        </w:rPr>
        <w:t xml:space="preserve">oute personne en poste dans une délégation de l’Union européenne doit avoir une habilitation de sécurité [jusqu’au niveau SECRET UE/EU SECRET conformément à </w:t>
      </w:r>
      <w:hyperlink r:id="rId27" w:history="1">
        <w:r w:rsidRPr="00D913AD">
          <w:rPr>
            <w:rStyle w:val="Hyperlink"/>
            <w:lang w:val="fr-BE" w:eastAsia="en-GB"/>
          </w:rPr>
          <w:t>la décision (UE, Euratom) 2015/444 de la Commission du 13 mars 2015</w:t>
        </w:r>
      </w:hyperlink>
      <w:r w:rsidRPr="00D913AD">
        <w:rPr>
          <w:lang w:val="fr-BE" w:eastAsia="en-GB"/>
        </w:rPr>
        <w:t>]. Il vous appartient de lancer la procédure d’habilitation de sécurité avant d’obtenir la confirmation du détachement.</w:t>
      </w:r>
    </w:p>
    <w:p w14:paraId="461428FD" w14:textId="77777777" w:rsidR="00D913AD" w:rsidRPr="00D913AD" w:rsidRDefault="00D913AD" w:rsidP="009A2F00">
      <w:pPr>
        <w:rPr>
          <w:lang w:val="fr-BE" w:eastAsia="en-GB"/>
        </w:rPr>
      </w:pPr>
    </w:p>
    <w:p w14:paraId="6D7A78FD" w14:textId="3168BD1F" w:rsidR="00E21DBD" w:rsidRPr="00D913AD" w:rsidRDefault="00D913AD" w:rsidP="00252050">
      <w:pPr>
        <w:pStyle w:val="ListNumber"/>
        <w:keepNext/>
        <w:numPr>
          <w:ilvl w:val="0"/>
          <w:numId w:val="0"/>
        </w:numPr>
        <w:ind w:left="709" w:hanging="709"/>
        <w:rPr>
          <w:b/>
          <w:bCs/>
          <w:u w:val="single"/>
          <w:lang w:val="fr-BE" w:eastAsia="en-GB"/>
        </w:rPr>
      </w:pPr>
      <w:r w:rsidRPr="00D913AD">
        <w:rPr>
          <w:b/>
          <w:bCs/>
          <w:u w:val="single"/>
          <w:lang w:val="fr-BE" w:eastAsia="en-GB"/>
        </w:rPr>
        <w:t>Soumission des candidatures et procédure de sélection</w:t>
      </w:r>
    </w:p>
    <w:p w14:paraId="05B296DD" w14:textId="77777777" w:rsidR="00D913AD" w:rsidRPr="00D913AD" w:rsidRDefault="00D913AD" w:rsidP="00D913AD">
      <w:pPr>
        <w:keepNext/>
        <w:rPr>
          <w:lang w:val="fr-BE" w:eastAsia="en-GB"/>
        </w:rPr>
      </w:pPr>
      <w:r w:rsidRPr="00D913AD">
        <w:rPr>
          <w:lang w:val="fr-BE" w:eastAsia="en-GB"/>
        </w:rPr>
        <w:t xml:space="preserve">Si vous êtes intéressé, veuillez suivre les instructions données par votre employeur pour postuler.  </w:t>
      </w:r>
    </w:p>
    <w:p w14:paraId="01FE2616" w14:textId="6751F461" w:rsidR="00693BC6" w:rsidRPr="00D913AD" w:rsidRDefault="00D913AD" w:rsidP="00252050">
      <w:pPr>
        <w:keepNext/>
        <w:rPr>
          <w:lang w:val="fr-BE" w:eastAsia="en-GB"/>
        </w:rPr>
      </w:pPr>
      <w:r w:rsidRPr="00D913AD">
        <w:rPr>
          <w:lang w:val="fr-BE" w:eastAsia="en-GB"/>
        </w:rPr>
        <w:t xml:space="preserve">La Commission européenne </w:t>
      </w:r>
      <w:r w:rsidRPr="00D913AD">
        <w:rPr>
          <w:b/>
          <w:bCs/>
          <w:lang w:val="fr-BE" w:eastAsia="en-GB"/>
        </w:rPr>
        <w:t>n’accepte que les candidatures soumises par l’intermédiaire de la représentation permanente/mission diplomatique auprès de l’UE de votre pays, du secrétariat de l’AELE ou du ou des canaux auxquels elle a expressément consenti.</w:t>
      </w:r>
    </w:p>
    <w:p w14:paraId="625BF33A" w14:textId="77777777" w:rsidR="00D913AD" w:rsidRPr="00D913AD" w:rsidRDefault="00D913AD" w:rsidP="00D913AD">
      <w:pPr>
        <w:rPr>
          <w:lang w:val="fr-BE" w:eastAsia="en-GB"/>
        </w:rPr>
      </w:pPr>
      <w:r w:rsidRPr="00D913AD">
        <w:rPr>
          <w:lang w:val="fr-BE" w:eastAsia="en-GB"/>
        </w:rPr>
        <w:t xml:space="preserve">Les candidatures transmises directement par vous ou votre employeur ne seront pas prises en considération. </w:t>
      </w:r>
    </w:p>
    <w:p w14:paraId="7C8EE23E" w14:textId="178959BF" w:rsidR="00D913AD" w:rsidRPr="00D913AD" w:rsidRDefault="00D913AD" w:rsidP="00D913AD">
      <w:pPr>
        <w:rPr>
          <w:lang w:val="fr-BE" w:eastAsia="en-GB"/>
        </w:rPr>
      </w:pPr>
      <w:r w:rsidRPr="00D913AD">
        <w:rPr>
          <w:lang w:val="fr-BE" w:eastAsia="en-GB"/>
        </w:rPr>
        <w:t>Vous devez rédiger votre CV en anglais, en français ou en allemand en utilisant le modèle de CV Europass (</w:t>
      </w:r>
      <w:hyperlink r:id="rId28" w:history="1">
        <w:r w:rsidRPr="00D913AD">
          <w:rPr>
            <w:rStyle w:val="Hyperlink"/>
            <w:lang w:val="fr-BE" w:eastAsia="en-GB"/>
          </w:rPr>
          <w:t>créer votre CV Europass | Europass</w:t>
        </w:r>
      </w:hyperlink>
      <w:r w:rsidRPr="00D913AD">
        <w:rPr>
          <w:lang w:val="fr-BE" w:eastAsia="en-GB"/>
        </w:rPr>
        <w:t xml:space="preserve">). Il doit mentionner votre nationalité. </w:t>
      </w:r>
    </w:p>
    <w:p w14:paraId="00AF0134" w14:textId="108A4D20" w:rsidR="00E21DBD" w:rsidRPr="00D913AD" w:rsidRDefault="00D913AD" w:rsidP="00D913AD">
      <w:pPr>
        <w:rPr>
          <w:lang w:val="fr-BE" w:eastAsia="en-GB"/>
        </w:rPr>
      </w:pPr>
      <w:r w:rsidRPr="00D913AD">
        <w:rPr>
          <w:lang w:val="fr-BE" w:eastAsia="en-GB"/>
        </w:rPr>
        <w:t>Veuillez ne pas joindre d’autres documents (tels que copie de carte d’identité, copie des diplômes ou attestation d’expérience professionnelle, etc.). Le cas échéant, ces documents vous seront demandés ultérieurement.</w:t>
      </w:r>
    </w:p>
    <w:p w14:paraId="54CDDE36" w14:textId="66830FCC" w:rsidR="00E21DBD" w:rsidRPr="00D913AD" w:rsidRDefault="00D913AD" w:rsidP="00252050">
      <w:pPr>
        <w:pStyle w:val="ListNumber"/>
        <w:keepNext/>
        <w:numPr>
          <w:ilvl w:val="0"/>
          <w:numId w:val="0"/>
        </w:numPr>
        <w:ind w:left="709" w:hanging="709"/>
        <w:rPr>
          <w:b/>
          <w:bCs/>
          <w:u w:val="single"/>
          <w:lang w:val="fr-BE" w:eastAsia="en-GB"/>
        </w:rPr>
      </w:pPr>
      <w:r w:rsidRPr="00D913AD">
        <w:rPr>
          <w:b/>
          <w:bCs/>
          <w:u w:val="single"/>
          <w:lang w:val="fr-BE" w:eastAsia="en-GB"/>
        </w:rPr>
        <w:lastRenderedPageBreak/>
        <w:t>Traitement des données à caractère personnel</w:t>
      </w:r>
    </w:p>
    <w:p w14:paraId="7F4FE4A8" w14:textId="279AF081" w:rsidR="00D913AD" w:rsidRPr="00D913AD" w:rsidRDefault="00D913AD" w:rsidP="007F02AC">
      <w:pPr>
        <w:keepNext/>
        <w:rPr>
          <w:lang w:val="fr-BE"/>
        </w:rPr>
      </w:pPr>
      <w:r w:rsidRPr="00D913AD">
        <w:rPr>
          <w:lang w:val="fr-BE"/>
        </w:rPr>
        <w:t>La Commission veillera à ce que les données à caractère personnel des candidats soient traitées conformément au règlement (UE) 2018/1725 du Parlement européen et du Conseil</w:t>
      </w:r>
      <w:r w:rsidR="00493D82" w:rsidRPr="00493D82">
        <w:rPr>
          <w:lang w:val="fr-BE"/>
        </w:rPr>
        <w:t> (</w:t>
      </w:r>
      <w:r w:rsidR="00493D82">
        <w:rPr>
          <w:rStyle w:val="FootnoteReference"/>
          <w:lang w:val="fr-BE"/>
        </w:rPr>
        <w:footnoteReference w:id="1"/>
      </w:r>
      <w:r w:rsidR="00493D82">
        <w:rPr>
          <w:lang w:val="fr-BE"/>
        </w:rPr>
        <w:t>)</w:t>
      </w:r>
      <w:r w:rsidRPr="00D913AD">
        <w:rPr>
          <w:lang w:val="fr-BE"/>
        </w:rPr>
        <w:t>. Cela vaut en particulier pour la confidentialité et la sécurité de ces données. Avant de postuler, veuillez lire la déclaration de confidentialité ci-jointe.</w:t>
      </w:r>
    </w:p>
    <w:sectPr w:rsidR="00D913AD" w:rsidRPr="00D913AD">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5F70A2E8" w14:textId="75C9E82F" w:rsidR="00493D82" w:rsidRPr="00493D82" w:rsidRDefault="00493D82">
      <w:pPr>
        <w:pStyle w:val="FootnoteText"/>
        <w:rPr>
          <w:lang w:val="fr-BE"/>
        </w:rPr>
      </w:pPr>
      <w:r w:rsidRPr="00493D82">
        <w:rPr>
          <w:lang w:val="fr-BE"/>
        </w:rPr>
        <w:t>(</w:t>
      </w:r>
      <w:r>
        <w:rPr>
          <w:rStyle w:val="FootnoteReference"/>
        </w:rPr>
        <w:footnoteRef/>
      </w:r>
      <w:r w:rsidRPr="00493D82">
        <w:rPr>
          <w:lang w:val="fr-BE"/>
        </w:rPr>
        <w:t>)</w:t>
      </w:r>
      <w:r w:rsidRPr="00493D82">
        <w:rPr>
          <w:lang w:val="fr-BE"/>
        </w:rPr>
        <w:tab/>
      </w:r>
      <w:r w:rsidRPr="00493D82">
        <w:rPr>
          <w:sz w:val="18"/>
          <w:szCs w:val="18"/>
          <w:lang w:val="fr-BE"/>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91F32EB"/>
    <w:multiLevelType w:val="hybridMultilevel"/>
    <w:tmpl w:val="00120ED4"/>
    <w:lvl w:ilvl="0" w:tplc="B7F6DF3E">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71638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8FA"/>
    <w:rsid w:val="00012665"/>
    <w:rsid w:val="0007110E"/>
    <w:rsid w:val="0007544E"/>
    <w:rsid w:val="00092BCA"/>
    <w:rsid w:val="00096890"/>
    <w:rsid w:val="000A4668"/>
    <w:rsid w:val="000B01E0"/>
    <w:rsid w:val="000D129C"/>
    <w:rsid w:val="000F371B"/>
    <w:rsid w:val="000F4CD5"/>
    <w:rsid w:val="00111AB6"/>
    <w:rsid w:val="00127C07"/>
    <w:rsid w:val="001D0A81"/>
    <w:rsid w:val="002109E6"/>
    <w:rsid w:val="00252050"/>
    <w:rsid w:val="002724DE"/>
    <w:rsid w:val="002B3CBF"/>
    <w:rsid w:val="002C13C3"/>
    <w:rsid w:val="002C49D0"/>
    <w:rsid w:val="002E40A9"/>
    <w:rsid w:val="003303FF"/>
    <w:rsid w:val="00360ACC"/>
    <w:rsid w:val="00394447"/>
    <w:rsid w:val="003D6918"/>
    <w:rsid w:val="003E50A4"/>
    <w:rsid w:val="0040388A"/>
    <w:rsid w:val="00416B25"/>
    <w:rsid w:val="00431778"/>
    <w:rsid w:val="00454CC7"/>
    <w:rsid w:val="00464195"/>
    <w:rsid w:val="00476034"/>
    <w:rsid w:val="00493D82"/>
    <w:rsid w:val="004B60DB"/>
    <w:rsid w:val="005168AD"/>
    <w:rsid w:val="0058240F"/>
    <w:rsid w:val="00592CD5"/>
    <w:rsid w:val="005C012C"/>
    <w:rsid w:val="005C2693"/>
    <w:rsid w:val="005D1B85"/>
    <w:rsid w:val="006212B2"/>
    <w:rsid w:val="00665583"/>
    <w:rsid w:val="006867E2"/>
    <w:rsid w:val="00693BC6"/>
    <w:rsid w:val="00696070"/>
    <w:rsid w:val="00703B3F"/>
    <w:rsid w:val="0077025E"/>
    <w:rsid w:val="007E531E"/>
    <w:rsid w:val="007F02AC"/>
    <w:rsid w:val="007F7012"/>
    <w:rsid w:val="00823ADF"/>
    <w:rsid w:val="00883972"/>
    <w:rsid w:val="008D02B7"/>
    <w:rsid w:val="008F0B52"/>
    <w:rsid w:val="008F4BA9"/>
    <w:rsid w:val="00994062"/>
    <w:rsid w:val="00996CC6"/>
    <w:rsid w:val="009A1EA0"/>
    <w:rsid w:val="009A2F00"/>
    <w:rsid w:val="009C5E27"/>
    <w:rsid w:val="009E1B15"/>
    <w:rsid w:val="00A033AD"/>
    <w:rsid w:val="00A22CD8"/>
    <w:rsid w:val="00A77262"/>
    <w:rsid w:val="00AB2CEA"/>
    <w:rsid w:val="00AD10D5"/>
    <w:rsid w:val="00AD184B"/>
    <w:rsid w:val="00AD530E"/>
    <w:rsid w:val="00AF6424"/>
    <w:rsid w:val="00B01EB7"/>
    <w:rsid w:val="00B24CC5"/>
    <w:rsid w:val="00B3644B"/>
    <w:rsid w:val="00B65513"/>
    <w:rsid w:val="00B73F08"/>
    <w:rsid w:val="00B8014C"/>
    <w:rsid w:val="00B94AD1"/>
    <w:rsid w:val="00C06724"/>
    <w:rsid w:val="00C3254D"/>
    <w:rsid w:val="00C504C7"/>
    <w:rsid w:val="00C75BA4"/>
    <w:rsid w:val="00C77C99"/>
    <w:rsid w:val="00CB5B61"/>
    <w:rsid w:val="00CC0E0C"/>
    <w:rsid w:val="00CD2C5A"/>
    <w:rsid w:val="00D0015C"/>
    <w:rsid w:val="00D03CF4"/>
    <w:rsid w:val="00D045A5"/>
    <w:rsid w:val="00D545EA"/>
    <w:rsid w:val="00D7090C"/>
    <w:rsid w:val="00D84D53"/>
    <w:rsid w:val="00D913AD"/>
    <w:rsid w:val="00D96984"/>
    <w:rsid w:val="00DB38E1"/>
    <w:rsid w:val="00DB436F"/>
    <w:rsid w:val="00DD41ED"/>
    <w:rsid w:val="00DF1E49"/>
    <w:rsid w:val="00E21DBD"/>
    <w:rsid w:val="00E342CB"/>
    <w:rsid w:val="00E41704"/>
    <w:rsid w:val="00E44D7F"/>
    <w:rsid w:val="00E82667"/>
    <w:rsid w:val="00E84FE8"/>
    <w:rsid w:val="00EB3147"/>
    <w:rsid w:val="00ED10DB"/>
    <w:rsid w:val="00F4683D"/>
    <w:rsid w:val="00F54718"/>
    <w:rsid w:val="00F6462F"/>
    <w:rsid w:val="00F67AE5"/>
    <w:rsid w:val="00F91B73"/>
    <w:rsid w:val="00F93413"/>
    <w:rsid w:val="00FB4407"/>
    <w:rsid w:val="00FD740F"/>
    <w:rsid w:val="36B29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D91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AD184B" w:rsidP="00AD184B">
          <w:pPr>
            <w:pStyle w:val="42F8A5B327594E519C9F00EDCE7CD95B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AD184B" w:rsidP="00AD184B">
          <w:pPr>
            <w:pStyle w:val="F8087F2A3C014B809064D3423F4C13C94"/>
          </w:pPr>
          <w:r w:rsidRPr="004B60DB">
            <w:rPr>
              <w:bCs/>
              <w:color w:val="92D050"/>
              <w:lang w:val="fr-BE" w:eastAsia="en-GB"/>
            </w:rPr>
            <w:t>Cliquer ou toucher pour saisir une date.</w:t>
          </w:r>
        </w:p>
      </w:docPartBody>
    </w:docPart>
    <w:docPart>
      <w:docPartPr>
        <w:name w:val="63570E9A4E8046ACB106B7A9DA3F84D4"/>
        <w:category>
          <w:name w:val="General"/>
          <w:gallery w:val="placeholder"/>
        </w:category>
        <w:types>
          <w:type w:val="bbPlcHdr"/>
        </w:types>
        <w:behaviors>
          <w:behavior w:val="content"/>
        </w:behaviors>
        <w:guid w:val="{FEFAE9ED-BE7A-4AFF-8D22-A4E0A48E8D99}"/>
      </w:docPartPr>
      <w:docPartBody>
        <w:p w:rsidR="005C012C" w:rsidRDefault="005C012C" w:rsidP="005C012C">
          <w:pPr>
            <w:pStyle w:val="63570E9A4E8046ACB106B7A9DA3F84D4"/>
          </w:pPr>
          <w:r w:rsidRPr="00BD2312">
            <w:rPr>
              <w:rStyle w:val="PlaceholderText"/>
            </w:rPr>
            <w:t>Click or tap here to enter text.</w:t>
          </w:r>
        </w:p>
      </w:docPartBody>
    </w:docPart>
    <w:docPart>
      <w:docPartPr>
        <w:name w:val="6796FC3D084A4FB781EB47C0E4B8149A"/>
        <w:category>
          <w:name w:val="General"/>
          <w:gallery w:val="placeholder"/>
        </w:category>
        <w:types>
          <w:type w:val="bbPlcHdr"/>
        </w:types>
        <w:behaviors>
          <w:behavior w:val="content"/>
        </w:behaviors>
        <w:guid w:val="{68E2BABF-0C81-4CCB-9644-743E8BD7899D}"/>
      </w:docPartPr>
      <w:docPartBody>
        <w:p w:rsidR="005C012C" w:rsidRDefault="005C012C" w:rsidP="005C012C">
          <w:pPr>
            <w:pStyle w:val="6796FC3D084A4FB781EB47C0E4B8149A"/>
          </w:pPr>
          <w:r w:rsidRPr="00BD2312">
            <w:rPr>
              <w:rStyle w:val="PlaceholderText"/>
            </w:rPr>
            <w:t>Click or tap here to enter text.</w:t>
          </w:r>
        </w:p>
      </w:docPartBody>
    </w:docPart>
    <w:docPart>
      <w:docPartPr>
        <w:name w:val="07CA02C659474D1CAF6E9262A47136D8"/>
        <w:category>
          <w:name w:val="General"/>
          <w:gallery w:val="placeholder"/>
        </w:category>
        <w:types>
          <w:type w:val="bbPlcHdr"/>
        </w:types>
        <w:behaviors>
          <w:behavior w:val="content"/>
        </w:behaviors>
        <w:guid w:val="{EB8E807F-846C-4B6A-AAD9-B0E5B88B018A}"/>
      </w:docPartPr>
      <w:docPartBody>
        <w:p w:rsidR="005C012C" w:rsidRDefault="005C012C" w:rsidP="005C012C">
          <w:pPr>
            <w:pStyle w:val="07CA02C659474D1CAF6E9262A47136D8"/>
          </w:pPr>
          <w:r w:rsidRPr="00BD2312">
            <w:rPr>
              <w:rStyle w:val="PlaceholderText"/>
            </w:rPr>
            <w:t>Click or tap here to enter text.</w:t>
          </w:r>
        </w:p>
      </w:docPartBody>
    </w:docPart>
    <w:docPart>
      <w:docPartPr>
        <w:name w:val="0F3133D6BE42413DBE419145034143EB"/>
        <w:category>
          <w:name w:val="General"/>
          <w:gallery w:val="placeholder"/>
        </w:category>
        <w:types>
          <w:type w:val="bbPlcHdr"/>
        </w:types>
        <w:behaviors>
          <w:behavior w:val="content"/>
        </w:behaviors>
        <w:guid w:val="{F5358CBA-A0C9-4181-A9B5-FE3FC48430DE}"/>
      </w:docPartPr>
      <w:docPartBody>
        <w:p w:rsidR="00AD184B" w:rsidRDefault="00AD184B" w:rsidP="00AD184B">
          <w:pPr>
            <w:pStyle w:val="0F3133D6BE42413DBE419145034143EB4"/>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6890"/>
    <w:rsid w:val="001E3B1B"/>
    <w:rsid w:val="002724DE"/>
    <w:rsid w:val="003303FF"/>
    <w:rsid w:val="00360ACC"/>
    <w:rsid w:val="00416B25"/>
    <w:rsid w:val="005C012C"/>
    <w:rsid w:val="006212B2"/>
    <w:rsid w:val="006F0611"/>
    <w:rsid w:val="0077025E"/>
    <w:rsid w:val="007F7378"/>
    <w:rsid w:val="00893390"/>
    <w:rsid w:val="00894A0C"/>
    <w:rsid w:val="009A12CB"/>
    <w:rsid w:val="00AD184B"/>
    <w:rsid w:val="00CA527C"/>
    <w:rsid w:val="00CC0E0C"/>
    <w:rsid w:val="00D045A5"/>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184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3570E9A4E8046ACB106B7A9DA3F84D4">
    <w:name w:val="63570E9A4E8046ACB106B7A9DA3F84D4"/>
    <w:rsid w:val="005C012C"/>
    <w:pPr>
      <w:spacing w:line="278" w:lineRule="auto"/>
    </w:pPr>
    <w:rPr>
      <w:kern w:val="2"/>
      <w:sz w:val="24"/>
      <w:szCs w:val="24"/>
      <w:lang w:val="fr-BE" w:eastAsia="fr-BE"/>
      <w14:ligatures w14:val="standardContextual"/>
    </w:rPr>
  </w:style>
  <w:style w:type="paragraph" w:customStyle="1" w:styleId="6796FC3D084A4FB781EB47C0E4B8149A">
    <w:name w:val="6796FC3D084A4FB781EB47C0E4B8149A"/>
    <w:rsid w:val="005C012C"/>
    <w:pPr>
      <w:spacing w:line="278" w:lineRule="auto"/>
    </w:pPr>
    <w:rPr>
      <w:kern w:val="2"/>
      <w:sz w:val="24"/>
      <w:szCs w:val="24"/>
      <w:lang w:val="fr-BE" w:eastAsia="fr-BE"/>
      <w14:ligatures w14:val="standardContextual"/>
    </w:rPr>
  </w:style>
  <w:style w:type="paragraph" w:customStyle="1" w:styleId="07CA02C659474D1CAF6E9262A47136D8">
    <w:name w:val="07CA02C659474D1CAF6E9262A47136D8"/>
    <w:rsid w:val="005C012C"/>
    <w:pPr>
      <w:spacing w:line="278" w:lineRule="auto"/>
    </w:pPr>
    <w:rPr>
      <w:kern w:val="2"/>
      <w:sz w:val="24"/>
      <w:szCs w:val="24"/>
      <w:lang w:val="fr-BE" w:eastAsia="fr-BE"/>
      <w14:ligatures w14:val="standardContextual"/>
    </w:rPr>
  </w:style>
  <w:style w:type="paragraph" w:customStyle="1" w:styleId="0F3133D6BE42413DBE419145034143EB4">
    <w:name w:val="0F3133D6BE42413DBE419145034143EB4"/>
    <w:rsid w:val="00AD184B"/>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4">
    <w:name w:val="42F8A5B327594E519C9F00EDCE7CD95B4"/>
    <w:rsid w:val="00AD184B"/>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4">
    <w:name w:val="F8087F2A3C014B809064D3423F4C13C94"/>
    <w:rsid w:val="00AD184B"/>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1A806E0-3442-4996-B4E2-939A77D50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1482</Words>
  <Characters>8451</Characters>
  <Application>Microsoft Office Word</Application>
  <DocSecurity>0</DocSecurity>
  <PresentationFormat>Microsoft Word 14.0</PresentationFormat>
  <Lines>70</Lines>
  <Paragraphs>19</Paragraphs>
  <ScaleCrop>true</ScaleCrop>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2025-04-26T17:40:00Z</dcterms:created>
  <dcterms:modified xsi:type="dcterms:W3CDTF">2025-05-08T10:10:00Z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