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B71353"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B71353"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B71353"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B71353"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B71353"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B71353"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B566C1"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B3625D93F4E14FC39E11E7C04EEDF65E"/>
                </w:placeholder>
              </w:sdtPr>
              <w:sdtEndPr>
                <w:rPr>
                  <w:lang w:val="en-IE"/>
                </w:rPr>
              </w:sdtEndPr>
              <w:sdtContent>
                <w:tc>
                  <w:tcPr>
                    <w:tcW w:w="5491" w:type="dxa"/>
                  </w:tcPr>
                  <w:p w:rsidRPr="00FC4BD3" w:rsidR="00377580" w:rsidP="005F6927" w:rsidRDefault="00FC4BD3" w14:paraId="2AA4F572" w14:textId="65C17066">
                    <w:pPr>
                      <w:tabs>
                        <w:tab w:val="left" w:pos="426"/>
                      </w:tabs>
                      <w:rPr>
                        <w:bCs/>
                        <w:lang w:val="fr-BE" w:eastAsia="en-GB"/>
                      </w:rPr>
                    </w:pPr>
                    <w:r w:rsidRPr="00FC4BD3">
                      <w:rPr>
                        <w:bCs/>
                        <w:lang w:val="fr" w:eastAsia="en-GB"/>
                      </w:rPr>
                      <w:t>Direction générale du budget — Unité du directeur des risques</w:t>
                    </w:r>
                  </w:p>
                </w:tc>
              </w:sdtContent>
            </w:sdt>
          </w:sdtContent>
        </w:sdt>
      </w:tr>
      <w:tr w:rsidRPr="00FC4BD3"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959300907"/>
                <w:placeholder>
                  <w:docPart w:val="D30D239790E64DCFB431DBE7F1695DFD"/>
                </w:placeholder>
                <w:showingPlcHdr/>
              </w:sdtPr>
              <w:sdtEndPr>
                <w:rPr>
                  <w:bCs w:val="0"/>
                  <w:lang w:val="en-IE"/>
                </w:rPr>
              </w:sdtEndPr>
              <w:sdtContent>
                <w:tc>
                  <w:tcPr>
                    <w:tcW w:w="5491" w:type="dxa"/>
                  </w:tcPr>
                  <w:p w:rsidRPr="00FC4BD3" w:rsidR="00377580" w:rsidP="005F6927" w:rsidRDefault="00FC4BD3" w14:paraId="51C87C16" w14:textId="2D6CA38C">
                    <w:pPr>
                      <w:tabs>
                        <w:tab w:val="left" w:pos="426"/>
                      </w:tabs>
                      <w:rPr>
                        <w:bCs/>
                        <w:lang w:val="fr-BE" w:eastAsia="en-GB"/>
                      </w:rPr>
                    </w:pPr>
                    <w:r>
                      <w:rPr>
                        <w:rStyle w:val="PlaceholderText"/>
                      </w:rPr>
                      <w:t>Cliquer ou toucher ici pour introduire le texte.</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80A71" w:rsidR="00377580" w:rsidP="005F6927" w:rsidRDefault="00B71353" w14:paraId="369CA7C8" w14:textId="7D926405">
                <w:pPr>
                  <w:tabs>
                    <w:tab w:val="left" w:pos="426"/>
                  </w:tabs>
                  <w:rPr>
                    <w:bCs/>
                    <w:lang w:val="en-IE" w:eastAsia="en-GB"/>
                  </w:rPr>
                </w:pPr>
                <w:sdt>
                  <w:sdtPr>
                    <w:rPr>
                      <w:bCs/>
                      <w:lang w:val="en-IE" w:eastAsia="en-GB"/>
                    </w:rPr>
                    <w:id w:val="1772272949"/>
                    <w:placeholder>
                      <w:docPart w:val="BA5446949FB54F8CB4563A9B5244D305"/>
                    </w:placeholder>
                  </w:sdtPr>
                  <w:sdtEndPr/>
                  <w:sdtContent>
                    <w:r w:rsidRPr="00FC4BD3" w:rsidR="00FC4BD3">
                      <w:rPr>
                        <w:bCs/>
                        <w:lang w:val="fr" w:eastAsia="en-GB"/>
                      </w:rPr>
                      <w:t>Iliyana TSANOVA</w:t>
                    </w:r>
                  </w:sdtContent>
                </w:sdt>
              </w:p>
            </w:sdtContent>
          </w:sdt>
          <w:p w:rsidRPr="001D3EEC" w:rsidR="00377580" w:rsidP="005F6927" w:rsidRDefault="00B71353" w14:paraId="32DD8032" w14:textId="3ECD80C1">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C4BD3">
                  <w:rPr>
                    <w:bCs/>
                    <w:lang w:val="fr-BE" w:eastAsia="en-GB"/>
                  </w:rPr>
                  <w:t>T2</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C4BD3">
                      <w:rPr>
                        <w:bCs/>
                        <w:lang w:val="en-IE" w:eastAsia="en-GB"/>
                      </w:rPr>
                      <w:t>2025</w:t>
                    </w:r>
                  </w:sdtContent>
                </w:sdt>
              </w:sdtContent>
            </w:sdt>
            <w:r w:rsidRPr="001D3EEC" w:rsidR="00377580">
              <w:rPr>
                <w:bCs/>
                <w:lang w:val="fr-BE" w:eastAsia="en-GB"/>
              </w:rPr>
              <w:t xml:space="preserve"> </w:t>
            </w:r>
          </w:p>
          <w:p w:rsidRPr="001D3EEC" w:rsidR="00377580" w:rsidP="005F6927" w:rsidRDefault="00B71353" w14:paraId="768BBE26" w14:textId="245CCC1F">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C4BD3">
                  <w:rPr>
                    <w:bCs/>
                    <w:lang w:val="fr-BE" w:eastAsia="en-GB"/>
                  </w:rPr>
                  <w:t>1</w:t>
                </w:r>
              </w:sdtContent>
            </w:sdt>
            <w:r w:rsidRPr="001D3EEC" w:rsidR="00377580">
              <w:rPr>
                <w:bCs/>
                <w:lang w:val="fr-BE" w:eastAsia="en-GB"/>
              </w:rPr>
              <w:t xml:space="preserve"> année</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C4BD3">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Pr>
          <w:p w:rsidRPr="0007110E" w:rsidR="00E850B7" w:rsidP="00BC2C0C" w:rsidRDefault="00E850B7" w14:paraId="414E5C9C" w14:textId="7DF2A462">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575EAD19">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B71353"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B71353"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B71353"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1C41E8A7">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FC4BD3"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57F7BEF9">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2"/>
                </v:shape>
                <w:control w:name="OptionButton2" w:shapeid="_x0000_i1045" r:id="rId23"/>
              </w:object>
            </w:r>
            <w:r>
              <w:rPr>
                <w:bCs/>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21262030">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B71353">
                  <w:rPr>
                    <w:bCs/>
                    <w:lang w:val="fr-BE" w:eastAsia="en-GB"/>
                  </w:rPr>
                  <w:t>25-04-2025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FC4BD3" w:rsidR="00FC4BD3" w:rsidP="2FB28075" w:rsidRDefault="00FC4BD3" w14:paraId="2668D26A" w14:textId="77777777">
          <w:pPr>
            <w:rPr>
              <w:lang w:eastAsia="en-GB"/>
            </w:rPr>
          </w:pPr>
          <w:r w:rsidRPr="2FB28075">
            <w:rPr>
              <w:lang w:eastAsia="en-GB"/>
            </w:rPr>
            <w:t xml:space="preserve">Le directeur des risques est une fonction indépendante, qui supervise les risques financiers liés aux opérations financières de l’Union, tels que les opérations d’emprunt et de gestion de la dette, les actifs faisant l’objet d’opérations de gestion, les opérations de prêt et les garanties budgétaires. La fonction de directeur des risques a été initialement créée le 14 avril 2021 pour les opérations d’emprunt, de gestion de la dette et de prêt au titre de </w:t>
          </w:r>
          <w:r w:rsidRPr="2FB28075">
            <w:rPr>
              <w:lang w:eastAsia="en-GB"/>
            </w:rPr>
            <w:t xml:space="preserve">NextGenerationEU. La supervision du directeur des risques a ensuite été étendue à toutes les opérations financières de l’UE. </w:t>
          </w:r>
        </w:p>
        <w:p w:rsidRPr="00FC4BD3" w:rsidR="00FC4BD3" w:rsidP="00FC4BD3" w:rsidRDefault="00FC4BD3" w14:paraId="1E5D0693" w14:textId="77777777">
          <w:pPr>
            <w:rPr>
              <w:lang w:val="fr" w:eastAsia="en-GB"/>
            </w:rPr>
          </w:pPr>
          <w:r w:rsidRPr="00FC4BD3">
            <w:rPr>
              <w:lang w:val="fr" w:eastAsia="en-GB"/>
            </w:rPr>
            <w:t>Les opérations financières de l’Union ont considérablement augmenté — en termes de volume et de portée — au cours de l’actuel cadre financier pluriannuel. Les prêts, les garanties budgétaires et le financement des politiques de l’UE par l’émission de titres de créance ont été utilisés à grande échelle pour financer les réponses aux défis émergents et aux crises successives. La mise en œuvre de ces opérations financières peut exposer l’Union à divers risques financiers — y compris en matière de crédit, de marché, de liquidité, d’exploitation, de réputation, de conformité et de conformité — qui pourraient avoir des incidences sur le budget de l’Union. Les risques financiers découlant de l’exécution des opérations financières de l’Union devraient être correctement identifiés, atténués, gérés et notifiés. Le cadre en matière de risques devrait être solide et fournir une capacité complète, rigoureuse et indépendante de surveillance des risques financiers qui surviennent dans toutes les opérations financières de l’Union entreprises. Ce cadre devrait garantir que les opérations financières de l’Union soient menées dans le respect des normes les plus élevées en matière d’intégrité et de bonne gestion financière et des risques.</w:t>
          </w:r>
        </w:p>
        <w:p w:rsidRPr="00FC4BD3" w:rsidR="00FC4BD3" w:rsidP="2FB28075" w:rsidRDefault="00FC4BD3" w14:paraId="71D1F59D" w14:textId="77777777">
          <w:pPr>
            <w:rPr>
              <w:lang w:eastAsia="en-GB"/>
            </w:rPr>
          </w:pPr>
          <w:r w:rsidRPr="2FB28075">
            <w:rPr>
              <w:lang w:eastAsia="en-GB"/>
            </w:rPr>
            <w:t>La Commission a chargé le directeur des risques, en tant que deuxième ligne de défense, d’élaborer et de mettre en œuvre le cadre de gestion des risques de la Commission (ci-après le</w:t>
          </w:r>
          <w:proofErr w:type="gramStart"/>
          <w:r w:rsidRPr="2FB28075">
            <w:rPr>
              <w:lang w:eastAsia="en-GB"/>
            </w:rPr>
            <w:t xml:space="preserve"> «cadre</w:t>
          </w:r>
          <w:proofErr w:type="gramEnd"/>
          <w:r w:rsidRPr="2FB28075">
            <w:rPr>
              <w:lang w:eastAsia="en-GB"/>
            </w:rPr>
            <w:t xml:space="preserve">»). Soutenu par une unité de gestion des risques, le directeur des risques est chargé d’assurer une gouvernance solide, une gestion efficace des risques et une surveillance globale des risques financiers associés aux opérations financières de l’Union. Le directeur des risques travaille en étroite coopération avec les </w:t>
          </w:r>
          <w:bookmarkStart w:name="_Hlk192669276" w:id="0"/>
          <w:r w:rsidRPr="2FB28075">
            <w:rPr>
              <w:lang w:eastAsia="en-GB"/>
            </w:rPr>
            <w:t>directions générales chargées des opérations financières de l’Union, agissant en tant que première ligne de défense</w:t>
          </w:r>
          <w:bookmarkEnd w:id="0"/>
          <w:r w:rsidRPr="2FB28075">
            <w:rPr>
              <w:lang w:eastAsia="en-GB"/>
            </w:rPr>
            <w:t>. Le directeur des risques et de la conformité préside le comité du risque et de la conformité, qui l’assiste dans l’élaboration du cadre des risques et de la gestion des risques financiers découlant des opérations financières de l’Union.</w:t>
          </w:r>
        </w:p>
        <w:p w:rsidRPr="00FC4BD3" w:rsidR="001A0074" w:rsidP="00FC4BD3" w:rsidRDefault="00FC4BD3" w14:paraId="18140A21" w14:textId="1EC87B6D">
          <w:pPr>
            <w:rPr>
              <w:lang w:val="fr-BE" w:eastAsia="en-GB"/>
            </w:rPr>
          </w:pPr>
          <w:r w:rsidRPr="00FC4BD3">
            <w:rPr>
              <w:lang w:val="fr" w:eastAsia="en-GB"/>
            </w:rPr>
            <w:t xml:space="preserve">La fonction de CRO est hébergée par la direction générale du budget (DG BUDG), qui est le service central de la Commission européenne chargé de la préparation et de l’exécution du budget annuel et pluriannuel de l’Union européenne. Il compte environ 600 personnes et se compose de sept directions basées à Bruxelles et à Luxembourg. Les membres du personnel sont originaires de tous les pays de l’UE et possèdent diverses compétences </w:t>
          </w:r>
          <w:proofErr w:type="gramStart"/>
          <w:r w:rsidRPr="00FC4BD3">
            <w:rPr>
              <w:lang w:val="fr" w:eastAsia="en-GB"/>
            </w:rPr>
            <w:t>professionnelles:</w:t>
          </w:r>
          <w:proofErr w:type="gramEnd"/>
          <w:r w:rsidRPr="00FC4BD3">
            <w:rPr>
              <w:lang w:val="fr" w:eastAsia="en-GB"/>
            </w:rPr>
            <w:t xml:space="preserve"> comptabilité, économie, finance, affaires, programmation, audit, droit, communication, ressources humaines, administration européenne et autres domaines.</w:t>
          </w:r>
        </w:p>
      </w:sdtContent>
    </w:sdt>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sdt>
          <w:sdtPr>
            <w:rPr>
              <w:lang w:val="en-US" w:eastAsia="en-GB"/>
            </w:rPr>
            <w:id w:val="-1970964938"/>
            <w:placeholder>
              <w:docPart w:val="AB167894DF6D4A4D92E8F8164EAFB7CE"/>
            </w:placeholder>
          </w:sdtPr>
          <w:sdtEndPr>
            <w:rPr>
              <w:lang w:val="en-US" w:eastAsia="en-GB"/>
            </w:rPr>
          </w:sdtEndPr>
          <w:sdtContent>
            <w:p w:rsidRPr="00FC4BD3" w:rsidR="00FC4BD3" w:rsidP="2FB28075" w:rsidRDefault="00FC4BD3" w14:paraId="2FC0ABEF" w14:textId="77777777">
              <w:pPr>
                <w:rPr>
                  <w:lang w:eastAsia="en-GB"/>
                </w:rPr>
              </w:pPr>
              <w:r w:rsidRPr="2FB28075">
                <w:rPr>
                  <w:lang w:eastAsia="en-GB"/>
                </w:rPr>
                <w:t xml:space="preserve">L’équipe CRO cherche à engager un gestionnaire des risques quantitatifs afin d’élaborer, de mettre en œuvre et de maintenir un modèle de risque de crédit utilisé pour quantifier les </w:t>
              </w:r>
              <w:proofErr w:type="gramStart"/>
              <w:r w:rsidRPr="2FB28075">
                <w:rPr>
                  <w:lang w:eastAsia="en-GB"/>
                </w:rPr>
                <w:t>pertes</w:t>
              </w:r>
              <w:proofErr w:type="gramEnd"/>
              <w:r w:rsidRPr="2FB28075">
                <w:rPr>
                  <w:lang w:eastAsia="en-GB"/>
                </w:rPr>
                <w:t xml:space="preserve"> potentielles résultant des prêts aux pays tiers et des garanties budgétaires. En tant que deuxième ligne de défense, le candidat retenu devrait collaborer avec ses collègues de l’unité ainsi qu’avec les directions générales chargées des opérations financières de l’Union, agissant en tant que première ligne de défense.  Ses tâches seront principalement axées </w:t>
              </w:r>
              <w:proofErr w:type="gramStart"/>
              <w:r w:rsidRPr="2FB28075">
                <w:rPr>
                  <w:lang w:eastAsia="en-GB"/>
                </w:rPr>
                <w:t>sur:</w:t>
              </w:r>
              <w:proofErr w:type="gramEnd"/>
            </w:p>
            <w:p w:rsidRPr="00FC4BD3" w:rsidR="00FC4BD3" w:rsidP="2FB28075" w:rsidRDefault="00FC4BD3" w14:paraId="0D90AE8B" w14:textId="77777777">
              <w:pPr>
                <w:numPr>
                  <w:ilvl w:val="0"/>
                  <w:numId w:val="26"/>
                </w:numPr>
                <w:rPr>
                  <w:lang w:eastAsia="en-GB"/>
                </w:rPr>
              </w:pPr>
              <w:r w:rsidRPr="2FB28075">
                <w:rPr>
                  <w:lang w:eastAsia="en-GB"/>
                </w:rPr>
                <w:t>Élaborer un modèle de risque de crédit fondé sur le mérite pour prévoir la valeur en risque (VaR) pour l’ensemble des portefeuilles de garanties et de prêts,</w:t>
              </w:r>
            </w:p>
          </w:sdtContent>
        </w:sdt>
        <w:p w:rsidRPr="00FC4BD3" w:rsidR="00FC4BD3" w:rsidP="00FC4BD3" w:rsidRDefault="00FC4BD3" w14:paraId="0284BF40" w14:textId="77777777">
          <w:pPr>
            <w:numPr>
              <w:ilvl w:val="0"/>
              <w:numId w:val="26"/>
            </w:numPr>
            <w:rPr>
              <w:lang w:val="fr" w:eastAsia="en-GB"/>
            </w:rPr>
          </w:pPr>
          <w:r w:rsidRPr="00FC4BD3">
            <w:rPr>
              <w:lang w:val="fr" w:eastAsia="en-GB"/>
            </w:rPr>
            <w:t>Mettre en œuvre des configurations en plusieurs étapes et en une seule étape pour évaluer les différences entre les mesures de risque,</w:t>
          </w:r>
        </w:p>
        <w:p w:rsidRPr="00FC4BD3" w:rsidR="00FC4BD3" w:rsidP="00FC4BD3" w:rsidRDefault="00FC4BD3" w14:paraId="39A9A8EE" w14:textId="77777777">
          <w:pPr>
            <w:numPr>
              <w:ilvl w:val="0"/>
              <w:numId w:val="26"/>
            </w:numPr>
            <w:rPr>
              <w:lang w:val="fr" w:eastAsia="en-GB"/>
            </w:rPr>
          </w:pPr>
          <w:r w:rsidRPr="00FC4BD3">
            <w:rPr>
              <w:lang w:val="fr" w:eastAsia="en-GB"/>
            </w:rPr>
            <w:t>Mettre au point des méthodes d’évaluation de la qualité des données d’entrée et des paramètres de risque afin de garantir un calibrage adéquat du modèle,</w:t>
          </w:r>
        </w:p>
        <w:p w:rsidRPr="00FC4BD3" w:rsidR="00FC4BD3" w:rsidP="00FC4BD3" w:rsidRDefault="00FC4BD3" w14:paraId="3CC29286" w14:textId="77777777">
          <w:pPr>
            <w:numPr>
              <w:ilvl w:val="0"/>
              <w:numId w:val="26"/>
            </w:numPr>
            <w:rPr>
              <w:lang w:val="fr" w:eastAsia="en-GB"/>
            </w:rPr>
          </w:pPr>
          <w:r w:rsidRPr="00FC4BD3">
            <w:rPr>
              <w:lang w:val="fr" w:eastAsia="en-GB"/>
            </w:rPr>
            <w:t xml:space="preserve">Effectuer des contrôles et des validations a posteriori afin de garantir la précision et la robustesse du modèle, </w:t>
          </w:r>
        </w:p>
        <w:p w:rsidRPr="00FC4BD3" w:rsidR="00FC4BD3" w:rsidP="00FC4BD3" w:rsidRDefault="00FC4BD3" w14:paraId="0F7BE3EB" w14:textId="77777777">
          <w:pPr>
            <w:numPr>
              <w:ilvl w:val="0"/>
              <w:numId w:val="26"/>
            </w:numPr>
            <w:rPr>
              <w:lang w:val="fr" w:eastAsia="en-GB"/>
            </w:rPr>
          </w:pPr>
          <w:r w:rsidRPr="00FC4BD3">
            <w:rPr>
              <w:lang w:val="fr" w:eastAsia="en-GB"/>
            </w:rPr>
            <w:t>Documenter le modèle et intégrer la méthodologie dans la politique de gestion des risques,</w:t>
          </w:r>
        </w:p>
        <w:p w:rsidRPr="00FC4BD3" w:rsidR="001A0074" w:rsidP="00FC4BD3" w:rsidRDefault="00FC4BD3" w14:paraId="3B1D2FA2" w14:textId="1EE35B8E">
          <w:pPr>
            <w:rPr>
              <w:lang w:val="fr-BE" w:eastAsia="en-GB"/>
            </w:rPr>
          </w:pPr>
          <w:r w:rsidRPr="00FC4BD3">
            <w:rPr>
              <w:lang w:val="fr" w:eastAsia="en-GB"/>
            </w:rPr>
            <w:t>Mettre en œuvre le modèle à l’appui des avis des ORC sur les propositions de nouveaux programmes de la première ligne de défense pour un soutien financier et/ou des garanties budgétaires.</w:t>
          </w:r>
        </w:p>
      </w:sdtContent>
    </w:sdt>
    <w:p w:rsidRPr="0053405E" w:rsidR="001A0074" w:rsidP="007F7697" w:rsidRDefault="00B31DC8" w14:paraId="69B92155" w14:textId="09A29639">
      <w:pPr>
        <w:pStyle w:val="ListNumber"/>
        <w:numPr>
          <w:ilvl w:val="0"/>
          <w:numId w:val="0"/>
        </w:numPr>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en-US" w:eastAsia="en-GB"/>
            </w:rPr>
            <w:id w:val="-209197804"/>
            <w:placeholder>
              <w:docPart w:val="55995F7EC4D745B1948D0A7719513052"/>
            </w:placeholder>
          </w:sdtPr>
          <w:sdtEndPr>
            <w:rPr>
              <w:lang w:val="en-US" w:eastAsia="en-GB"/>
            </w:rPr>
          </w:sdtEndPr>
          <w:sdtContent>
            <w:p w:rsidRPr="00FC4BD3" w:rsidR="00FC4BD3" w:rsidP="007F7697" w:rsidRDefault="00FC4BD3" w14:paraId="7F5F5D06" w14:textId="77777777">
              <w:pPr>
                <w:pStyle w:val="ListNumber"/>
                <w:numPr>
                  <w:ilvl w:val="0"/>
                  <w:numId w:val="0"/>
                </w:numPr>
                <w:rPr>
                  <w:lang w:val="fr" w:eastAsia="en-GB"/>
                </w:rPr>
              </w:pPr>
              <w:r w:rsidRPr="00FC4BD3">
                <w:rPr>
                  <w:lang w:val="fr" w:eastAsia="en-GB"/>
                </w:rPr>
                <w:t>Le candidat idéal disposera d’une expertise dans le domaine de la finance quantitative, de la modélisation des risques, des processus stochastiques et de l’évaluation des risques de portefeuille</w:t>
              </w:r>
              <w:r w:rsidRPr="00FC4BD3">
                <w:rPr>
                  <w:b/>
                  <w:lang w:val="fr" w:eastAsia="en-GB"/>
                </w:rPr>
                <w:t>,</w:t>
              </w:r>
              <w:r w:rsidRPr="00FC4BD3">
                <w:rPr>
                  <w:lang w:val="fr" w:eastAsia="en-GB"/>
                </w:rPr>
                <w:t xml:space="preserve"> avec une solide expérience en mathématiques et en programmation financières. </w:t>
              </w:r>
            </w:p>
            <w:p w:rsidRPr="00FC4BD3" w:rsidR="00FC4BD3" w:rsidP="2FB28075" w:rsidRDefault="00FC4BD3" w14:paraId="0880A93E" w14:textId="77777777">
              <w:pPr>
                <w:pStyle w:val="ListNumber"/>
                <w:numPr>
                  <w:ilvl w:val="0"/>
                  <w:numId w:val="0"/>
                </w:numPr>
                <w:rPr>
                  <w:b/>
                  <w:bCs/>
                  <w:lang w:eastAsia="en-GB"/>
                </w:rPr>
              </w:pPr>
              <w:r w:rsidRPr="2FB28075">
                <w:rPr>
                  <w:b/>
                  <w:bCs/>
                  <w:lang w:eastAsia="en-GB"/>
                </w:rPr>
                <w:t xml:space="preserve">Compétences techniques </w:t>
              </w:r>
              <w:proofErr w:type="gramStart"/>
              <w:r w:rsidRPr="2FB28075">
                <w:rPr>
                  <w:b/>
                  <w:bCs/>
                  <w:lang w:eastAsia="en-GB"/>
                </w:rPr>
                <w:t>requises:</w:t>
              </w:r>
              <w:proofErr w:type="gramEnd"/>
            </w:p>
            <w:p w:rsidRPr="00FC4BD3" w:rsidR="00FC4BD3" w:rsidP="00FC4BD3" w:rsidRDefault="00FC4BD3" w14:paraId="4AE95EF4" w14:textId="77777777">
              <w:pPr>
                <w:pStyle w:val="ListNumber"/>
                <w:numPr>
                  <w:ilvl w:val="0"/>
                  <w:numId w:val="27"/>
                </w:numPr>
                <w:rPr>
                  <w:lang w:val="fr" w:eastAsia="en-GB"/>
                </w:rPr>
              </w:pPr>
              <w:r w:rsidRPr="00FC4BD3">
                <w:rPr>
                  <w:lang w:val="fr" w:eastAsia="en-GB"/>
                </w:rPr>
                <w:t>Une bonne connaissance des modèles de risque de crédit, en particulier du modèle Merton et de ses variations,</w:t>
              </w:r>
            </w:p>
            <w:p w:rsidRPr="00FC4BD3" w:rsidR="00FC4BD3" w:rsidP="2FB28075" w:rsidRDefault="00FC4BD3" w14:paraId="75EC8FA7" w14:textId="77777777">
              <w:pPr>
                <w:pStyle w:val="ListNumber"/>
                <w:rPr>
                  <w:lang w:eastAsia="en-GB"/>
                </w:rPr>
              </w:pPr>
              <w:r w:rsidRPr="2FB28075">
                <w:rPr>
                  <w:lang w:eastAsia="en-GB"/>
                </w:rPr>
                <w:t xml:space="preserve">Expertise en matière de modélisation de la valeur en risque (VaR) et d’analyse des risques liés au portefeuille de crédit, </w:t>
              </w:r>
            </w:p>
            <w:p w:rsidRPr="00FC4BD3" w:rsidR="00FC4BD3" w:rsidP="00FC4BD3" w:rsidRDefault="00FC4BD3" w14:paraId="0F4FF1C8" w14:textId="77777777">
              <w:pPr>
                <w:pStyle w:val="ListNumber"/>
                <w:numPr>
                  <w:ilvl w:val="0"/>
                  <w:numId w:val="27"/>
                </w:numPr>
                <w:rPr>
                  <w:lang w:val="fr" w:eastAsia="en-GB"/>
                </w:rPr>
              </w:pPr>
              <w:r w:rsidRPr="00FC4BD3">
                <w:rPr>
                  <w:lang w:val="fr" w:eastAsia="en-GB"/>
                </w:rPr>
                <w:t>Maîtrise de la théorie des probabilités, des procédés stochastiques et des techniques de simulation Monte Carlo,</w:t>
              </w:r>
            </w:p>
            <w:p w:rsidRPr="00FC4BD3" w:rsidR="00FC4BD3" w:rsidP="00FC4BD3" w:rsidRDefault="00FC4BD3" w14:paraId="08FB3FBB" w14:textId="77777777">
              <w:pPr>
                <w:pStyle w:val="ListNumber"/>
                <w:numPr>
                  <w:ilvl w:val="0"/>
                  <w:numId w:val="27"/>
                </w:numPr>
                <w:rPr>
                  <w:lang w:val="fr" w:eastAsia="en-GB"/>
                </w:rPr>
              </w:pPr>
              <w:r w:rsidRPr="00FC4BD3">
                <w:rPr>
                  <w:lang w:val="fr" w:eastAsia="en-GB"/>
                </w:rPr>
                <w:t>Expérience en matière de modélisation de séries chronologiques et d’économétrie financière (par exemple copulas),</w:t>
              </w:r>
            </w:p>
            <w:p w:rsidRPr="00FC4BD3" w:rsidR="00FC4BD3" w:rsidP="2FB28075" w:rsidRDefault="00FC4BD3" w14:paraId="29C893A5" w14:textId="77777777">
              <w:pPr>
                <w:pStyle w:val="ListNumber"/>
                <w:rPr>
                  <w:lang w:eastAsia="en-GB"/>
                </w:rPr>
              </w:pPr>
              <w:r w:rsidRPr="2FB28075">
                <w:rPr>
                  <w:lang w:eastAsia="en-GB"/>
                </w:rPr>
                <w:t xml:space="preserve">Solides compétences en programmation à </w:t>
              </w:r>
              <w:proofErr w:type="gramStart"/>
              <w:r w:rsidRPr="2FB28075">
                <w:rPr>
                  <w:lang w:eastAsia="en-GB"/>
                </w:rPr>
                <w:t>Python;</w:t>
              </w:r>
              <w:proofErr w:type="gramEnd"/>
              <w:r w:rsidRPr="2FB28075">
                <w:rPr>
                  <w:lang w:eastAsia="en-GB"/>
                </w:rPr>
                <w:t xml:space="preserve"> Java est considéré comme un avantage supplémentaire,</w:t>
              </w:r>
            </w:p>
            <w:p w:rsidRPr="00FC4BD3" w:rsidR="00FC4BD3" w:rsidP="00FC4BD3" w:rsidRDefault="00FC4BD3" w14:paraId="0ED4E8F3" w14:textId="77777777">
              <w:pPr>
                <w:pStyle w:val="ListNumber"/>
                <w:numPr>
                  <w:ilvl w:val="0"/>
                  <w:numId w:val="27"/>
                </w:numPr>
                <w:rPr>
                  <w:lang w:val="fr" w:eastAsia="en-GB"/>
                </w:rPr>
              </w:pPr>
              <w:r w:rsidRPr="00FC4BD3">
                <w:rPr>
                  <w:lang w:val="fr" w:eastAsia="en-GB"/>
                </w:rPr>
                <w:t>Expérience de la manipulation de données, de l’analyse des risques et des techniques d’apprentissage automatique pour la modélisation financière.</w:t>
              </w:r>
            </w:p>
            <w:p w:rsidRPr="00FC4BD3" w:rsidR="00FC4BD3" w:rsidP="2FB28075" w:rsidRDefault="00FC4BD3" w14:paraId="18F97B1C" w14:textId="77777777">
              <w:pPr>
                <w:pStyle w:val="ListNumber"/>
                <w:numPr>
                  <w:ilvl w:val="0"/>
                  <w:numId w:val="0"/>
                </w:numPr>
                <w:rPr>
                  <w:b/>
                  <w:bCs/>
                  <w:lang w:eastAsia="en-GB"/>
                </w:rPr>
              </w:pPr>
              <w:r w:rsidRPr="2FB28075">
                <w:rPr>
                  <w:b/>
                  <w:bCs/>
                  <w:lang w:eastAsia="en-GB"/>
                </w:rPr>
                <w:t xml:space="preserve">Connaissances financières et </w:t>
              </w:r>
              <w:proofErr w:type="gramStart"/>
              <w:r w:rsidRPr="2FB28075">
                <w:rPr>
                  <w:b/>
                  <w:bCs/>
                  <w:lang w:eastAsia="en-GB"/>
                </w:rPr>
                <w:t>réglementaires:</w:t>
              </w:r>
              <w:proofErr w:type="gramEnd"/>
            </w:p>
            <w:p w:rsidRPr="00FC4BD3" w:rsidR="00FC4BD3" w:rsidP="00FC4BD3" w:rsidRDefault="00FC4BD3" w14:paraId="35F4A9EE" w14:textId="77777777">
              <w:pPr>
                <w:pStyle w:val="ListNumber"/>
                <w:numPr>
                  <w:ilvl w:val="0"/>
                  <w:numId w:val="27"/>
                </w:numPr>
                <w:rPr>
                  <w:lang w:val="fr" w:eastAsia="en-GB"/>
                </w:rPr>
              </w:pPr>
              <w:r w:rsidRPr="00FC4BD3">
                <w:rPr>
                  <w:lang w:val="fr" w:eastAsia="en-GB"/>
                </w:rPr>
                <w:t>Connaissance des cadres réglementaires, en particulier Bâle, IFRS, guide de la BCE sur les modèles internes, etc.</w:t>
              </w:r>
            </w:p>
            <w:p w:rsidRPr="00FC4BD3" w:rsidR="00FC4BD3" w:rsidP="00FC4BD3" w:rsidRDefault="00FC4BD3" w14:paraId="0627D140" w14:textId="77777777">
              <w:pPr>
                <w:pStyle w:val="ListNumber"/>
                <w:numPr>
                  <w:ilvl w:val="0"/>
                  <w:numId w:val="27"/>
                </w:numPr>
                <w:rPr>
                  <w:lang w:val="fr" w:eastAsia="en-GB"/>
                </w:rPr>
              </w:pPr>
              <w:r w:rsidRPr="00FC4BD3">
                <w:rPr>
                  <w:lang w:val="fr" w:eastAsia="en-GB"/>
                </w:rPr>
                <w:t>Première expérience du processus de validation des modèles.</w:t>
              </w:r>
            </w:p>
            <w:p w:rsidRPr="00FC4BD3" w:rsidR="00FC4BD3" w:rsidP="2FB28075" w:rsidRDefault="00FC4BD3" w14:paraId="40934A29" w14:textId="77777777">
              <w:pPr>
                <w:pStyle w:val="ListNumber"/>
                <w:numPr>
                  <w:ilvl w:val="0"/>
                  <w:numId w:val="0"/>
                </w:numPr>
                <w:rPr>
                  <w:b/>
                  <w:bCs/>
                  <w:lang w:eastAsia="en-GB"/>
                </w:rPr>
              </w:pPr>
              <w:r w:rsidRPr="2FB28075">
                <w:rPr>
                  <w:b/>
                  <w:bCs/>
                  <w:lang w:eastAsia="en-GB"/>
                </w:rPr>
                <w:t xml:space="preserve">Compétences professionnelles en matière </w:t>
              </w:r>
              <w:proofErr w:type="gramStart"/>
              <w:r w:rsidRPr="2FB28075">
                <w:rPr>
                  <w:b/>
                  <w:bCs/>
                  <w:lang w:eastAsia="en-GB"/>
                </w:rPr>
                <w:t>d’analyse:</w:t>
              </w:r>
              <w:proofErr w:type="gramEnd"/>
            </w:p>
            <w:p w:rsidRPr="00FC4BD3" w:rsidR="00FC4BD3" w:rsidP="00FC4BD3" w:rsidRDefault="00FC4BD3" w14:paraId="6D90CC6D" w14:textId="77777777">
              <w:pPr>
                <w:pStyle w:val="ListNumber"/>
                <w:numPr>
                  <w:ilvl w:val="0"/>
                  <w:numId w:val="27"/>
                </w:numPr>
                <w:rPr>
                  <w:lang w:val="fr" w:eastAsia="en-GB"/>
                </w:rPr>
              </w:pPr>
              <w:r w:rsidRPr="00FC4BD3">
                <w:rPr>
                  <w:lang w:val="fr" w:eastAsia="en-GB"/>
                </w:rPr>
                <w:t>Une expérience antérieure dans une banque d’investissement, une banque de développement, une institution financière, une société de conseil en risques ou une agence de réglementation,</w:t>
              </w:r>
            </w:p>
            <w:p w:rsidRPr="00FC4BD3" w:rsidR="00FC4BD3" w:rsidP="00FC4BD3" w:rsidRDefault="00FC4BD3" w14:paraId="66FF6104" w14:textId="77777777">
              <w:pPr>
                <w:pStyle w:val="ListNumber"/>
                <w:numPr>
                  <w:ilvl w:val="0"/>
                  <w:numId w:val="27"/>
                </w:numPr>
                <w:rPr>
                  <w:lang w:val="fr" w:eastAsia="en-GB"/>
                </w:rPr>
              </w:pPr>
              <w:r w:rsidRPr="00FC4BD3">
                <w:rPr>
                  <w:lang w:val="fr" w:eastAsia="en-GB"/>
                </w:rPr>
                <w:t>Expérience avérée dans l’élaboration et la mise en œuvre d’un modèle de risque de crédit,</w:t>
              </w:r>
            </w:p>
            <w:p w:rsidRPr="00FC4BD3" w:rsidR="00FC4BD3" w:rsidP="00FC4BD3" w:rsidRDefault="00FC4BD3" w14:paraId="6E39B430" w14:textId="77777777">
              <w:pPr>
                <w:pStyle w:val="ListNumber"/>
                <w:numPr>
                  <w:ilvl w:val="0"/>
                  <w:numId w:val="27"/>
                </w:numPr>
                <w:rPr>
                  <w:lang w:val="fr" w:eastAsia="en-GB"/>
                </w:rPr>
              </w:pPr>
              <w:r w:rsidRPr="00FC4BD3">
                <w:rPr>
                  <w:lang w:val="fr" w:eastAsia="en-GB"/>
                </w:rPr>
                <w:t>Posséder de solides aptitudes quantitatives et analytiques en accordant une attention particulière aux détails,</w:t>
              </w:r>
            </w:p>
            <w:p w:rsidRPr="00FC4BD3" w:rsidR="00FC4BD3" w:rsidP="00FC4BD3" w:rsidRDefault="00FC4BD3" w14:paraId="36C27832" w14:textId="77777777">
              <w:pPr>
                <w:pStyle w:val="ListNumber"/>
                <w:numPr>
                  <w:ilvl w:val="0"/>
                  <w:numId w:val="27"/>
                </w:numPr>
                <w:rPr>
                  <w:lang w:val="fr" w:eastAsia="en-GB"/>
                </w:rPr>
              </w:pPr>
              <w:r w:rsidRPr="00FC4BD3">
                <w:rPr>
                  <w:lang w:val="fr" w:eastAsia="en-GB"/>
                </w:rPr>
                <w:t>Expérience du travail avec de grands ensembles de données, des indicateurs de risque et des outils de modélisation financière,</w:t>
              </w:r>
            </w:p>
            <w:p w:rsidRPr="00FC4BD3" w:rsidR="00FC4BD3" w:rsidP="00FC4BD3" w:rsidRDefault="00FC4BD3" w14:paraId="5D89D939" w14:textId="77777777">
              <w:pPr>
                <w:pStyle w:val="ListNumber"/>
                <w:numPr>
                  <w:ilvl w:val="0"/>
                  <w:numId w:val="27"/>
                </w:numPr>
                <w:rPr>
                  <w:lang w:val="fr" w:eastAsia="en-GB"/>
                </w:rPr>
              </w:pPr>
              <w:r w:rsidRPr="00FC4BD3">
                <w:rPr>
                  <w:lang w:val="fr" w:eastAsia="en-GB"/>
                </w:rPr>
                <w:t>Capacité à discuter et à argumenter avec la première ligne de défense afin de parvenir à un consensus sur les choix méthodologiques,</w:t>
              </w:r>
            </w:p>
            <w:p w:rsidRPr="00FC4BD3" w:rsidR="00FC4BD3" w:rsidP="00FC4BD3" w:rsidRDefault="00FC4BD3" w14:paraId="0C5F4F5B" w14:textId="77777777">
              <w:pPr>
                <w:pStyle w:val="ListNumber"/>
                <w:numPr>
                  <w:ilvl w:val="0"/>
                  <w:numId w:val="27"/>
                </w:numPr>
                <w:rPr>
                  <w:lang w:val="fr" w:eastAsia="en-GB"/>
                </w:rPr>
              </w:pPr>
              <w:r w:rsidRPr="00FC4BD3">
                <w:rPr>
                  <w:lang w:val="fr" w:eastAsia="en-GB"/>
                </w:rPr>
                <w:t>Capacité à communiquer les résultats techniques à l’encadrement supérieur,</w:t>
              </w:r>
            </w:p>
            <w:p w:rsidRPr="00FC4BD3" w:rsidR="00FC4BD3" w:rsidP="00FC4BD3" w:rsidRDefault="00FC4BD3" w14:paraId="3F73FBE6" w14:textId="77777777">
              <w:pPr>
                <w:pStyle w:val="ListNumber"/>
                <w:numPr>
                  <w:ilvl w:val="0"/>
                  <w:numId w:val="27"/>
                </w:numPr>
                <w:rPr>
                  <w:lang w:val="fr" w:eastAsia="en-GB"/>
                </w:rPr>
              </w:pPr>
              <w:r w:rsidRPr="00FC4BD3">
                <w:rPr>
                  <w:lang w:val="fr" w:eastAsia="en-GB"/>
                </w:rPr>
                <w:t>Solides compétences en matière de résolution de problèmes et aptitude à travailler de manière autonome.</w:t>
              </w:r>
            </w:p>
            <w:p w:rsidRPr="00FC4BD3" w:rsidR="00FC4BD3" w:rsidP="2FB28075" w:rsidRDefault="00FC4BD3" w14:paraId="2A8E6E60" w14:textId="77777777">
              <w:pPr>
                <w:pStyle w:val="ListNumber"/>
                <w:numPr>
                  <w:ilvl w:val="0"/>
                  <w:numId w:val="0"/>
                </w:numPr>
                <w:rPr>
                  <w:b/>
                  <w:bCs/>
                  <w:lang w:eastAsia="en-GB"/>
                </w:rPr>
              </w:pPr>
              <w:r w:rsidRPr="2FB28075">
                <w:rPr>
                  <w:b/>
                  <w:bCs/>
                  <w:lang w:eastAsia="en-GB"/>
                </w:rPr>
                <w:t xml:space="preserve">Qualifications </w:t>
              </w:r>
              <w:proofErr w:type="gramStart"/>
              <w:r w:rsidRPr="2FB28075">
                <w:rPr>
                  <w:b/>
                  <w:bCs/>
                  <w:lang w:eastAsia="en-GB"/>
                </w:rPr>
                <w:t>requises:</w:t>
              </w:r>
              <w:proofErr w:type="gramEnd"/>
            </w:p>
            <w:p w:rsidRPr="00FC4BD3" w:rsidR="00FC4BD3" w:rsidP="00FC4BD3" w:rsidRDefault="00FC4BD3" w14:paraId="352D1964" w14:textId="77777777">
              <w:pPr>
                <w:pStyle w:val="ListNumber"/>
                <w:numPr>
                  <w:ilvl w:val="0"/>
                  <w:numId w:val="27"/>
                </w:numPr>
                <w:rPr>
                  <w:lang w:val="fr" w:eastAsia="en-GB"/>
                </w:rPr>
              </w:pPr>
              <w:r w:rsidRPr="00FC4BD3">
                <w:rPr>
                  <w:lang w:val="fr" w:eastAsia="en-GB"/>
                </w:rPr>
                <w:t>Diplôme universitaire en finance quantitative, ingénierie financière, mathématiques, statistiques, économie, ou dans un domaine connexe,</w:t>
              </w:r>
            </w:p>
            <w:p w:rsidRPr="00FC4BD3" w:rsidR="001A0074" w:rsidP="00FC4BD3" w:rsidRDefault="00FC4BD3" w14:paraId="7E409EA7" w14:textId="00AC7401">
              <w:pPr>
                <w:pStyle w:val="ListNumber"/>
                <w:numPr>
                  <w:ilvl w:val="0"/>
                  <w:numId w:val="27"/>
                </w:numPr>
                <w:rPr>
                  <w:lang w:val="fr" w:eastAsia="en-GB"/>
                </w:rPr>
              </w:pPr>
              <w:r w:rsidRPr="00FC4BD3">
                <w:rPr>
                  <w:lang w:val="fr" w:eastAsia="en-GB"/>
                </w:rPr>
                <w:t>Les certifications professionnelles telles que FRM (gestionnaire des risques financiers), CFA et PRMIA (gestionnaire professionnel des risques) sont un atout.</w:t>
              </w:r>
            </w:p>
          </w:sdtContent>
        </w:sdt>
      </w:sdtContent>
    </w:sdt>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631B861F" w:rsidRDefault="00215A56" w14:paraId="5C4AB867" w14:textId="5AC363BD">
      <w:pPr>
        <w:rPr>
          <w:lang w:val="fr-FR" w:eastAsia="en-GB"/>
        </w:rPr>
      </w:pPr>
      <w:r w:rsidRPr="631B861F" w:rsidR="00215A56">
        <w:rPr>
          <w:u w:val="single"/>
          <w:lang w:val="fr-FR" w:eastAsia="en-GB"/>
        </w:rPr>
        <w:t>Employeur :</w:t>
      </w:r>
      <w:r w:rsidRPr="631B861F" w:rsidR="00443957">
        <w:rPr>
          <w:lang w:val="fr-FR" w:eastAsia="en-GB"/>
        </w:rPr>
        <w:t xml:space="preserve"> </w:t>
      </w:r>
      <w:r w:rsidRPr="631B861F" w:rsidR="000914BF">
        <w:rPr>
          <w:lang w:val="fr-FR" w:eastAsia="en-GB"/>
        </w:rPr>
        <w:t xml:space="preserve">être employé par </w:t>
      </w:r>
      <w:r w:rsidRPr="631B861F" w:rsidR="00443957">
        <w:rPr>
          <w:lang w:val="fr-FR" w:eastAsia="en-GB"/>
        </w:rPr>
        <w:t xml:space="preserve">une administration publique nationale, régionale ou locale, ou </w:t>
      </w:r>
      <w:r w:rsidRPr="631B861F" w:rsidR="000914BF">
        <w:rPr>
          <w:lang w:val="fr-FR" w:eastAsia="en-GB"/>
        </w:rPr>
        <w:t>par une organisation intergouvernementale</w:t>
      </w:r>
      <w:r w:rsidRPr="631B861F" w:rsidR="00443957">
        <w:rPr>
          <w:lang w:val="fr-FR" w:eastAsia="en-GB"/>
        </w:rPr>
        <w:t xml:space="preserve"> (OIG</w:t>
      </w:r>
      <w:r w:rsidRPr="631B861F" w:rsidR="00443957">
        <w:rPr>
          <w:lang w:val="fr-FR" w:eastAsia="en-GB"/>
        </w:rPr>
        <w:t>);</w:t>
      </w:r>
      <w:r w:rsidRPr="631B861F" w:rsidR="00443957">
        <w:rPr>
          <w:lang w:val="fr-FR" w:eastAsia="en-GB"/>
        </w:rPr>
        <w:t xml:space="preserve"> </w:t>
      </w:r>
      <w:r w:rsidRPr="631B861F" w:rsidR="000914BF">
        <w:rPr>
          <w:lang w:val="fr-FR" w:eastAsia="en-GB"/>
        </w:rPr>
        <w:t xml:space="preserve">exceptionnellement et après dérogation, la Commission peut accepter des candidatures </w:t>
      </w:r>
      <w:r w:rsidRPr="631B861F" w:rsidR="00866E7F">
        <w:rPr>
          <w:lang w:val="fr-FR" w:eastAsia="en-GB"/>
        </w:rPr>
        <w:t>lorsque votre</w:t>
      </w:r>
      <w:r w:rsidRPr="631B861F" w:rsidR="004D3B51">
        <w:rPr>
          <w:lang w:val="fr-FR" w:eastAsia="en-GB"/>
        </w:rPr>
        <w:t xml:space="preserve"> </w:t>
      </w:r>
      <w:r w:rsidRPr="631B861F" w:rsidR="000914BF">
        <w:rPr>
          <w:lang w:val="fr-FR" w:eastAsia="en-GB"/>
        </w:rPr>
        <w:t xml:space="preserve">employeur </w:t>
      </w:r>
      <w:r w:rsidRPr="631B861F" w:rsidR="00866E7F">
        <w:rPr>
          <w:lang w:val="fr-FR" w:eastAsia="en-GB"/>
        </w:rPr>
        <w:t>est un organisme</w:t>
      </w:r>
      <w:r w:rsidRPr="631B861F" w:rsidR="004D3B51">
        <w:rPr>
          <w:lang w:val="fr-FR" w:eastAsia="en-GB"/>
        </w:rPr>
        <w:t xml:space="preserve"> </w:t>
      </w:r>
      <w:r w:rsidRPr="631B861F" w:rsidR="000914BF">
        <w:rPr>
          <w:lang w:val="fr-FR" w:eastAsia="en-GB"/>
        </w:rPr>
        <w:t>du secteur public (e.g. agence ou institut de régularisation)</w:t>
      </w:r>
      <w:r w:rsidRPr="631B861F" w:rsidR="006F23BA">
        <w:rPr>
          <w:lang w:val="fr-FR" w:eastAsia="en-GB"/>
        </w:rPr>
        <w:t xml:space="preserve">, </w:t>
      </w:r>
      <w:r w:rsidRPr="631B861F"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FB47A07"/>
    <w:multiLevelType w:val="hybridMultilevel"/>
    <w:tmpl w:val="8A0EA778"/>
    <w:lvl w:ilvl="0" w:tplc="912A99D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1C4B70"/>
    <w:multiLevelType w:val="hybridMultilevel"/>
    <w:tmpl w:val="7DA49266"/>
    <w:lvl w:ilvl="0" w:tplc="912A99D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2"/>
  </w:num>
  <w:num w:numId="25" w16cid:durableId="681978231">
    <w:abstractNumId w:val="26"/>
  </w:num>
  <w:num w:numId="26" w16cid:durableId="367075248">
    <w:abstractNumId w:val="8"/>
  </w:num>
  <w:num w:numId="27" w16cid:durableId="1235621487">
    <w:abstractNumId w:val="2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C0633"/>
    <w:rsid w:val="001D3EEC"/>
    <w:rsid w:val="001E0124"/>
    <w:rsid w:val="00215A56"/>
    <w:rsid w:val="0028413D"/>
    <w:rsid w:val="002841B7"/>
    <w:rsid w:val="002A6E30"/>
    <w:rsid w:val="002B37EB"/>
    <w:rsid w:val="002F56DC"/>
    <w:rsid w:val="00301CA3"/>
    <w:rsid w:val="00302100"/>
    <w:rsid w:val="00377580"/>
    <w:rsid w:val="00394581"/>
    <w:rsid w:val="00443957"/>
    <w:rsid w:val="00462268"/>
    <w:rsid w:val="004A4BB7"/>
    <w:rsid w:val="004D3B51"/>
    <w:rsid w:val="0053405E"/>
    <w:rsid w:val="00556CBD"/>
    <w:rsid w:val="005A050C"/>
    <w:rsid w:val="006A1CB2"/>
    <w:rsid w:val="006B47B6"/>
    <w:rsid w:val="006F23BA"/>
    <w:rsid w:val="0074301E"/>
    <w:rsid w:val="007A10AA"/>
    <w:rsid w:val="007A1396"/>
    <w:rsid w:val="007B5FAE"/>
    <w:rsid w:val="007E131B"/>
    <w:rsid w:val="007E4F35"/>
    <w:rsid w:val="007F7697"/>
    <w:rsid w:val="008241B0"/>
    <w:rsid w:val="008315CD"/>
    <w:rsid w:val="00866E7F"/>
    <w:rsid w:val="008A0FF3"/>
    <w:rsid w:val="0092295D"/>
    <w:rsid w:val="00A65B97"/>
    <w:rsid w:val="00A917BE"/>
    <w:rsid w:val="00AB43F9"/>
    <w:rsid w:val="00B31DC8"/>
    <w:rsid w:val="00B566C1"/>
    <w:rsid w:val="00B71353"/>
    <w:rsid w:val="00BD193A"/>
    <w:rsid w:val="00BF389A"/>
    <w:rsid w:val="00C518F5"/>
    <w:rsid w:val="00D703FC"/>
    <w:rsid w:val="00D82B48"/>
    <w:rsid w:val="00DC5C83"/>
    <w:rsid w:val="00DD1477"/>
    <w:rsid w:val="00E0579E"/>
    <w:rsid w:val="00E5708E"/>
    <w:rsid w:val="00E850B7"/>
    <w:rsid w:val="00E927FE"/>
    <w:rsid w:val="00F65CC2"/>
    <w:rsid w:val="00FC4BD3"/>
    <w:rsid w:val="2FB28075"/>
    <w:rsid w:val="631B86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B3625D93F4E14FC39E11E7C04EEDF65E"/>
        <w:category>
          <w:name w:val="General"/>
          <w:gallery w:val="placeholder"/>
        </w:category>
        <w:types>
          <w:type w:val="bbPlcHdr"/>
        </w:types>
        <w:behaviors>
          <w:behavior w:val="content"/>
        </w:behaviors>
        <w:guid w:val="{88D20F5D-0633-4325-B007-8270461F4770}"/>
      </w:docPartPr>
      <w:docPartBody>
        <w:p xmlns:wp14="http://schemas.microsoft.com/office/word/2010/wordml" w:rsidR="00AB43F9" w:rsidP="00AB43F9" w:rsidRDefault="00AB43F9" w14:paraId="30BFB3CB" wp14:textId="77777777">
          <w:pPr>
            <w:pStyle w:val="B3625D93F4E14FC39E11E7C04EEDF65E"/>
          </w:pPr>
          <w:r>
            <w:rPr>
              <w:rStyle w:val="PlaceholderText"/>
            </w:rPr>
            <w:t>Cliquer ou toucher ici pour introduire le texte.</w:t>
          </w:r>
        </w:p>
      </w:docPartBody>
    </w:docPart>
    <w:docPart>
      <w:docPartPr>
        <w:name w:val="D30D239790E64DCFB431DBE7F1695DFD"/>
        <w:category>
          <w:name w:val="General"/>
          <w:gallery w:val="placeholder"/>
        </w:category>
        <w:types>
          <w:type w:val="bbPlcHdr"/>
        </w:types>
        <w:behaviors>
          <w:behavior w:val="content"/>
        </w:behaviors>
        <w:guid w:val="{72DC7145-5FCE-451A-8815-A13849B2495C}"/>
      </w:docPartPr>
      <w:docPartBody>
        <w:p xmlns:wp14="http://schemas.microsoft.com/office/word/2010/wordml" w:rsidR="00AB43F9" w:rsidP="00AB43F9" w:rsidRDefault="00AB43F9" w14:paraId="68BBF4FE" wp14:textId="77777777">
          <w:pPr>
            <w:pStyle w:val="D30D239790E64DCFB431DBE7F1695DFD"/>
          </w:pPr>
          <w:r>
            <w:rPr>
              <w:rStyle w:val="PlaceholderText"/>
            </w:rPr>
            <w:t>Cliquer ou toucher ici pour introduire le texte.</w:t>
          </w:r>
        </w:p>
      </w:docPartBody>
    </w:docPart>
    <w:docPart>
      <w:docPartPr>
        <w:name w:val="BA5446949FB54F8CB4563A9B5244D305"/>
        <w:category>
          <w:name w:val="General"/>
          <w:gallery w:val="placeholder"/>
        </w:category>
        <w:types>
          <w:type w:val="bbPlcHdr"/>
        </w:types>
        <w:behaviors>
          <w:behavior w:val="content"/>
        </w:behaviors>
        <w:guid w:val="{B56A179D-E60E-4F1A-88A5-93BA23C2B832}"/>
      </w:docPartPr>
      <w:docPartBody>
        <w:p xmlns:wp14="http://schemas.microsoft.com/office/word/2010/wordml" w:rsidR="00AB43F9" w:rsidP="00AB43F9" w:rsidRDefault="00AB43F9" w14:paraId="1D995E20" wp14:textId="77777777">
          <w:pPr>
            <w:pStyle w:val="BA5446949FB54F8CB4563A9B5244D305"/>
          </w:pPr>
          <w:r>
            <w:rPr>
              <w:rStyle w:val="PlaceholderText"/>
            </w:rPr>
            <w:t>Cliquer ou toucher ici pour introduire le texte.</w:t>
          </w:r>
        </w:p>
      </w:docPartBody>
    </w:docPart>
    <w:docPart>
      <w:docPartPr>
        <w:name w:val="AB167894DF6D4A4D92E8F8164EAFB7CE"/>
        <w:category>
          <w:name w:val="General"/>
          <w:gallery w:val="placeholder"/>
        </w:category>
        <w:types>
          <w:type w:val="bbPlcHdr"/>
        </w:types>
        <w:behaviors>
          <w:behavior w:val="content"/>
        </w:behaviors>
        <w:guid w:val="{1F19D13C-A6BF-4559-B830-1C11D06F2187}"/>
      </w:docPartPr>
      <w:docPartBody>
        <w:p xmlns:wp14="http://schemas.microsoft.com/office/word/2010/wordml" w:rsidR="00AB43F9" w:rsidP="00AB43F9" w:rsidRDefault="00AB43F9" w14:paraId="0A6E7D2E" wp14:textId="77777777">
          <w:pPr>
            <w:pStyle w:val="AB167894DF6D4A4D92E8F8164EAFB7CE"/>
          </w:pPr>
          <w:r>
            <w:rPr>
              <w:rStyle w:val="PlaceholderText"/>
            </w:rPr>
            <w:t>Cliquer ou toucher ici pour introduire le texte.</w:t>
          </w:r>
        </w:p>
      </w:docPartBody>
    </w:docPart>
    <w:docPart>
      <w:docPartPr>
        <w:name w:val="55995F7EC4D745B1948D0A7719513052"/>
        <w:category>
          <w:name w:val="General"/>
          <w:gallery w:val="placeholder"/>
        </w:category>
        <w:types>
          <w:type w:val="bbPlcHdr"/>
        </w:types>
        <w:behaviors>
          <w:behavior w:val="content"/>
        </w:behaviors>
        <w:guid w:val="{0D598C17-73D1-421B-A2AC-6AD30479E945}"/>
      </w:docPartPr>
      <w:docPartBody>
        <w:p xmlns:wp14="http://schemas.microsoft.com/office/word/2010/wordml" w:rsidR="00AB43F9" w:rsidP="00AB43F9" w:rsidRDefault="00AB43F9" w14:paraId="395578D2" wp14:textId="77777777">
          <w:pPr>
            <w:pStyle w:val="55995F7EC4D745B1948D0A7719513052"/>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8845BCB"/>
    <w:multiLevelType w:val="multilevel"/>
    <w:tmpl w:val="9A4E33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6992365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E0124"/>
    <w:rsid w:val="002F56DC"/>
    <w:rsid w:val="00534FB6"/>
    <w:rsid w:val="005A050C"/>
    <w:rsid w:val="007818B4"/>
    <w:rsid w:val="008F2A96"/>
    <w:rsid w:val="00983F83"/>
    <w:rsid w:val="00AB43F9"/>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43F9"/>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3625D93F4E14FC39E11E7C04EEDF65E">
    <w:name w:val="B3625D93F4E14FC39E11E7C04EEDF65E"/>
    <w:rsid w:val="00AB43F9"/>
    <w:pPr>
      <w:spacing w:line="278" w:lineRule="auto"/>
    </w:pPr>
    <w:rPr>
      <w:kern w:val="2"/>
      <w:sz w:val="24"/>
      <w:szCs w:val="24"/>
      <w14:ligatures w14:val="standardContextual"/>
    </w:rPr>
  </w:style>
  <w:style w:type="paragraph" w:customStyle="1" w:styleId="D30D239790E64DCFB431DBE7F1695DFD">
    <w:name w:val="D30D239790E64DCFB431DBE7F1695DFD"/>
    <w:rsid w:val="00AB43F9"/>
    <w:pPr>
      <w:spacing w:line="278" w:lineRule="auto"/>
    </w:pPr>
    <w:rPr>
      <w:kern w:val="2"/>
      <w:sz w:val="24"/>
      <w:szCs w:val="24"/>
      <w14:ligatures w14:val="standardContextual"/>
    </w:rPr>
  </w:style>
  <w:style w:type="paragraph" w:customStyle="1" w:styleId="BA5446949FB54F8CB4563A9B5244D305">
    <w:name w:val="BA5446949FB54F8CB4563A9B5244D305"/>
    <w:rsid w:val="00AB43F9"/>
    <w:pPr>
      <w:spacing w:line="278" w:lineRule="auto"/>
    </w:pPr>
    <w:rPr>
      <w:kern w:val="2"/>
      <w:sz w:val="24"/>
      <w:szCs w:val="24"/>
      <w14:ligatures w14:val="standardContextual"/>
    </w:rPr>
  </w:style>
  <w:style w:type="paragraph" w:customStyle="1" w:styleId="AB167894DF6D4A4D92E8F8164EAFB7CE">
    <w:name w:val="AB167894DF6D4A4D92E8F8164EAFB7CE"/>
    <w:rsid w:val="00AB43F9"/>
    <w:pPr>
      <w:spacing w:line="278" w:lineRule="auto"/>
    </w:pPr>
    <w:rPr>
      <w:kern w:val="2"/>
      <w:sz w:val="24"/>
      <w:szCs w:val="24"/>
      <w14:ligatures w14:val="standardContextual"/>
    </w:rPr>
  </w:style>
  <w:style w:type="paragraph" w:customStyle="1" w:styleId="55995F7EC4D745B1948D0A7719513052">
    <w:name w:val="55995F7EC4D745B1948D0A7719513052"/>
    <w:rsid w:val="00AB43F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78B930E-C014-4D81-B98D-B8C883562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1929b814-5a78-4bdc-9841-d8b9ef424f65"/>
    <ds:schemaRef ds:uri="08927195-b699-4be0-9ee2-6c66dc215b5a"/>
    <ds:schemaRef ds:uri="http://schemas.microsoft.com/office/2006/metadata/properties"/>
    <ds:schemaRef ds:uri="http://www.w3.org/XML/1998/namespace"/>
    <ds:schemaRef ds:uri="a41a97bf-0494-41d8-ba3d-259bd7771890"/>
    <ds:schemaRef ds:uri="http://schemas.microsoft.com/sharepoint/v3/fields"/>
    <ds:schemaRef ds:uri="http://purl.org/dc/dcmitype/"/>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7</revision>
  <lastPrinted>2023-04-18T07:01:00.0000000Z</lastPrinted>
  <dcterms:created xsi:type="dcterms:W3CDTF">2025-03-12T10:39:00.0000000Z</dcterms:created>
  <dcterms:modified xsi:type="dcterms:W3CDTF">2025-03-13T16:15:56.2110434Z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