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C6B6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C6B6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C6B6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C6B6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C6B6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C6B6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060076" w:rsidR="00377580" w:rsidRPr="00FF58AA" w:rsidRDefault="00FF58AA" w:rsidP="005F6927">
                <w:pPr>
                  <w:tabs>
                    <w:tab w:val="left" w:pos="426"/>
                  </w:tabs>
                  <w:rPr>
                    <w:bCs/>
                    <w:lang w:val="fr-BE" w:eastAsia="en-GB"/>
                  </w:rPr>
                </w:pPr>
                <w:r w:rsidRPr="00FF58AA">
                  <w:rPr>
                    <w:bCs/>
                    <w:lang w:val="fr-BE" w:eastAsia="en-GB"/>
                  </w:rPr>
                  <w:t>Direction générale du marché intérieur, de l’industrie, de l’entrepreneuriat et des PME (GROW) — Direction Écosystèmes III: Construction, machines et normalisation — Unité Machines et équipements</w:t>
                </w:r>
              </w:p>
            </w:tc>
          </w:sdtContent>
        </w:sdt>
      </w:tr>
      <w:tr w:rsidR="00377580" w:rsidRPr="00FF58A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6BE6730" w:rsidR="00377580" w:rsidRPr="00080A71" w:rsidRDefault="00A969DB" w:rsidP="005F6927">
                <w:pPr>
                  <w:tabs>
                    <w:tab w:val="left" w:pos="426"/>
                  </w:tabs>
                  <w:rPr>
                    <w:bCs/>
                    <w:lang w:val="en-IE" w:eastAsia="en-GB"/>
                  </w:rPr>
                </w:pPr>
                <w:r>
                  <w:rPr>
                    <w:bCs/>
                    <w:lang w:val="fr-BE" w:eastAsia="en-GB"/>
                  </w:rPr>
                  <w:t>351683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34817011"/>
                  <w:placeholder>
                    <w:docPart w:val="D1B94AB0AA044E84BE0EBA38E0B2E25F"/>
                  </w:placeholder>
                </w:sdtPr>
                <w:sdtEndPr/>
                <w:sdtContent>
                  <w:p w14:paraId="46923980" w14:textId="0EB0B465" w:rsidR="00FF58AA" w:rsidRPr="00FF58AA" w:rsidRDefault="00FF58AA" w:rsidP="00FF58AA">
                    <w:pPr>
                      <w:tabs>
                        <w:tab w:val="left" w:pos="426"/>
                      </w:tabs>
                      <w:spacing w:before="120" w:after="0"/>
                      <w:rPr>
                        <w:bCs/>
                        <w:lang w:val="fr-BE" w:eastAsia="en-GB"/>
                      </w:rPr>
                    </w:pPr>
                    <w:r w:rsidRPr="00FF58AA">
                      <w:rPr>
                        <w:bCs/>
                        <w:lang w:val="fr-BE" w:eastAsia="en-GB"/>
                      </w:rPr>
                      <w:t>Chef d’unité, Mehdi Hocine</w:t>
                    </w:r>
                  </w:p>
                  <w:p w14:paraId="369CA7C8" w14:textId="13E1ADD4" w:rsidR="00377580" w:rsidRPr="00FF58AA" w:rsidRDefault="00FF58AA" w:rsidP="00FF58AA">
                    <w:pPr>
                      <w:tabs>
                        <w:tab w:val="left" w:pos="426"/>
                      </w:tabs>
                      <w:spacing w:before="120"/>
                      <w:rPr>
                        <w:bCs/>
                        <w:lang w:val="fr-BE" w:eastAsia="en-GB"/>
                      </w:rPr>
                    </w:pPr>
                    <w:r w:rsidRPr="00FF58AA">
                      <w:rPr>
                        <w:bCs/>
                        <w:lang w:val="fr-BE" w:eastAsia="en-GB"/>
                      </w:rPr>
                      <w:t>Chef d’unité adjointe, Lidia Godlewska-Carmona</w:t>
                    </w:r>
                  </w:p>
                </w:sdtContent>
              </w:sdt>
            </w:sdtContent>
          </w:sdt>
          <w:p w14:paraId="32DD8032" w14:textId="252DDC1C" w:rsidR="00377580" w:rsidRPr="001D3EEC" w:rsidRDefault="009C6B6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58AA">
                  <w:rPr>
                    <w:bCs/>
                    <w:lang w:val="fr-BE" w:eastAsia="en-GB"/>
                  </w:rPr>
                  <w:t>2</w:t>
                </w:r>
                <w:r w:rsidR="00FF58AA" w:rsidRPr="00FF58AA">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5016C82A" w:rsidR="00377580" w:rsidRPr="001D3EEC" w:rsidRDefault="009C6B6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969DB">
                  <w:rPr>
                    <w:bCs/>
                    <w:lang w:val="fr-BE" w:eastAsia="en-GB"/>
                  </w:rPr>
                  <w:t>2</w:t>
                </w:r>
              </w:sdtContent>
            </w:sdt>
            <w:r w:rsidR="00377580" w:rsidRPr="001D3EEC">
              <w:rPr>
                <w:bCs/>
                <w:lang w:val="fr-BE" w:eastAsia="en-GB"/>
              </w:rPr>
              <w:t xml:space="preserve"> années</w:t>
            </w:r>
            <w:r w:rsidR="008857A6">
              <w:rPr>
                <w:bCs/>
                <w:lang w:val="fr-BE" w:eastAsia="en-GB"/>
              </w:rPr>
              <w:t xml:space="preserve"> </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58A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F47B6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02FF23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C6B6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C6B6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C6B6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FD291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FF58A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6545B9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5pt" o:ole="">
                  <v:imagedata r:id="rId22" o:title=""/>
                </v:shape>
                <w:control r:id="rId23" w:name="OptionButton2" w:shapeid="_x0000_i1049"/>
              </w:object>
            </w:r>
            <w:r>
              <w:rPr>
                <w:bCs/>
                <w:lang w:val="en-GB" w:eastAsia="en-GB"/>
              </w:rPr>
              <w:object w:dxaOrig="225" w:dyaOrig="225" w14:anchorId="7A15FAEE">
                <v:shape id="_x0000_i1050" type="#_x0000_t75" style="width:108pt;height:21.5pt" o:ole="">
                  <v:imagedata r:id="rId24" o:title=""/>
                </v:shape>
                <w:control r:id="rId25" w:name="OptionButton3" w:shapeid="_x0000_i1050"/>
              </w:object>
            </w:r>
          </w:p>
          <w:p w14:paraId="63DD2FA8" w14:textId="46390F8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A56D2E">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0FDDAEB9" w:rsidR="00301CA3" w:rsidRPr="006D5DAE" w:rsidRDefault="001229B2" w:rsidP="001A0074">
          <w:pPr>
            <w:rPr>
              <w:lang w:val="fr-BE" w:eastAsia="en-GB"/>
            </w:rPr>
          </w:pPr>
          <w:r w:rsidRPr="001229B2">
            <w:rPr>
              <w:lang w:val="fr-BE" w:eastAsia="en-GB"/>
            </w:rPr>
            <w:t xml:space="preserve">L’unité Machines et équipements de la DG GROW s’emploie à favoriser la compétitivité, la transition écologique/numérique, la résilience et le bon fonctionnement du marché </w:t>
          </w:r>
          <w:r w:rsidRPr="001229B2">
            <w:rPr>
              <w:lang w:val="fr-BE" w:eastAsia="en-GB"/>
            </w:rPr>
            <w:lastRenderedPageBreak/>
            <w:t xml:space="preserve">unique des industries de l’ingénierie, qui sont des fournisseurs essentiels de technologies clés génériques pour plusieurs écosystèmes industriels (mobilité, numérique, électronique, santé, etc.). Nous traitons des technologies émergentes telles que l’intelligence artificielle, la robotique, l’impression 3D et la cybersécurité (par exemple dans les secteurs des machines et des équipements radioélectriques) et encourageons également des solutions </w:t>
          </w:r>
          <w:r w:rsidR="00982507">
            <w:rPr>
              <w:lang w:val="fr-BE" w:eastAsia="en-GB"/>
            </w:rPr>
            <w:t xml:space="preserve">qui offrent un bon </w:t>
          </w:r>
          <w:r w:rsidR="00982507" w:rsidRPr="00982507">
            <w:rPr>
              <w:lang w:val="fr-BE" w:eastAsia="en-GB"/>
            </w:rPr>
            <w:t>rapport coût-efficacité</w:t>
          </w:r>
          <w:r w:rsidRPr="001229B2">
            <w:rPr>
              <w:lang w:val="fr-BE" w:eastAsia="en-GB"/>
            </w:rPr>
            <w:t xml:space="preserve"> et innovantes dans la législation (par exemple, chargeur universel pour les appareils mobiles tels que les smartphones et les ordinateurs portables, exigences de mesure pour les stations de recharge des véhicules électriques et de recharge en hydrogène et utilisation d’instructions numériques pour sauvegarder le papier). Dans ce contexte, nous gérons et suivons les progrès techniques de 23 actes législatifs relatifs au marché intérieur (par exemple, les machines, les équipements de protection individuelle, les équipements radioélectriques, les ascenseurs, les appareils à gaz, les équipements sous pression, la métrologie, etc.) afin d’atteindre un niveau élevé de sécurité, de protection des consommateurs et de l’environnement et de soutenir la compétitivité du marché unique.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F46572" w14:textId="77777777" w:rsidR="001229B2" w:rsidRPr="001229B2" w:rsidRDefault="001229B2" w:rsidP="001229B2">
          <w:pPr>
            <w:rPr>
              <w:lang w:val="fr-BE" w:eastAsia="en-GB"/>
            </w:rPr>
          </w:pPr>
          <w:r w:rsidRPr="001229B2">
            <w:rPr>
              <w:lang w:val="fr-BE" w:eastAsia="en-GB"/>
            </w:rPr>
            <w:t xml:space="preserve">L’unité Machines et équipements de la DG GROW propose un poste attrayant de juriste, qui fournirait des analyses juridiques, des orientations et un suivi sur un vaste portefeuille de la législation de l’UE relative au marché unique. Les principales tâches seraient les suivantes: </w:t>
          </w:r>
        </w:p>
        <w:p w14:paraId="0BE48CC6" w14:textId="7F131F9A" w:rsidR="001229B2" w:rsidRDefault="0060413F" w:rsidP="0060413F">
          <w:pPr>
            <w:pStyle w:val="ListParagraph"/>
            <w:numPr>
              <w:ilvl w:val="0"/>
              <w:numId w:val="26"/>
            </w:numPr>
            <w:contextualSpacing w:val="0"/>
            <w:rPr>
              <w:lang w:val="fr-BE" w:eastAsia="en-GB"/>
            </w:rPr>
          </w:pPr>
          <w:r w:rsidRPr="0060413F">
            <w:rPr>
              <w:lang w:val="fr-BE" w:eastAsia="en-GB"/>
            </w:rPr>
            <w:t>Rédiger</w:t>
          </w:r>
          <w:r w:rsidR="001229B2" w:rsidRPr="0060413F">
            <w:rPr>
              <w:lang w:val="fr-BE" w:eastAsia="en-GB"/>
            </w:rPr>
            <w:t xml:space="preserve"> de propositions législatives, d’actes et de décisions d’exécution, d’actes délégués et d’autres textes juridiques dans le domaine de compétence de l’unité. </w:t>
          </w:r>
        </w:p>
        <w:p w14:paraId="59F950E9" w14:textId="17F20CA3" w:rsidR="001229B2" w:rsidRDefault="001229B2" w:rsidP="0060413F">
          <w:pPr>
            <w:pStyle w:val="ListParagraph"/>
            <w:numPr>
              <w:ilvl w:val="0"/>
              <w:numId w:val="26"/>
            </w:numPr>
            <w:contextualSpacing w:val="0"/>
            <w:rPr>
              <w:lang w:val="fr-BE" w:eastAsia="en-GB"/>
            </w:rPr>
          </w:pPr>
          <w:r w:rsidRPr="0060413F">
            <w:rPr>
              <w:lang w:val="fr-BE" w:eastAsia="en-GB"/>
            </w:rPr>
            <w:t xml:space="preserve">Fournir des analyses et des conseils juridiques sur les plaintes, les procédures d’infraction, les notifications de règlements techniques, les demandes d’accès aux documents et d’autres questions liées à la législation gérée par l’unité. </w:t>
          </w:r>
        </w:p>
        <w:p w14:paraId="4CA1D156" w14:textId="2EF73A4E" w:rsidR="001229B2" w:rsidRDefault="001229B2" w:rsidP="001229B2">
          <w:pPr>
            <w:pStyle w:val="ListParagraph"/>
            <w:numPr>
              <w:ilvl w:val="0"/>
              <w:numId w:val="26"/>
            </w:numPr>
            <w:contextualSpacing w:val="0"/>
            <w:rPr>
              <w:lang w:val="fr-BE" w:eastAsia="en-GB"/>
            </w:rPr>
          </w:pPr>
          <w:r w:rsidRPr="0060413F">
            <w:rPr>
              <w:lang w:val="fr-BE" w:eastAsia="en-GB"/>
            </w:rPr>
            <w:t xml:space="preserve">Soutenir les activités de normalisation et assurer le suivi des travaux des organisations européennes de normalisation, en particulier préparer les décisions de la Commission de publier des normes harmonisées. </w:t>
          </w:r>
        </w:p>
        <w:p w14:paraId="76E8B026" w14:textId="46CB42DB" w:rsidR="001229B2" w:rsidRDefault="001229B2" w:rsidP="001229B2">
          <w:pPr>
            <w:pStyle w:val="ListParagraph"/>
            <w:numPr>
              <w:ilvl w:val="0"/>
              <w:numId w:val="26"/>
            </w:numPr>
            <w:contextualSpacing w:val="0"/>
            <w:rPr>
              <w:lang w:val="fr-BE" w:eastAsia="en-GB"/>
            </w:rPr>
          </w:pPr>
          <w:r w:rsidRPr="00AC4D3A">
            <w:rPr>
              <w:lang w:val="fr-BE" w:eastAsia="en-GB"/>
            </w:rPr>
            <w:t xml:space="preserve">Assurer la mise en œuvre des procédures législatives et administratives requises par la législation pertinente dans le portefeuille de l’unité, y compris les clauses de sauvegarde et les objections formelles aux normes. </w:t>
          </w:r>
        </w:p>
        <w:p w14:paraId="57BA8ED3" w14:textId="7941E2F9" w:rsidR="001229B2" w:rsidRDefault="001229B2" w:rsidP="001229B2">
          <w:pPr>
            <w:pStyle w:val="ListParagraph"/>
            <w:numPr>
              <w:ilvl w:val="0"/>
              <w:numId w:val="26"/>
            </w:numPr>
            <w:contextualSpacing w:val="0"/>
            <w:rPr>
              <w:lang w:val="fr-BE" w:eastAsia="en-GB"/>
            </w:rPr>
          </w:pPr>
          <w:r w:rsidRPr="00AC4D3A">
            <w:rPr>
              <w:lang w:val="fr-BE" w:eastAsia="en-GB"/>
            </w:rPr>
            <w:t xml:space="preserve">Examiner la législation des pays candidats et d’autres pays tiers relative au secteur de l’ingénierie mécanique, électronique et électrique, et contribuer aux dialogues internationaux sur la réglementation.  </w:t>
          </w:r>
        </w:p>
        <w:p w14:paraId="3D69C09B" w14:textId="0457AF88" w:rsidR="00301CA3" w:rsidRPr="003F59E7" w:rsidRDefault="001229B2" w:rsidP="003F59E7">
          <w:pPr>
            <w:pStyle w:val="ListParagraph"/>
            <w:numPr>
              <w:ilvl w:val="0"/>
              <w:numId w:val="26"/>
            </w:numPr>
            <w:contextualSpacing w:val="0"/>
            <w:rPr>
              <w:lang w:val="fr-BE" w:eastAsia="en-GB"/>
            </w:rPr>
          </w:pPr>
          <w:r w:rsidRPr="00AC4D3A">
            <w:rPr>
              <w:lang w:val="fr-BE" w:eastAsia="en-GB"/>
            </w:rPr>
            <w:t>Représenter l’unité lors de réunions avec d’autres institutions de l’UE (Parlement européen, Conseil), les États membres, les pays tiers, les organisations internationales, les représentants du secteur, les organisations européennes de normalisation, etc., ainsi qu’au sein des comités et groupes d’experts concernés.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3F7792" w14:textId="77777777" w:rsidR="0060413F" w:rsidRPr="0060413F" w:rsidRDefault="0060413F" w:rsidP="003F59E7">
          <w:pPr>
            <w:pStyle w:val="ListNumber"/>
            <w:numPr>
              <w:ilvl w:val="0"/>
              <w:numId w:val="0"/>
            </w:numPr>
            <w:rPr>
              <w:lang w:val="fr-BE" w:eastAsia="en-GB"/>
            </w:rPr>
          </w:pPr>
          <w:r w:rsidRPr="0060413F">
            <w:rPr>
              <w:lang w:val="fr-BE" w:eastAsia="en-GB"/>
            </w:rPr>
            <w:t xml:space="preserve">Nous recherchons un collègue motivé ayant le sens de l’initiative pour rejoindre une équipe très engagée et dynamique. </w:t>
          </w:r>
        </w:p>
        <w:p w14:paraId="0FDADD88" w14:textId="77777777" w:rsidR="0060413F" w:rsidRPr="0060413F" w:rsidRDefault="0060413F" w:rsidP="003F59E7">
          <w:pPr>
            <w:pStyle w:val="ListNumber"/>
            <w:numPr>
              <w:ilvl w:val="0"/>
              <w:numId w:val="0"/>
            </w:numPr>
            <w:ind w:left="709" w:hanging="709"/>
            <w:rPr>
              <w:lang w:val="fr-BE" w:eastAsia="en-GB"/>
            </w:rPr>
          </w:pPr>
          <w:r w:rsidRPr="0060413F">
            <w:rPr>
              <w:lang w:val="fr-BE" w:eastAsia="en-GB"/>
            </w:rPr>
            <w:t xml:space="preserve">Le candidat retenu devra avoir: </w:t>
          </w:r>
        </w:p>
        <w:p w14:paraId="5A715471" w14:textId="2E25BB00" w:rsidR="0060413F" w:rsidRDefault="0060413F" w:rsidP="003F59E7">
          <w:pPr>
            <w:pStyle w:val="ListNumber"/>
            <w:numPr>
              <w:ilvl w:val="0"/>
              <w:numId w:val="26"/>
            </w:numPr>
            <w:rPr>
              <w:lang w:val="fr-BE" w:eastAsia="en-GB"/>
            </w:rPr>
          </w:pPr>
          <w:r w:rsidRPr="0060413F">
            <w:rPr>
              <w:lang w:val="fr-BE" w:eastAsia="en-GB"/>
            </w:rPr>
            <w:lastRenderedPageBreak/>
            <w:t xml:space="preserve">au moins dix ans d’expérience juridique, dont 5 ans dans des domaines liés au marché unique de l’UE; </w:t>
          </w:r>
        </w:p>
        <w:p w14:paraId="28BE1CC9" w14:textId="77777777" w:rsidR="003F59E7" w:rsidRDefault="0060413F" w:rsidP="003F59E7">
          <w:pPr>
            <w:pStyle w:val="ListNumber"/>
            <w:numPr>
              <w:ilvl w:val="0"/>
              <w:numId w:val="26"/>
            </w:numPr>
            <w:rPr>
              <w:lang w:val="fr-BE" w:eastAsia="en-GB"/>
            </w:rPr>
          </w:pPr>
          <w:r w:rsidRPr="003F59E7">
            <w:rPr>
              <w:lang w:val="fr-BE" w:eastAsia="en-GB"/>
            </w:rPr>
            <w:t xml:space="preserve">de préférence un diplôme universitaire en droit; </w:t>
          </w:r>
        </w:p>
        <w:p w14:paraId="06ECDA0E" w14:textId="77777777" w:rsidR="003F59E7" w:rsidRDefault="0060413F" w:rsidP="003F59E7">
          <w:pPr>
            <w:pStyle w:val="ListNumber"/>
            <w:numPr>
              <w:ilvl w:val="0"/>
              <w:numId w:val="26"/>
            </w:numPr>
            <w:rPr>
              <w:lang w:val="fr-BE" w:eastAsia="en-GB"/>
            </w:rPr>
          </w:pPr>
          <w:r w:rsidRPr="003F59E7">
            <w:rPr>
              <w:lang w:val="fr-BE" w:eastAsia="en-GB"/>
            </w:rPr>
            <w:t xml:space="preserve">une expérience dans les négociations interinstitutionnelles sera un atout; </w:t>
          </w:r>
        </w:p>
        <w:p w14:paraId="46DFE9ED" w14:textId="77777777" w:rsidR="003F59E7" w:rsidRDefault="0060413F" w:rsidP="003F59E7">
          <w:pPr>
            <w:pStyle w:val="ListNumber"/>
            <w:numPr>
              <w:ilvl w:val="0"/>
              <w:numId w:val="26"/>
            </w:numPr>
            <w:rPr>
              <w:lang w:val="fr-BE" w:eastAsia="en-GB"/>
            </w:rPr>
          </w:pPr>
          <w:r w:rsidRPr="003F59E7">
            <w:rPr>
              <w:lang w:val="fr-BE" w:eastAsia="en-GB"/>
            </w:rPr>
            <w:t xml:space="preserve">une aptitude à analyser et à présenter rapidement des questions juridiques et techniques complexes, oralement et par écrit, avec d’excellentes compétences rédactionnelles; </w:t>
          </w:r>
        </w:p>
        <w:p w14:paraId="724F84B8" w14:textId="77777777" w:rsidR="003F59E7" w:rsidRDefault="0060413F" w:rsidP="003F59E7">
          <w:pPr>
            <w:pStyle w:val="ListNumber"/>
            <w:numPr>
              <w:ilvl w:val="0"/>
              <w:numId w:val="26"/>
            </w:numPr>
            <w:rPr>
              <w:lang w:val="fr-BE" w:eastAsia="en-GB"/>
            </w:rPr>
          </w:pPr>
          <w:r w:rsidRPr="003F59E7">
            <w:rPr>
              <w:lang w:val="fr-BE" w:eastAsia="en-GB"/>
            </w:rPr>
            <w:t xml:space="preserve">une approche proactive, une capacité à travailler en équipe et à collaborer avec des collègues et des parties prenantes en dehors de la Commission; </w:t>
          </w:r>
        </w:p>
        <w:p w14:paraId="5D76C15C" w14:textId="68361B39" w:rsidR="00F65CC2" w:rsidRPr="003F59E7" w:rsidRDefault="0060413F" w:rsidP="00377580">
          <w:pPr>
            <w:pStyle w:val="ListNumber"/>
            <w:numPr>
              <w:ilvl w:val="0"/>
              <w:numId w:val="26"/>
            </w:numPr>
            <w:rPr>
              <w:lang w:val="fr-BE" w:eastAsia="en-GB"/>
            </w:rPr>
          </w:pPr>
          <w:r w:rsidRPr="003F59E7">
            <w:rPr>
              <w:lang w:val="fr-BE" w:eastAsia="en-GB"/>
            </w:rPr>
            <w:t>une très bonne connaissance de l’anglais est nécessaire. Une bonne connaissance du français et/ou de l’allemand serait un atout.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2D10343"/>
    <w:multiLevelType w:val="hybridMultilevel"/>
    <w:tmpl w:val="75860E60"/>
    <w:lvl w:ilvl="0" w:tplc="1DC0C40C">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298684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29B2"/>
    <w:rsid w:val="001A0074"/>
    <w:rsid w:val="001C107F"/>
    <w:rsid w:val="001D3EEC"/>
    <w:rsid w:val="00215A56"/>
    <w:rsid w:val="0028413D"/>
    <w:rsid w:val="002841B7"/>
    <w:rsid w:val="00291B97"/>
    <w:rsid w:val="002A6E30"/>
    <w:rsid w:val="002B37EB"/>
    <w:rsid w:val="00301CA3"/>
    <w:rsid w:val="00377580"/>
    <w:rsid w:val="003836CD"/>
    <w:rsid w:val="00394581"/>
    <w:rsid w:val="003F59E7"/>
    <w:rsid w:val="00442CF5"/>
    <w:rsid w:val="00443957"/>
    <w:rsid w:val="00462268"/>
    <w:rsid w:val="004A4BB7"/>
    <w:rsid w:val="004D3B51"/>
    <w:rsid w:val="0053405E"/>
    <w:rsid w:val="00556CBD"/>
    <w:rsid w:val="0060413F"/>
    <w:rsid w:val="006A1CB2"/>
    <w:rsid w:val="006B47B6"/>
    <w:rsid w:val="006D5DAE"/>
    <w:rsid w:val="006F23BA"/>
    <w:rsid w:val="00716BC5"/>
    <w:rsid w:val="0074301E"/>
    <w:rsid w:val="007A10AA"/>
    <w:rsid w:val="007A1396"/>
    <w:rsid w:val="007B5FAE"/>
    <w:rsid w:val="007E131B"/>
    <w:rsid w:val="007E4F35"/>
    <w:rsid w:val="0080444D"/>
    <w:rsid w:val="008241B0"/>
    <w:rsid w:val="00827710"/>
    <w:rsid w:val="008315CD"/>
    <w:rsid w:val="00866E7F"/>
    <w:rsid w:val="008857A6"/>
    <w:rsid w:val="008A0FF3"/>
    <w:rsid w:val="0092295D"/>
    <w:rsid w:val="00982507"/>
    <w:rsid w:val="009C6B66"/>
    <w:rsid w:val="00A56D2E"/>
    <w:rsid w:val="00A65B97"/>
    <w:rsid w:val="00A917BE"/>
    <w:rsid w:val="00A9290A"/>
    <w:rsid w:val="00A969DB"/>
    <w:rsid w:val="00AA19E6"/>
    <w:rsid w:val="00AC4D3A"/>
    <w:rsid w:val="00B31DC8"/>
    <w:rsid w:val="00B566C1"/>
    <w:rsid w:val="00BF389A"/>
    <w:rsid w:val="00C518F5"/>
    <w:rsid w:val="00D703FC"/>
    <w:rsid w:val="00D82B48"/>
    <w:rsid w:val="00DC5C83"/>
    <w:rsid w:val="00E0579E"/>
    <w:rsid w:val="00E5708E"/>
    <w:rsid w:val="00E850B7"/>
    <w:rsid w:val="00E927FE"/>
    <w:rsid w:val="00F65CC2"/>
    <w:rsid w:val="00FF5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604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1B94AB0AA044E84BE0EBA38E0B2E25F"/>
        <w:category>
          <w:name w:val="General"/>
          <w:gallery w:val="placeholder"/>
        </w:category>
        <w:types>
          <w:type w:val="bbPlcHdr"/>
        </w:types>
        <w:behaviors>
          <w:behavior w:val="content"/>
        </w:behaviors>
        <w:guid w:val="{90DB2D67-471A-4E0B-B9B2-5072C7F0E856}"/>
      </w:docPartPr>
      <w:docPartBody>
        <w:p w:rsidR="0058136D" w:rsidRDefault="0058136D" w:rsidP="0058136D">
          <w:pPr>
            <w:pStyle w:val="D1B94AB0AA044E84BE0EBA38E0B2E25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8B6A2F"/>
    <w:multiLevelType w:val="multilevel"/>
    <w:tmpl w:val="A8DCB4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9447621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C107F"/>
    <w:rsid w:val="00534FB6"/>
    <w:rsid w:val="0058136D"/>
    <w:rsid w:val="00716BC5"/>
    <w:rsid w:val="007818B4"/>
    <w:rsid w:val="008F2A96"/>
    <w:rsid w:val="00983F83"/>
    <w:rsid w:val="00A9290A"/>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8136D"/>
    <w:rPr>
      <w:color w:val="288061"/>
    </w:rPr>
  </w:style>
  <w:style w:type="paragraph" w:customStyle="1" w:styleId="D1B94AB0AA044E84BE0EBA38E0B2E25F">
    <w:name w:val="D1B94AB0AA044E84BE0EBA38E0B2E25F"/>
    <w:rsid w:val="0058136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F8BC95D-1C25-4206-AB64-7888D8468819}"/>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dcmitype/"/>
    <ds:schemaRef ds:uri="http://schemas.openxmlformats.org/package/2006/metadata/core-properties"/>
    <ds:schemaRef ds:uri="1929b814-5a78-4bdc-9841-d8b9ef424f65"/>
    <ds:schemaRef ds:uri="http://schemas.microsoft.com/office/infopath/2007/PartnerControls"/>
    <ds:schemaRef ds:uri="http://schemas.microsoft.com/office/2006/documentManagement/types"/>
    <ds:schemaRef ds:uri="http://schemas.microsoft.com/office/2006/metadata/properties"/>
    <ds:schemaRef ds:uri="http://schemas.microsoft.com/sharepoint/v3/fields"/>
    <ds:schemaRef ds:uri="a41a97bf-0494-41d8-ba3d-259bd7771890"/>
    <ds:schemaRef ds:uri="http://purl.org/dc/terms/"/>
    <ds:schemaRef ds:uri="08927195-b699-4be0-9ee2-6c66dc215b5a"/>
    <ds:schemaRef ds:uri="http://www.w3.org/XML/1998/namespace"/>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1403</Words>
  <Characters>7999</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GODLEWSKA-CARMONA Lidia (GROW)</cp:lastModifiedBy>
  <cp:revision>15</cp:revision>
  <cp:lastPrinted>2023-04-18T07:01:00Z</cp:lastPrinted>
  <dcterms:created xsi:type="dcterms:W3CDTF">2025-02-07T09:00:00Z</dcterms:created>
  <dcterms:modified xsi:type="dcterms:W3CDTF">2025-02-07T13:10:00Z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