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r Europäischen Kommission: 12 gelbe Sterne, die kreisförmig auf einem blauen Hintergrund angeordnet sind und von zwei hellgrauen Silhouetten eingerahmt werden, die das Berlaymont-Gebäude, den Hauptsitz der Europäischen Kommission, da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95BAC">
                <w:pPr>
                  <w:pStyle w:val="ZCom"/>
                </w:pPr>
                <w:sdt>
                  <w:sdtPr>
                    <w:id w:val="1852987933"/>
                    <w:dataBinding w:xpath="/Texts/OrgaRoot" w:storeItemID="{4EF90DE6-88B6-4264-9629-4D8DFDFE87D2}"/>
                    <w:text w:multiLine="1"/>
                  </w:sdtPr>
                  <w:sdtEndPr/>
                  <w:sdtContent>
                    <w:r w:rsidR="00402725">
                      <w:t>EUROPÄISCHE KOMMISSION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bookmarkStart w:id="0" w:name="_Hlk187409757"/>
      <w:r>
        <w:t>STELLENAUSSCHREIBUNG FÜR DIE STELLE EINES/EINER ABGEORDNETEN NATIONALEN SACHVERSTÄNDIGEN</w:t>
      </w:r>
      <w:bookmarkEnd w:id="0"/>
    </w:p>
    <w:tbl>
      <w:tblPr>
        <w:tblStyle w:val="TableGrid"/>
        <w:tblW w:w="0" w:type="auto"/>
        <w:tblLayout w:type="fixed"/>
        <w:tblLook w:val="04A0" w:firstRow="1" w:lastRow="0" w:firstColumn="1" w:lastColumn="0" w:noHBand="0" w:noVBand="1"/>
      </w:tblPr>
      <w:tblGrid>
        <w:gridCol w:w="3111"/>
        <w:gridCol w:w="5161"/>
      </w:tblGrid>
      <w:tr w:rsidR="00B65513" w:rsidRPr="00AF417C" w14:paraId="6C83529A" w14:textId="77777777" w:rsidTr="005F22AC">
        <w:tc>
          <w:tcPr>
            <w:tcW w:w="3111" w:type="dxa"/>
          </w:tcPr>
          <w:p w14:paraId="6D76206F" w14:textId="2B783D2D" w:rsidR="00B65513" w:rsidRPr="0007110E" w:rsidRDefault="00B65513" w:rsidP="00E82667">
            <w:pPr>
              <w:tabs>
                <w:tab w:val="left" w:pos="426"/>
              </w:tabs>
              <w:spacing w:before="120"/>
              <w:rPr>
                <w:bCs/>
              </w:rPr>
            </w:pPr>
            <w:bookmarkStart w:id="1" w:name="_Hlk132128466"/>
            <w:r>
              <w:t>GD – Direktion – Referat</w:t>
            </w:r>
          </w:p>
        </w:tc>
        <w:sdt>
          <w:sdtPr>
            <w:rPr>
              <w:bCs/>
            </w:rPr>
            <w:id w:val="-1729989648"/>
            <w:placeholder>
              <w:docPart w:val="70AAD37E9A1F4B5EA5C1270588299908"/>
            </w:placeholder>
          </w:sdtPr>
          <w:sdtEndPr/>
          <w:sdtContent>
            <w:tc>
              <w:tcPr>
                <w:tcW w:w="5161" w:type="dxa"/>
              </w:tcPr>
              <w:p w14:paraId="30E13C07" w14:textId="77777777" w:rsidR="005B21EF" w:rsidRDefault="005B21EF" w:rsidP="00E82667">
                <w:pPr>
                  <w:tabs>
                    <w:tab w:val="left" w:pos="426"/>
                  </w:tabs>
                  <w:spacing w:before="120"/>
                  <w:rPr>
                    <w:bCs/>
                  </w:rPr>
                </w:pPr>
                <w:r>
                  <w:t>GD SANTE – C.</w:t>
                </w:r>
                <w:r w:rsidRPr="0022087F">
                  <w:t>2</w:t>
                </w:r>
              </w:p>
              <w:p w14:paraId="786241CD" w14:textId="7753356F" w:rsidR="00B65513" w:rsidRPr="0007110E" w:rsidRDefault="005B21EF" w:rsidP="00E82667">
                <w:pPr>
                  <w:tabs>
                    <w:tab w:val="left" w:pos="426"/>
                  </w:tabs>
                  <w:spacing w:before="120"/>
                  <w:rPr>
                    <w:bCs/>
                  </w:rPr>
                </w:pPr>
                <w:r>
                  <w:rPr>
                    <w:rFonts w:ascii="Verdana" w:hAnsi="Verdana"/>
                    <w:color w:val="666666"/>
                    <w:sz w:val="19"/>
                    <w:shd w:val="clear" w:color="auto" w:fill="FFFFFF"/>
                  </w:rPr>
                  <w:t>Gesundheitszustand, Europäisches Semester, Bewertung der Gesundheitstechnologie</w:t>
                </w:r>
              </w:p>
            </w:tc>
          </w:sdtContent>
        </w:sdt>
      </w:tr>
      <w:tr w:rsidR="00D96984" w:rsidRPr="00AF417C" w14:paraId="4B8EFB62" w14:textId="77777777" w:rsidTr="005F22AC">
        <w:tc>
          <w:tcPr>
            <w:tcW w:w="3111" w:type="dxa"/>
          </w:tcPr>
          <w:p w14:paraId="51EA5B20" w14:textId="30D9C7F2" w:rsidR="00D96984" w:rsidRPr="0007110E" w:rsidRDefault="00D96984" w:rsidP="00E82667">
            <w:pPr>
              <w:tabs>
                <w:tab w:val="left" w:pos="426"/>
              </w:tabs>
              <w:spacing w:before="120"/>
              <w:rPr>
                <w:bCs/>
              </w:rPr>
            </w:pPr>
            <w:r>
              <w:t>Stellennummer in Sysper:</w:t>
            </w:r>
          </w:p>
        </w:tc>
        <w:sdt>
          <w:sdtPr>
            <w:rPr>
              <w:bCs/>
            </w:rPr>
            <w:id w:val="-686597872"/>
            <w:placeholder>
              <w:docPart w:val="722A130BB2FD42CB99AF58537814D26D"/>
            </w:placeholder>
          </w:sdtPr>
          <w:sdtEndPr/>
          <w:sdtContent>
            <w:tc>
              <w:tcPr>
                <w:tcW w:w="5161" w:type="dxa"/>
              </w:tcPr>
              <w:p w14:paraId="26B6BD75" w14:textId="5EFB0F21" w:rsidR="00D96984" w:rsidRPr="0007110E" w:rsidRDefault="005B21EF" w:rsidP="00E82667">
                <w:pPr>
                  <w:tabs>
                    <w:tab w:val="left" w:pos="426"/>
                  </w:tabs>
                  <w:spacing w:before="120"/>
                  <w:rPr>
                    <w:bCs/>
                  </w:rPr>
                </w:pPr>
                <w:r w:rsidRPr="0022087F">
                  <w:t>366915</w:t>
                </w:r>
              </w:p>
            </w:tc>
          </w:sdtContent>
        </w:sdt>
      </w:tr>
      <w:tr w:rsidR="00E21DBD" w:rsidRPr="00AF417C" w14:paraId="4E8359D5" w14:textId="77777777" w:rsidTr="005F22AC">
        <w:tc>
          <w:tcPr>
            <w:tcW w:w="3111" w:type="dxa"/>
          </w:tcPr>
          <w:p w14:paraId="72A7A894" w14:textId="1DC6A465" w:rsidR="00E21DBD" w:rsidRPr="0007110E" w:rsidRDefault="00B65513" w:rsidP="00E82667">
            <w:pPr>
              <w:tabs>
                <w:tab w:val="left" w:pos="1697"/>
              </w:tabs>
              <w:spacing w:before="120"/>
              <w:ind w:right="-1741"/>
              <w:rPr>
                <w:bCs/>
                <w:szCs w:val="24"/>
              </w:rPr>
            </w:pPr>
            <w:r>
              <w:t>Kontaktperson:</w:t>
            </w:r>
          </w:p>
          <w:p w14:paraId="1BD76B84" w14:textId="2ED3769A" w:rsidR="00E21DBD" w:rsidRPr="0007110E" w:rsidRDefault="00C75BA4" w:rsidP="00E82667">
            <w:pPr>
              <w:tabs>
                <w:tab w:val="left" w:pos="1697"/>
              </w:tabs>
              <w:ind w:right="-1739"/>
              <w:contextualSpacing/>
              <w:rPr>
                <w:bCs/>
                <w:szCs w:val="24"/>
              </w:rPr>
            </w:pPr>
            <w:r>
              <w:t>Gewünschter Dienstantritt:</w:t>
            </w:r>
          </w:p>
          <w:p w14:paraId="324479C0" w14:textId="6E052826" w:rsidR="00E21DBD" w:rsidRPr="0007110E" w:rsidRDefault="00C75BA4" w:rsidP="00E82667">
            <w:pPr>
              <w:tabs>
                <w:tab w:val="left" w:pos="1697"/>
              </w:tabs>
              <w:ind w:right="-1739"/>
              <w:contextualSpacing/>
              <w:rPr>
                <w:bCs/>
                <w:szCs w:val="24"/>
              </w:rPr>
            </w:pPr>
            <w:r>
              <w:t xml:space="preserve">Dauer der </w:t>
            </w:r>
            <w:r w:rsidRPr="0022087F">
              <w:t>1</w:t>
            </w:r>
            <w:r>
              <w:t>. Abordnung:</w:t>
            </w:r>
          </w:p>
          <w:p w14:paraId="07FF8994" w14:textId="77777777" w:rsidR="00E21DBD" w:rsidRPr="0007110E" w:rsidRDefault="00E21DBD" w:rsidP="00E82667">
            <w:pPr>
              <w:tabs>
                <w:tab w:val="left" w:pos="426"/>
              </w:tabs>
              <w:spacing w:after="0"/>
              <w:contextualSpacing/>
              <w:rPr>
                <w:bCs/>
              </w:rPr>
            </w:pPr>
            <w:r>
              <w:t>Dienstort:</w:t>
            </w:r>
          </w:p>
        </w:tc>
        <w:tc>
          <w:tcPr>
            <w:tcW w:w="5161" w:type="dxa"/>
          </w:tcPr>
          <w:sdt>
            <w:sdtPr>
              <w:rPr>
                <w:bCs/>
              </w:rPr>
              <w:id w:val="226507670"/>
              <w:placeholder>
                <w:docPart w:val="E4139A8A81AD41B0A456F71CC855670B"/>
              </w:placeholder>
            </w:sdtPr>
            <w:sdtEndPr/>
            <w:sdtContent>
              <w:p w14:paraId="714DA989" w14:textId="1AF272F0" w:rsidR="00E21DBD" w:rsidRPr="0007110E" w:rsidRDefault="005B21EF" w:rsidP="00E82667">
                <w:pPr>
                  <w:tabs>
                    <w:tab w:val="left" w:pos="426"/>
                  </w:tabs>
                  <w:spacing w:before="120"/>
                  <w:rPr>
                    <w:bCs/>
                  </w:rPr>
                </w:pPr>
                <w:r>
                  <w:t>Maya MATTHEWS</w:t>
                </w:r>
              </w:p>
            </w:sdtContent>
          </w:sdt>
          <w:p w14:paraId="34CF737A" w14:textId="4630724B" w:rsidR="00E21DBD" w:rsidRPr="0007110E" w:rsidRDefault="00995BAC" w:rsidP="00E82667">
            <w:pPr>
              <w:tabs>
                <w:tab w:val="left" w:pos="426"/>
              </w:tabs>
              <w:contextualSpacing/>
              <w:rPr>
                <w:bCs/>
              </w:rPr>
            </w:pPr>
            <w:sdt>
              <w:sdtPr>
                <w:rPr>
                  <w:bCs/>
                </w:rPr>
                <w:id w:val="1175461244"/>
                <w:placeholder>
                  <w:docPart w:val="DefaultPlaceholder_-1854013440"/>
                </w:placeholder>
              </w:sdtPr>
              <w:sdtEndPr/>
              <w:sdtContent>
                <w:r w:rsidR="00402725" w:rsidRPr="0022087F">
                  <w:t>2</w:t>
                </w:r>
                <w:r w:rsidR="0022087F">
                  <w:t>.</w:t>
                </w:r>
                <w:r w:rsidR="00402725">
                  <w:t xml:space="preserve"> </w:t>
                </w:r>
              </w:sdtContent>
            </w:sdt>
            <w:r w:rsidR="0022087F">
              <w:t>Q</w:t>
            </w:r>
            <w:r w:rsidR="00402725">
              <w:t>uart</w:t>
            </w:r>
            <w:r w:rsidR="0022087F">
              <w:t>al</w:t>
            </w:r>
            <w:r w:rsidR="00402725">
              <w:t xml:space="preserve"> </w:t>
            </w:r>
            <w:sdt>
              <w:sdtPr>
                <w:rPr>
                  <w:bCs/>
                </w:rPr>
                <w:alias w:val="Jah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02725" w:rsidRPr="0022087F">
                  <w:t>2025</w:t>
                </w:r>
              </w:sdtContent>
            </w:sdt>
          </w:p>
          <w:p w14:paraId="158DD156" w14:textId="4C701218" w:rsidR="00E21DBD" w:rsidRPr="0007110E" w:rsidRDefault="00995BAC" w:rsidP="00E82667">
            <w:pPr>
              <w:tabs>
                <w:tab w:val="left" w:pos="426"/>
              </w:tabs>
              <w:contextualSpacing/>
              <w:jc w:val="left"/>
              <w:rPr>
                <w:bCs/>
                <w:szCs w:val="24"/>
              </w:rPr>
            </w:pPr>
            <w:sdt>
              <w:sdtPr>
                <w:rPr>
                  <w:bCs/>
                </w:rPr>
                <w:id w:val="202528730"/>
                <w:placeholder>
                  <w:docPart w:val="DefaultPlaceholder_-1854013440"/>
                </w:placeholder>
              </w:sdtPr>
              <w:sdtEndPr/>
              <w:sdtContent>
                <w:r w:rsidR="00402725" w:rsidRPr="0022087F">
                  <w:t>2</w:t>
                </w:r>
              </w:sdtContent>
            </w:sdt>
            <w:r w:rsidR="00402725">
              <w:t> Jahre</w:t>
            </w:r>
            <w:r w:rsidR="00402725">
              <w:br/>
            </w:r>
            <w:sdt>
              <w:sdtPr>
                <w:rPr>
                  <w:bCs/>
                  <w:szCs w:val="24"/>
                </w:rPr>
                <w:id w:val="-69433268"/>
                <w14:checkbox>
                  <w14:checked w14:val="1"/>
                  <w14:checkedState w14:val="2612" w14:font="MS Gothic"/>
                  <w14:uncheckedState w14:val="2610" w14:font="MS Gothic"/>
                </w14:checkbox>
              </w:sdtPr>
              <w:sdtEndPr/>
              <w:sdtContent>
                <w:r w:rsidR="005B21EF">
                  <w:rPr>
                    <w:rFonts w:ascii="MS Gothic" w:eastAsia="MS Gothic" w:hAnsi="MS Gothic" w:hint="eastAsia"/>
                    <w:bCs/>
                    <w:szCs w:val="24"/>
                    <w:lang w:eastAsia="en-GB"/>
                  </w:rPr>
                  <w:t>☒</w:t>
                </w:r>
              </w:sdtContent>
            </w:sdt>
            <w:r w:rsidR="00402725">
              <w:t xml:space="preserve"> Brüssel </w:t>
            </w:r>
            <w:sdt>
              <w:sdtPr>
                <w:rPr>
                  <w:bCs/>
                  <w:szCs w:val="24"/>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402725">
              <w:t xml:space="preserve"> Luxemburg</w:t>
            </w:r>
            <w:r w:rsidR="005F22AC">
              <w:t xml:space="preserve">  </w:t>
            </w:r>
            <w:r w:rsidR="00402725">
              <w:t xml:space="preserve"> </w:t>
            </w:r>
            <w:sdt>
              <w:sdtPr>
                <w:rPr>
                  <w:bCs/>
                  <w:szCs w:val="24"/>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402725">
              <w:t xml:space="preserve"> anderer Ort: </w:t>
            </w:r>
            <w:sdt>
              <w:sdtPr>
                <w:rPr>
                  <w:bCs/>
                  <w:szCs w:val="24"/>
                </w:rPr>
                <w:id w:val="-186994276"/>
                <w:placeholder>
                  <w:docPart w:val="42CE55A0461841A39534A5E777539A67"/>
                </w:placeholder>
                <w:showingPlcHdr/>
              </w:sdtPr>
              <w:sdtEndPr/>
              <w:sdtContent>
                <w:r w:rsidR="00402725">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5F22AC">
        <w:tc>
          <w:tcPr>
            <w:tcW w:w="3111" w:type="dxa"/>
          </w:tcPr>
          <w:p w14:paraId="201A3100" w14:textId="67E5037A" w:rsidR="00E21DBD" w:rsidRPr="0007110E" w:rsidRDefault="002C49D0" w:rsidP="002C49D0">
            <w:pPr>
              <w:tabs>
                <w:tab w:val="left" w:pos="426"/>
              </w:tabs>
              <w:spacing w:before="180" w:after="0"/>
              <w:rPr>
                <w:bCs/>
              </w:rPr>
            </w:pPr>
            <w:bookmarkStart w:id="2" w:name="_Hlk135920176"/>
            <w:r>
              <w:t>Art der Abordnung</w:t>
            </w:r>
          </w:p>
        </w:tc>
        <w:tc>
          <w:tcPr>
            <w:tcW w:w="5161" w:type="dxa"/>
          </w:tcPr>
          <w:p w14:paraId="6B14399A" w14:textId="3693D20F" w:rsidR="00E21DBD" w:rsidRPr="0007110E" w:rsidRDefault="008F4BA9" w:rsidP="00E82667">
            <w:pPr>
              <w:tabs>
                <w:tab w:val="left" w:pos="426"/>
              </w:tabs>
              <w:spacing w:before="120"/>
              <w:rPr>
                <w:bCs/>
              </w:rPr>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F4665F">
        <w:trPr>
          <w:trHeight w:val="3825"/>
        </w:trPr>
        <w:tc>
          <w:tcPr>
            <w:tcW w:w="8272" w:type="dxa"/>
            <w:gridSpan w:val="2"/>
          </w:tcPr>
          <w:p w14:paraId="582FFE97" w14:textId="66E127F3" w:rsidR="00E21DBD" w:rsidRPr="0007110E" w:rsidRDefault="00E21DBD" w:rsidP="00E82667">
            <w:pPr>
              <w:tabs>
                <w:tab w:val="left" w:pos="426"/>
              </w:tabs>
              <w:spacing w:before="120"/>
              <w:rPr>
                <w:bCs/>
              </w:rPr>
            </w:pPr>
            <w:r>
              <w:t>Auf diese Stellenausschreibung können sich bewerben:</w:t>
            </w:r>
          </w:p>
          <w:p w14:paraId="4446CE69" w14:textId="0F79B573" w:rsidR="00E21DBD" w:rsidRDefault="00E82667" w:rsidP="00F4665F">
            <w:pPr>
              <w:tabs>
                <w:tab w:val="left" w:pos="426"/>
                <w:tab w:val="left" w:pos="2648"/>
              </w:tabs>
              <w:contextualSpacing/>
              <w:rPr>
                <w:bCs/>
                <w:szCs w:val="24"/>
              </w:rPr>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rPr>
            </w:pPr>
            <w:r>
              <w:t>sowie</w:t>
            </w:r>
          </w:p>
          <w:p w14:paraId="48418475" w14:textId="6331CDD6" w:rsidR="0040388A" w:rsidRPr="0007110E" w:rsidRDefault="00995BAC"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2725">
              <w:t xml:space="preserve"> Bedienstete aus folgenden EFTA-Staaten:</w:t>
            </w:r>
          </w:p>
          <w:p w14:paraId="14835B5E" w14:textId="0067ECAF" w:rsidR="0040388A" w:rsidRPr="0007110E"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Island</w:t>
            </w:r>
            <w:r w:rsidR="005F22AC">
              <w:t xml:space="preserve">  </w:t>
            </w:r>
            <w:r>
              <w:t xml:space="preserve"> </w:t>
            </w:r>
            <w:sdt>
              <w:sdtPr>
                <w:rPr>
                  <w:bCs/>
                  <w:szCs w:val="24"/>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Liechtenstein</w:t>
            </w:r>
            <w:r w:rsidR="005F22AC">
              <w:t xml:space="preserve">  </w:t>
            </w:r>
            <w:r>
              <w:t xml:space="preserve"> </w:t>
            </w:r>
            <w:sdt>
              <w:sdtPr>
                <w:rPr>
                  <w:bCs/>
                  <w:szCs w:val="24"/>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Norwegen</w:t>
            </w:r>
            <w:r w:rsidR="005F22AC">
              <w:t xml:space="preserve">  </w:t>
            </w:r>
            <w:r>
              <w:t xml:space="preserve"> </w:t>
            </w:r>
            <w:sdt>
              <w:sdtPr>
                <w:rPr>
                  <w:bCs/>
                  <w:szCs w:val="24"/>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Schweiz</w:t>
            </w:r>
          </w:p>
          <w:p w14:paraId="0E54D6FB" w14:textId="4EF3712C" w:rsidR="0040388A" w:rsidRPr="0007110E" w:rsidRDefault="00995BAC"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2725">
              <w:t xml:space="preserve"> Bedienstete aus folgenden Drittländern: </w:t>
            </w:r>
            <w:sdt>
              <w:sdtPr>
                <w:rPr>
                  <w:bCs/>
                  <w:szCs w:val="24"/>
                </w:rPr>
                <w:id w:val="1742369941"/>
                <w:placeholder>
                  <w:docPart w:val="335C0F1576B3499F8D90CE979ABE47D4"/>
                </w:placeholder>
                <w:showingPlcHdr/>
              </w:sdtPr>
              <w:sdtEndPr/>
              <w:sdtContent>
                <w:r w:rsidR="00402725">
                  <w:rPr>
                    <w:rStyle w:val="PlaceholderText"/>
                  </w:rPr>
                  <w:t xml:space="preserve"> ….    </w:t>
                </w:r>
              </w:sdtContent>
            </w:sdt>
          </w:p>
          <w:p w14:paraId="265CD5A1" w14:textId="0FD11D7C" w:rsidR="0040388A" w:rsidRDefault="00995BAC"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2725">
              <w:t xml:space="preserve"> Bedienstete folgender zwischenstaatlicher Organisationen:</w:t>
            </w:r>
            <w:r w:rsidR="00402725">
              <w:tab/>
            </w:r>
            <w:sdt>
              <w:sdtPr>
                <w:rPr>
                  <w:bCs/>
                  <w:szCs w:val="24"/>
                </w:rPr>
                <w:id w:val="1349070026"/>
                <w:placeholder>
                  <w:docPart w:val="42F8A5B327594E519C9F00EDCE7CD95B"/>
                </w:placeholder>
                <w:showingPlcHdr/>
              </w:sdtPr>
              <w:sdtEndPr/>
              <w:sdtContent>
                <w:r w:rsidR="00402725">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7ED75638" w:rsidR="00E21DBD" w:rsidRPr="0007110E" w:rsidRDefault="00E82667" w:rsidP="00252050">
            <w:pPr>
              <w:tabs>
                <w:tab w:val="left" w:pos="426"/>
              </w:tabs>
              <w:rPr>
                <w:bCs/>
              </w:rPr>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DF1E49" w:rsidRPr="00AF417C" w14:paraId="4E10CC7A" w14:textId="77777777" w:rsidTr="005F22AC">
        <w:tc>
          <w:tcPr>
            <w:tcW w:w="3111" w:type="dxa"/>
          </w:tcPr>
          <w:p w14:paraId="4B77822C" w14:textId="5EFC4255" w:rsidR="00DF1E49" w:rsidRPr="0007110E" w:rsidRDefault="00DF1E49" w:rsidP="002C49D0">
            <w:pPr>
              <w:tabs>
                <w:tab w:val="left" w:pos="426"/>
              </w:tabs>
              <w:spacing w:before="180"/>
              <w:rPr>
                <w:bCs/>
              </w:rPr>
            </w:pPr>
            <w:r>
              <w:t>Bewerbungsfrist</w:t>
            </w:r>
          </w:p>
        </w:tc>
        <w:tc>
          <w:tcPr>
            <w:tcW w:w="5161" w:type="dxa"/>
          </w:tcPr>
          <w:p w14:paraId="240262F4" w14:textId="4B3E50E6" w:rsidR="00DF1E49" w:rsidRDefault="00E82667" w:rsidP="00E82667">
            <w:pPr>
              <w:tabs>
                <w:tab w:val="left" w:pos="426"/>
              </w:tabs>
              <w:spacing w:before="120" w:after="120"/>
              <w:rPr>
                <w:bCs/>
                <w:szCs w:val="24"/>
              </w:rPr>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p w14:paraId="42C9AD79" w14:textId="1C94612A" w:rsidR="002C13C3" w:rsidRPr="0007110E" w:rsidRDefault="002C13C3" w:rsidP="00E82667">
            <w:pPr>
              <w:tabs>
                <w:tab w:val="left" w:pos="426"/>
              </w:tabs>
              <w:spacing w:before="120" w:after="120"/>
              <w:rPr>
                <w:bCs/>
              </w:rPr>
            </w:pPr>
            <w:r>
              <w:t xml:space="preserve">Ende der Bewerbungsfrist: </w:t>
            </w:r>
            <w:sdt>
              <w:sdtPr>
                <w:rPr>
                  <w:bCs/>
                </w:rPr>
                <w:id w:val="319154040"/>
                <w:placeholder>
                  <w:docPart w:val="F8087F2A3C014B809064D3423F4C13C9"/>
                </w:placeholder>
                <w:date w:fullDate="2025-03-25T00:00:00Z">
                  <w:dateFormat w:val="dd-MM-yyyy"/>
                  <w:lid w:val="de-DE"/>
                  <w:storeMappedDataAs w:val="dateTime"/>
                  <w:calendar w:val="gregorian"/>
                </w:date>
              </w:sdtPr>
              <w:sdtEndPr/>
              <w:sdtContent>
                <w:r w:rsidR="00995BAC">
                  <w:rPr>
                    <w:bCs/>
                  </w:rPr>
                  <w:t>25-03-2025</w:t>
                </w:r>
              </w:sdtContent>
            </w:sdt>
          </w:p>
        </w:tc>
      </w:tr>
      <w:bookmarkEnd w:id="1"/>
      <w:bookmarkEnd w:id="2"/>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pPr>
      <w:bookmarkStart w:id="3" w:name="_Hlk132129090"/>
      <w:r>
        <w:rPr>
          <w:b/>
        </w:rPr>
        <w:t>Vorstellung der Dienststelle (Wer wir sind)</w:t>
      </w:r>
    </w:p>
    <w:bookmarkStart w:id="4" w:name="_Hlk187410181" w:displacedByCustomXml="next"/>
    <w:sdt>
      <w:sdtPr>
        <w:id w:val="1822233941"/>
        <w:placeholder>
          <w:docPart w:val="A1D7C4E93E5D41968C9784C962AACA55"/>
        </w:placeholder>
      </w:sdtPr>
      <w:sdtEndPr/>
      <w:sdtContent>
        <w:p w14:paraId="28ECD0AF" w14:textId="77777777" w:rsidR="008F4908" w:rsidRDefault="008F4908" w:rsidP="008F4908">
          <w:r>
            <w:t>Die GD Gesundheit und Lebensmittelsicherheit (GD SANTE) hat es sich zum Ziel gesetzt, Maßnahmen zu fördern, mit denen der Zugang zu Gesundheitsversorgung, sicheren Lebensmitteln und Schutz vor Epidemien und Krankheiten verbessert wird. Sie ist bestrebt, hohe europäische Standards in den Bereichen Tier- und Pflanzengesundheit und in höchstem Maße erschwingliche, zugängliche und hochwertige Gesundheitssysteme zu schaffen und aufrechtzuerhalten.</w:t>
          </w:r>
        </w:p>
        <w:p w14:paraId="200E99C0" w14:textId="70FFCBFE" w:rsidR="008F4908" w:rsidRPr="00D849CF" w:rsidRDefault="008F4908" w:rsidP="008F4908">
          <w:r>
            <w:t>Wir sind Teil der Direktion „Digitales, EU</w:t>
          </w:r>
          <w:r w:rsidRPr="0022087F">
            <w:t>4</w:t>
          </w:r>
          <w:r>
            <w:t>Health und Modernisierung der Gesundheitssysteme“ der GD SANTE in Brüssel – Referat C</w:t>
          </w:r>
          <w:r w:rsidRPr="0022087F">
            <w:t>2</w:t>
          </w:r>
          <w:r>
            <w:t> – Gesundheitszustand, Europäisches Semester, Bewertung der Gesundheitstechnologie.</w:t>
          </w:r>
        </w:p>
        <w:p w14:paraId="6B2D1BDC" w14:textId="5FC33718" w:rsidR="008F4908" w:rsidRPr="00D849CF" w:rsidRDefault="00235C9C" w:rsidP="008F4908">
          <w:r>
            <w:t xml:space="preserve">Wir sorgen dafür, dass die Verordnung über die Bewertung von Gesundheitstechnologien durchgeführt wird, und leisten damit einen Beitrag zu wirksamen, zugänglichen und belastbaren Gesundheitssystemen. Außerdem liefern wir den Input der GD SANTE zum Europäischen Semester und zur Aufbau- und Resilienzfazilität. </w:t>
          </w:r>
        </w:p>
        <w:p w14:paraId="59DD0438" w14:textId="66EB7F31" w:rsidR="00E21DBD" w:rsidRPr="00235C9C" w:rsidRDefault="008F4908" w:rsidP="00C504C7">
          <w:r>
            <w:t xml:space="preserve">Das Referat besteht aus rund </w:t>
          </w:r>
          <w:r w:rsidRPr="0022087F">
            <w:t>21</w:t>
          </w:r>
          <w:r>
            <w:t> Kolleginnen und Kollegen, die ein engagiertes Team bilden, und zeichnet sich durch einen ausgewogenen Nationalitätenmix aus.</w:t>
          </w:r>
        </w:p>
      </w:sdtContent>
    </w:sdt>
    <w:bookmarkEnd w:id="4"/>
    <w:p w14:paraId="50617C66" w14:textId="3928B21B" w:rsidR="00E21DBD" w:rsidRPr="00012665" w:rsidRDefault="00E21DBD" w:rsidP="00994062">
      <w:pPr>
        <w:pStyle w:val="ListNumber"/>
        <w:numPr>
          <w:ilvl w:val="0"/>
          <w:numId w:val="0"/>
        </w:numPr>
        <w:ind w:left="709" w:hanging="709"/>
      </w:pPr>
      <w:r>
        <w:rPr>
          <w:b/>
        </w:rPr>
        <w:t>Stellenprofil (Was wir anbieten)</w:t>
      </w:r>
    </w:p>
    <w:bookmarkStart w:id="5" w:name="_Hlk187410236" w:displacedByCustomXml="next"/>
    <w:sdt>
      <w:sdtPr>
        <w:rPr>
          <w:szCs w:val="24"/>
        </w:rPr>
        <w:id w:val="-723136291"/>
        <w:placeholder>
          <w:docPart w:val="84FB87486BC94E5EB76E972E1BD8265B"/>
        </w:placeholder>
      </w:sdtPr>
      <w:sdtEndPr/>
      <w:sdtContent>
        <w:p w14:paraId="708A4D88" w14:textId="77777777" w:rsidR="00F650C7" w:rsidRPr="00F650C7" w:rsidRDefault="00F650C7" w:rsidP="00F650C7">
          <w:pPr>
            <w:tabs>
              <w:tab w:val="left" w:pos="426"/>
            </w:tabs>
            <w:rPr>
              <w:szCs w:val="24"/>
            </w:rPr>
          </w:pPr>
          <w:r>
            <w:t xml:space="preserve">Der/die abgeordnete nationale Sachverständige (ANS) wird die Durchführung der Verordnung (EU) </w:t>
          </w:r>
          <w:r w:rsidRPr="0022087F">
            <w:t>2021</w:t>
          </w:r>
          <w:r>
            <w:t>/</w:t>
          </w:r>
          <w:r w:rsidRPr="0022087F">
            <w:t>2282</w:t>
          </w:r>
          <w:r>
            <w:t xml:space="preserve"> über die Bewertung von Gesundheitstechnologien (Health Technology Assessment – HTA) fachlich begleiten, insbesondere indem er/sie das Sekretariat der Koordinierungsgruppe der Mitgliedstaaten zur Bewertung von Gesundheitstechnologien verstärkt, das bei der Europäischen Kommission angesiedelt ist und von ihr verwaltet wird.  </w:t>
          </w:r>
        </w:p>
        <w:p w14:paraId="04CD531F" w14:textId="77777777" w:rsidR="00F650C7" w:rsidRPr="00F650C7" w:rsidRDefault="00F650C7" w:rsidP="00F650C7">
          <w:pPr>
            <w:tabs>
              <w:tab w:val="left" w:pos="426"/>
            </w:tabs>
            <w:rPr>
              <w:szCs w:val="24"/>
            </w:rPr>
          </w:pPr>
          <w:r>
            <w:t xml:space="preserve">Im Einzelnen umfassen die Aufgaben Folgendes: </w:t>
          </w:r>
        </w:p>
        <w:p w14:paraId="5875FCDC" w14:textId="7C31301B" w:rsidR="00F6573D" w:rsidRPr="00F6573D" w:rsidRDefault="00F650C7" w:rsidP="00F6573D">
          <w:pPr>
            <w:numPr>
              <w:ilvl w:val="0"/>
              <w:numId w:val="35"/>
            </w:numPr>
            <w:tabs>
              <w:tab w:val="left" w:pos="426"/>
            </w:tabs>
            <w:spacing w:after="0"/>
            <w:rPr>
              <w:szCs w:val="24"/>
            </w:rPr>
          </w:pPr>
          <w:r>
            <w:t>Koordinierung der Arbeit einer oder mehrerer Untergruppen (Untergruppe zur Entwicklung methodischer und verfahrenstechnischer Leitfäden, Untergruppe für gemeinsame klinische Bewertungen, Untergruppe für gemeinsame wissenschaftliche Beratungen, Untergruppe zur Ermittlung neu entstehender Gesundheitstechnologien), einschließlich der Unterstützung der Arbeit des Vorsitzes und des stellvertretenden Vorsitzes;</w:t>
          </w:r>
        </w:p>
        <w:p w14:paraId="0004F644" w14:textId="77777777" w:rsidR="00F650C7" w:rsidRPr="00F650C7" w:rsidRDefault="00F650C7" w:rsidP="00F650C7">
          <w:pPr>
            <w:numPr>
              <w:ilvl w:val="0"/>
              <w:numId w:val="35"/>
            </w:numPr>
            <w:tabs>
              <w:tab w:val="left" w:pos="426"/>
            </w:tabs>
            <w:spacing w:after="0"/>
            <w:rPr>
              <w:szCs w:val="24"/>
            </w:rPr>
          </w:pPr>
          <w:r>
            <w:t>Wahrnehmung von Aufgaben, die dem HTA-Sekretariat im Einklang mit der HTA-Verordnung übertragen wurden, z. B. Prüfung der Vollständigkeit des vom Entwickler der Gesundheitstechnologie eingereichten Dossiers, administrative Unterstützung bei gemeinsamen klinischen Bewertungen und gemeinsamen wissenschaftlichen Beratungen, Ermittlung von Patienten und klinischen Experten, die an gemeinsamen klinischen Bewertungen und gemeinsamen wissenschaftlichen Beratungen teilnehmen sollen, Bewertung von Interessenkonflikten von Personen, die an der gemeinsamen Arbeit beteiligt sind;</w:t>
          </w:r>
        </w:p>
        <w:p w14:paraId="59683B5C" w14:textId="77777777" w:rsidR="00F650C7" w:rsidRPr="00F650C7" w:rsidRDefault="00F650C7" w:rsidP="00F650C7">
          <w:pPr>
            <w:numPr>
              <w:ilvl w:val="0"/>
              <w:numId w:val="35"/>
            </w:numPr>
            <w:tabs>
              <w:tab w:val="left" w:pos="426"/>
            </w:tabs>
            <w:spacing w:after="0"/>
            <w:rPr>
              <w:szCs w:val="24"/>
            </w:rPr>
          </w:pPr>
          <w:r>
            <w:t xml:space="preserve">Vorbereitung der sowie Teilnahme an den Sitzungen der Koordinierungsgruppe zur Bewertung von Gesundheitstechnologien und ihrer Untergruppen; </w:t>
          </w:r>
        </w:p>
        <w:p w14:paraId="0EBA1C28" w14:textId="77777777" w:rsidR="00F650C7" w:rsidRPr="00F650C7" w:rsidRDefault="00F650C7" w:rsidP="00F650C7">
          <w:pPr>
            <w:numPr>
              <w:ilvl w:val="0"/>
              <w:numId w:val="35"/>
            </w:numPr>
            <w:tabs>
              <w:tab w:val="left" w:pos="426"/>
            </w:tabs>
            <w:spacing w:after="0"/>
            <w:rPr>
              <w:szCs w:val="24"/>
            </w:rPr>
          </w:pPr>
          <w:r>
            <w:t>Unterstützung der Koordinierung und der Kommunikation zwischen den verschiedenen Untergruppen;</w:t>
          </w:r>
        </w:p>
        <w:p w14:paraId="14D6E2CE" w14:textId="77777777" w:rsidR="00F650C7" w:rsidRPr="00F650C7" w:rsidRDefault="00F650C7" w:rsidP="00F650C7">
          <w:pPr>
            <w:numPr>
              <w:ilvl w:val="0"/>
              <w:numId w:val="35"/>
            </w:numPr>
            <w:tabs>
              <w:tab w:val="left" w:pos="426"/>
            </w:tabs>
            <w:spacing w:after="0"/>
            <w:rPr>
              <w:szCs w:val="24"/>
            </w:rPr>
          </w:pPr>
          <w:r>
            <w:t>Gewährleistung der angemessenen Einbeziehung von Interessenträgern und Sachverständigen in die Arbeit der Untergruppen;</w:t>
          </w:r>
        </w:p>
        <w:p w14:paraId="12C7BC20" w14:textId="77777777" w:rsidR="00F650C7" w:rsidRPr="00F650C7" w:rsidRDefault="00F650C7" w:rsidP="00F650C7">
          <w:pPr>
            <w:numPr>
              <w:ilvl w:val="0"/>
              <w:numId w:val="35"/>
            </w:numPr>
            <w:tabs>
              <w:tab w:val="left" w:pos="426"/>
            </w:tabs>
            <w:spacing w:after="0"/>
            <w:rPr>
              <w:szCs w:val="24"/>
            </w:rPr>
          </w:pPr>
          <w:r>
            <w:t>Teilnahme an Informations- und Sensibilisierungsmaßnahmen;</w:t>
          </w:r>
        </w:p>
        <w:p w14:paraId="1388CF73" w14:textId="77777777" w:rsidR="00F650C7" w:rsidRPr="00F650C7" w:rsidRDefault="00F650C7" w:rsidP="00F650C7">
          <w:pPr>
            <w:numPr>
              <w:ilvl w:val="0"/>
              <w:numId w:val="35"/>
            </w:numPr>
            <w:tabs>
              <w:tab w:val="left" w:pos="426"/>
            </w:tabs>
            <w:spacing w:after="0"/>
            <w:rPr>
              <w:szCs w:val="24"/>
            </w:rPr>
          </w:pPr>
          <w:r>
            <w:lastRenderedPageBreak/>
            <w:t>Pflege von Kontakten zu nationalen Behörden, Interessenträgern, Agenturen, anderen Kommissionsdienststellen usw.;</w:t>
          </w:r>
        </w:p>
        <w:p w14:paraId="028B2E9F" w14:textId="77777777" w:rsidR="00F650C7" w:rsidRPr="00F650C7" w:rsidRDefault="00F650C7" w:rsidP="00F650C7">
          <w:pPr>
            <w:numPr>
              <w:ilvl w:val="0"/>
              <w:numId w:val="36"/>
            </w:numPr>
            <w:tabs>
              <w:tab w:val="left" w:pos="426"/>
            </w:tabs>
            <w:spacing w:after="0"/>
            <w:rPr>
              <w:szCs w:val="24"/>
            </w:rPr>
          </w:pPr>
          <w:r>
            <w:t>Vorbereiten und Erstellen von Briefings, Reden und Vermerken im Bereich der Bewertung von Gesundheitstechnologien auf der Grundlage von Analysen und Fachkenntnissen im HTA-Bereich;</w:t>
          </w:r>
        </w:p>
        <w:p w14:paraId="308833F3" w14:textId="77777777" w:rsidR="00F650C7" w:rsidRPr="00F650C7" w:rsidRDefault="00F650C7" w:rsidP="00F650C7">
          <w:pPr>
            <w:numPr>
              <w:ilvl w:val="0"/>
              <w:numId w:val="36"/>
            </w:numPr>
            <w:tabs>
              <w:tab w:val="left" w:pos="426"/>
            </w:tabs>
            <w:spacing w:after="0"/>
            <w:rPr>
              <w:szCs w:val="24"/>
            </w:rPr>
          </w:pPr>
          <w:r>
            <w:t>Einbringen in die Arbeit des Referats im weiteren Sinne, einschließlich Mitwirkung an der Beantwortung von Anfragen von Vorgesetzten und an der Gewährleistung von Kohärenz und Priorisierung der Aufgaben sowie Unterstützung und Vertretung von Kolleginnen und Kollegen.</w:t>
          </w:r>
        </w:p>
        <w:p w14:paraId="743DAEDE" w14:textId="77777777" w:rsidR="00F650C7" w:rsidRPr="005F22AC" w:rsidRDefault="00F650C7" w:rsidP="00F650C7">
          <w:pPr>
            <w:tabs>
              <w:tab w:val="left" w:pos="426"/>
            </w:tabs>
            <w:ind w:left="720"/>
            <w:rPr>
              <w:szCs w:val="24"/>
            </w:rPr>
          </w:pPr>
        </w:p>
        <w:p w14:paraId="7D6A7753" w14:textId="77777777" w:rsidR="00F650C7" w:rsidRPr="00F650C7" w:rsidRDefault="00F650C7" w:rsidP="00F650C7">
          <w:pPr>
            <w:tabs>
              <w:tab w:val="left" w:pos="426"/>
            </w:tabs>
            <w:rPr>
              <w:szCs w:val="24"/>
            </w:rPr>
          </w:pPr>
          <w:r>
            <w:t>Der/die ANS wird im Referat C</w:t>
          </w:r>
          <w:r w:rsidRPr="0022087F">
            <w:t>2</w:t>
          </w:r>
          <w:r>
            <w:t xml:space="preserve"> als Mitglied des HTA-Teams der GD SANTE tätig sein, und zwar in Synergie und enger Zusammenarbeit mit den Kolleginnen und Kollegen und allen an der Durchführung der HTA-Verordnung beteiligten Parteien. </w:t>
          </w:r>
        </w:p>
        <w:p w14:paraId="46EE3E07" w14:textId="10DECFD3" w:rsidR="00E21DBD" w:rsidRPr="00F650C7" w:rsidRDefault="00F650C7" w:rsidP="00F650C7">
          <w:pPr>
            <w:tabs>
              <w:tab w:val="left" w:pos="426"/>
            </w:tabs>
            <w:rPr>
              <w:szCs w:val="24"/>
            </w:rPr>
          </w:pPr>
          <w:r>
            <w:t>Der/die ANS arbeitet unter der Aufsicht eines AD-Beamten/einer AD-Beamtin. Unbeschadet des Grundsatzes der loyalen Zusammenarbeit zwischen nationalen, regionalen und europäischen bzw. EFTA/EWR-Verwaltungen wird der/die ANS nicht in einzelnen Rechtsfällen im Zusammenhang mit Dossiers tätig, mit denen er/sie in den zwei Jahren vor Aufnahme der Tätigkeit bei der Kommission bei seiner/ihrer nationalen Verwaltung befasst war, oder in unmittelbar damit zusammenhängenden Fällen. Auf keinen Fall wird er/sie die Kommission mit dem Ziel vertreten, in ihrem Namen Verpflichtungen (finanzieller oder anderer Art) einzugehen oder Verhandlungen zu führen.</w:t>
          </w:r>
        </w:p>
      </w:sdtContent>
    </w:sdt>
    <w:bookmarkEnd w:id="5"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pPr>
      <w:r>
        <w:rPr>
          <w:b/>
        </w:rPr>
        <w:t>Bewerberprofil (Was wir suchen)</w:t>
      </w:r>
    </w:p>
    <w:bookmarkStart w:id="6" w:name="_Hlk187410514" w:displacedByCustomXml="next"/>
    <w:bookmarkStart w:id="7" w:name="_Hlk187410266" w:displacedByCustomXml="next"/>
    <w:sdt>
      <w:sdtPr>
        <w:id w:val="-209197804"/>
        <w:placeholder>
          <w:docPart w:val="D53C757808094631B3D30FCCF370CC97"/>
        </w:placeholder>
      </w:sdtPr>
      <w:sdtEndPr/>
      <w:sdtContent>
        <w:p w14:paraId="771D5DEB" w14:textId="77777777" w:rsidR="00BF2585" w:rsidRDefault="00BF2585" w:rsidP="00BF2585">
          <w:r>
            <w:t xml:space="preserve">Ein Experte in den Bereichen Gesundheitswissenschaften, Medizin, öffentliche Gesundheit, Bewertung von Gesundheitstechnologien, Pharmakoökonomie oder sonstigen für die Stelle relevanten Bereichen mit ausgezeichneter Networking- und Verhandlungskompetenz. </w:t>
          </w:r>
        </w:p>
        <w:p w14:paraId="3CA8F2F0" w14:textId="77777777" w:rsidR="00BF2585" w:rsidRPr="00735E90" w:rsidRDefault="00BF2585" w:rsidP="00BF2585">
          <w:r>
            <w:t>Die einschlägige, vorzugsweise im Gesundheitssektor erworbene, Erfahrung sollte Erfahrung mit der Bewertung von Gesundheitstechnologien einschließen.</w:t>
          </w:r>
        </w:p>
        <w:p w14:paraId="387CB0B0" w14:textId="77777777" w:rsidR="00BF2585" w:rsidRPr="00735E90" w:rsidRDefault="00BF2585" w:rsidP="00BF2585">
          <w:r>
            <w:t>Die Ausübung der Tätigkeit beinhaltet regelmäßige Kontakte mit Vertretern der Mitgliedstaaten, nationalen Behörden, Interessenträgern, anderen EU-Institutionen und -Agenturen sowie anderen Kommissionsdienststellen. Gemeinsam mit Kommissionsbeamten unterstützt der/die ANS die Mitgliedstaaten bei der Politikgestaltung und arbeitet eng mit anderen Generaldirektionen der Kommission zusammen. Der Bewerber/die Bewerberin muss in der Lage sein, diverse Briefingunterlagen auszuarbeiten und unter hohem Zeitdruck zu arbeiten.</w:t>
          </w:r>
        </w:p>
        <w:p w14:paraId="51994EDB" w14:textId="09835CD3" w:rsidR="002E40A9" w:rsidRPr="00BF2585" w:rsidRDefault="00BF2585" w:rsidP="002E40A9">
          <w:r>
            <w:t>Gesucht wird eine Person, die motiviert und ergebnisorientiert ist und dank ihrer guten Networkingfähigkeiten alle am Prozess beteiligten Parteien miteinander vernetzen und Synergien schaffen kann. Teamfähigkeit ist Voraussetzung. Die Arbeitssprache der GD SANTE ist Englisch, aber ein gutes Sprachniveau in Französisch oder Deutsch ist von Vorteil.</w:t>
          </w:r>
        </w:p>
      </w:sdtContent>
    </w:sdt>
    <w:bookmarkEnd w:id="6" w:displacedByCustomXml="prev"/>
    <w:bookmarkEnd w:id="3"/>
    <w:bookmarkEnd w:id="7"/>
    <w:p w14:paraId="4A6D5708" w14:textId="77777777" w:rsidR="00E21DBD" w:rsidRPr="005F22AC" w:rsidRDefault="00E21DBD" w:rsidP="00E21DBD">
      <w:pPr>
        <w:spacing w:after="0"/>
        <w:rPr>
          <w:lang w:eastAsia="en-GB"/>
        </w:rPr>
      </w:pPr>
    </w:p>
    <w:p w14:paraId="5FB0AB31" w14:textId="77777777" w:rsidR="00E21DBD" w:rsidRPr="005F22AC" w:rsidRDefault="00E21DBD" w:rsidP="00E21DBD">
      <w:pPr>
        <w:spacing w:after="0"/>
        <w:rPr>
          <w:lang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lastRenderedPageBreak/>
        <w:t>Zulassungskriterien</w:t>
      </w:r>
    </w:p>
    <w:p w14:paraId="4351CD9B" w14:textId="329965A0" w:rsidR="00E21DBD" w:rsidRPr="00F67B35" w:rsidRDefault="00E21DBD" w:rsidP="00252050">
      <w:pPr>
        <w:keepNext/>
        <w:rPr>
          <w:szCs w:val="24"/>
        </w:rPr>
      </w:pPr>
      <w:bookmarkStart w:id="8" w:name="_Hlk187410292"/>
      <w:r>
        <w:t xml:space="preserve">Die Abordnung fällt unter den </w:t>
      </w:r>
      <w:r>
        <w:rPr>
          <w:b/>
        </w:rPr>
        <w:t>Beschluss C(</w:t>
      </w:r>
      <w:r w:rsidRPr="0022087F">
        <w:rPr>
          <w:b/>
        </w:rPr>
        <w:t>2008</w:t>
      </w:r>
      <w:r>
        <w:rPr>
          <w:b/>
        </w:rPr>
        <w:t>) </w:t>
      </w:r>
      <w:r w:rsidRPr="0022087F">
        <w:rPr>
          <w:b/>
        </w:rPr>
        <w:t>6866</w:t>
      </w:r>
      <w:r>
        <w:rPr>
          <w:b/>
        </w:rPr>
        <w:t xml:space="preserve"> der Kommission </w:t>
      </w:r>
      <w:r>
        <w:t xml:space="preserve">vom </w:t>
      </w:r>
      <w:r w:rsidRPr="0022087F">
        <w:t>12</w:t>
      </w:r>
      <w:r>
        <w:t xml:space="preserve">. November </w:t>
      </w:r>
      <w:r w:rsidRPr="0022087F">
        <w:t>2008</w:t>
      </w:r>
      <w:r>
        <w:t xml:space="preserve"> über die Regelung für zur Kommission abgeordnete oder sich zu Zwecken der beruflichen Weiterbildung bei der Kommission aufhaltende nationale Sachverständige (ANS-Beschluss).</w:t>
      </w:r>
    </w:p>
    <w:p w14:paraId="34498A87" w14:textId="12420708" w:rsidR="00E21DBD" w:rsidRPr="00F67B35" w:rsidRDefault="00E21DBD" w:rsidP="009A2F00">
      <w:r>
        <w:t xml:space="preserve">Gemäß dem ANS-Beschluss müssen Sie </w:t>
      </w:r>
      <w:r>
        <w:rPr>
          <w:b/>
        </w:rPr>
        <w:t>zu Beginn</w:t>
      </w:r>
      <w:r>
        <w:t xml:space="preserve"> der Abordnung die folgenden Zulassungskriterien erfüllen:</w:t>
      </w:r>
    </w:p>
    <w:p w14:paraId="2A82F38A" w14:textId="4F2D910B" w:rsidR="00E21DBD" w:rsidRPr="00902D72" w:rsidRDefault="00E21DBD" w:rsidP="00B73F08">
      <w:pPr>
        <w:pStyle w:val="ListBullet"/>
      </w:pPr>
      <w:r>
        <w:rPr>
          <w:u w:val="single"/>
        </w:rPr>
        <w:t>Berufserfahrung:</w:t>
      </w:r>
      <w:r>
        <w:t xml:space="preserve"> eine mindestens dreijährige Berufserfahrung im administrativen, justiziellen, wissenschaftlichen oder technischen Bereich in beratender oder leitender Funktion, die mit den Tätigkeiten der Funktionsgruppe Administration (AD) vergleichbar ist.</w:t>
      </w:r>
    </w:p>
    <w:p w14:paraId="47ED62CE" w14:textId="0A148AC9" w:rsidR="00E21DBD" w:rsidRPr="00902D72" w:rsidRDefault="00E21DBD" w:rsidP="00B73F08">
      <w:pPr>
        <w:pStyle w:val="ListBullet"/>
      </w:pPr>
      <w:r>
        <w:rPr>
          <w:u w:val="single"/>
        </w:rPr>
        <w:t>Dienstalter:</w:t>
      </w:r>
      <w:r>
        <w:t xml:space="preserve"> Sie müssen mindestens ein volles Jahr (</w:t>
      </w:r>
      <w:r w:rsidRPr="0022087F">
        <w:t>12</w:t>
      </w:r>
      <w:r>
        <w:t> Monate) bei Ihrem derzeitigen Arbeitgeber in einem dienst- oder vertragsrechtlichen Verhältnis gearbeitet haben.</w:t>
      </w:r>
    </w:p>
    <w:p w14:paraId="52986B8D" w14:textId="511D026E" w:rsidR="00E21DBD" w:rsidRPr="00AF417C" w:rsidRDefault="00E21DBD" w:rsidP="00B73F08">
      <w:pPr>
        <w:pStyle w:val="ListBullet"/>
      </w:pPr>
      <w:r>
        <w:rPr>
          <w:u w:val="single"/>
        </w:rPr>
        <w:t>Arbeitgeber:</w:t>
      </w:r>
      <w:r>
        <w:t xml:space="preserve"> Ihr Arbeitgeber muss eine nationale, regionale oder lokale Verwaltung oder eine zwischenstaatliche öffentliche Organisation sein; ausnahmsweise kann die Kommission im Rahmen einer besonderen Ausnahmeregelung Bewerbungen auch dann annehmen, wenn Ihr Arbeitgeber eine öffentliche Stelle (z. B. eine Agentur oder eine Regulierungsstelle), eine Universität oder ein unabhängiges Forschungsinstitut ist.</w:t>
      </w:r>
    </w:p>
    <w:p w14:paraId="36ECEE24" w14:textId="6AFC3740" w:rsidR="00E21DBD" w:rsidRPr="00902D72" w:rsidRDefault="00E21DBD" w:rsidP="00B73F08">
      <w:pPr>
        <w:pStyle w:val="ListBullet"/>
      </w:pPr>
      <w:r>
        <w:rPr>
          <w:u w:val="single"/>
        </w:rPr>
        <w:t>Sprachkenntnisse:</w:t>
      </w:r>
      <w:r>
        <w:t xml:space="preserve"> gründliche Kenntnisse in einer EU-Amtssprache und ausreichende Kenntnisse in einer weiteren EU-Amtssprache in dem für die Ausübung der Tätigkeit erforderlichen Maße. Nationale Sachverständige aus einem Drittland müssen nachweisen, dass sie über gründliche Kenntnisse in der zur Ausübung ihrer Tätigkeit erforderlichen EU-Amtssprache verfügen.</w:t>
      </w:r>
      <w:bookmarkEnd w:id="8"/>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Bedingungen für die Abordnung</w:t>
      </w:r>
    </w:p>
    <w:p w14:paraId="42ECB69D" w14:textId="49CFA327" w:rsidR="00E21DBD" w:rsidRPr="00F67B35" w:rsidRDefault="00D96984" w:rsidP="00252050">
      <w:pPr>
        <w:keepNext/>
      </w:pPr>
      <w:bookmarkStart w:id="9" w:name="_Hlk187410416"/>
      <w:bookmarkStart w:id="10" w:name="_Hlk187410308"/>
      <w:r>
        <w:t xml:space="preserve">Während der gesamten Dauer der Abordnung müssen Sie bei Ihrem Arbeitgeber beschäftigt bleiben, von diesem Ihre Bezüge erhalten und in Ihrem (nationalen) Sozialversicherungssystem versichert bleiben. </w:t>
      </w:r>
    </w:p>
    <w:p w14:paraId="0A5C5740" w14:textId="54FC005C" w:rsidR="009A2F00" w:rsidRDefault="00B73F08" w:rsidP="009A2F00">
      <w:r>
        <w:t>Sie üben Ihre Tätigkeit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9A2F00" w:rsidRDefault="00B73F08" w:rsidP="009A2F00">
      <w:r>
        <w:t>Falls die Stelle mit Zulagen ausgeschrieben wird, können diese nur gewährt werden, wenn Sie die in Artikel </w:t>
      </w:r>
      <w:r w:rsidRPr="0022087F">
        <w:t>17</w:t>
      </w:r>
      <w:r>
        <w:t xml:space="preserve"> des ANS-Beschlusses genannten Bedingungen erfüllen. </w:t>
      </w:r>
    </w:p>
    <w:p w14:paraId="58EAEF9C" w14:textId="301D32C0" w:rsidR="00E21DBD" w:rsidRPr="009A2F00" w:rsidRDefault="009A2F00" w:rsidP="009A2F00">
      <w:r>
        <w:t xml:space="preserve">Bedienstete, die in eine Delegation der Europäischen Union entsandt werden, benötigen eine Sicherheitsüberprüfung (bis zum Geheimhaltungsgrad SECRET UE/EU SECRET gemäß dem </w:t>
      </w:r>
      <w:hyperlink r:id="rId27" w:history="1">
        <w:r>
          <w:rPr>
            <w:rStyle w:val="Hyperlink"/>
          </w:rPr>
          <w:t>Beschluss (EU, Euratom) </w:t>
        </w:r>
        <w:r w:rsidRPr="0022087F">
          <w:rPr>
            <w:rStyle w:val="Hyperlink"/>
          </w:rPr>
          <w:t>2015</w:t>
        </w:r>
        <w:r>
          <w:rPr>
            <w:rStyle w:val="Hyperlink"/>
          </w:rPr>
          <w:t>/</w:t>
        </w:r>
        <w:r w:rsidRPr="0022087F">
          <w:rPr>
            <w:rStyle w:val="Hyperlink"/>
          </w:rPr>
          <w:t>444</w:t>
        </w:r>
        <w:r>
          <w:rPr>
            <w:rStyle w:val="Hyperlink"/>
          </w:rPr>
          <w:t xml:space="preserve"> der Kommission vom </w:t>
        </w:r>
        <w:r w:rsidRPr="0022087F">
          <w:rPr>
            <w:rStyle w:val="Hyperlink"/>
          </w:rPr>
          <w:t>13</w:t>
        </w:r>
        <w:r>
          <w:rPr>
            <w:rStyle w:val="Hyperlink"/>
          </w:rPr>
          <w:t xml:space="preserve">. März </w:t>
        </w:r>
        <w:r w:rsidRPr="0022087F">
          <w:rPr>
            <w:rStyle w:val="Hyperlink"/>
          </w:rPr>
          <w:t>2015</w:t>
        </w:r>
        <w:r>
          <w:rPr>
            <w:rStyle w:val="Hyperlink"/>
          </w:rPr>
          <w:t>)</w:t>
        </w:r>
      </w:hyperlink>
      <w:r>
        <w:t>. Das Überprüfungsverfahren müssen Sie selbst einleiten, bevor die Abordnung bestätigt wird.</w:t>
      </w:r>
      <w:bookmarkEnd w:id="9"/>
    </w:p>
    <w:bookmarkEnd w:id="10"/>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lastRenderedPageBreak/>
        <w:t>Bewerbung und Auswahlverfahren</w:t>
      </w:r>
    </w:p>
    <w:p w14:paraId="737732DB" w14:textId="59C050A8" w:rsidR="00693BC6" w:rsidRDefault="00693BC6" w:rsidP="00693BC6">
      <w:pPr>
        <w:keepNext/>
      </w:pPr>
      <w:bookmarkStart w:id="11" w:name="_Hlk187410328"/>
      <w:r>
        <w:t xml:space="preserve">Falls Sie interessiert sind, folgen Sie bitte den Anweisungen Ihres Arbeitgebers für die Bewerbung. </w:t>
      </w:r>
    </w:p>
    <w:p w14:paraId="01FE2616" w14:textId="3EE6DFF7" w:rsidR="00693BC6" w:rsidRPr="00693BC6" w:rsidRDefault="00693BC6" w:rsidP="00252050">
      <w:pPr>
        <w:keepNext/>
      </w:pPr>
      <w:r>
        <w:t xml:space="preserve">Die Europäische Kommission </w:t>
      </w:r>
      <w:r>
        <w:rPr>
          <w:b/>
        </w:rPr>
        <w:t>nimmt nur Bewerbungen an, die über die Ständige Vertretung/diplomatische Mission Ihres Landes bei der EU, das EFTA-Sekretariat oder über die Kanäle eingereicht werden, denen sie ausdrücklich zugestimmt hat</w:t>
      </w:r>
      <w:r>
        <w:t>. Bewerbungen, die direkt von Ihnen oder Ihrem Arbeitgeber eingehen, werden nicht berücksichtigt.</w:t>
      </w:r>
    </w:p>
    <w:p w14:paraId="0F7E0F3E" w14:textId="42443FEA" w:rsidR="00B73F08" w:rsidRDefault="00693BC6" w:rsidP="00252050">
      <w:pPr>
        <w:keepNext/>
      </w:pPr>
      <w:r>
        <w:t xml:space="preserve">Sie sollten Ihren Lebenslauf in englischer, französischer oder deutscher Sprache unter Verwendung des </w:t>
      </w:r>
      <w:r>
        <w:rPr>
          <w:b/>
        </w:rPr>
        <w:t>Europass-Formats</w:t>
      </w:r>
      <w:r>
        <w:t xml:space="preserve"> abfassen (</w:t>
      </w:r>
      <w:hyperlink r:id="rId28" w:history="1">
        <w:hyperlink r:id="rId29" w:history="1">
          <w:r>
            <w:rPr>
              <w:rStyle w:val="Hyperlink"/>
            </w:rPr>
            <w:t>Europass-Lebenslauf erstellen |</w:t>
          </w:r>
        </w:hyperlink>
      </w:hyperlink>
      <w:hyperlink r:id="rId30" w:history="1">
        <w:hyperlink r:id="rId31" w:history="1">
          <w:r>
            <w:rPr>
              <w:rStyle w:val="Hyperlink"/>
            </w:rPr>
            <w:t xml:space="preserve"> Europass</w:t>
          </w:r>
        </w:hyperlink>
      </w:hyperlink>
      <w:r>
        <w:t>). Im Lebenslauf muss Ihre Staatsangehörigkeit angegeben werden.</w:t>
      </w:r>
    </w:p>
    <w:p w14:paraId="5D1B7045" w14:textId="53BEFD6E" w:rsidR="00E21DBD" w:rsidRPr="00F67B35" w:rsidRDefault="00665583" w:rsidP="009A2F00">
      <w:r>
        <w:t>Bitte fügen Sie Ihrer Bewerbung keine anderen Dokumente (wie Kopien des Personalausweises, Kopien von Abschlusszeugnissen, Nachweise der Berufserfahrung usw.) bei. Diese Dokumente sind gegebenenfalls in einem späteren Stadium des Auswahlverfahrens vorzulegen.</w:t>
      </w:r>
      <w:bookmarkEnd w:id="11"/>
    </w:p>
    <w:p w14:paraId="00AF0134" w14:textId="77777777" w:rsidR="00E21DBD" w:rsidRPr="005F22AC" w:rsidRDefault="00E21DBD" w:rsidP="009A2F00">
      <w:pPr>
        <w:rPr>
          <w:lang w:eastAsia="en-GB"/>
        </w:rPr>
      </w:pP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Verarbeitung personenbezogener Daten</w:t>
      </w:r>
    </w:p>
    <w:p w14:paraId="0D144B0D" w14:textId="1B120317" w:rsidR="00F93413" w:rsidRDefault="00C75BA4" w:rsidP="007F02AC">
      <w:pPr>
        <w:keepNext/>
      </w:pPr>
      <w:bookmarkStart w:id="12" w:name="_Hlk187410340"/>
      <w:r>
        <w:t>Die Kommission trägt dafür Sorge, dass die personenbezogenen Daten der Bewerber/innen gemäß den Anforderungen der Verordnung (EU) </w:t>
      </w:r>
      <w:r w:rsidRPr="0022087F">
        <w:t>2018</w:t>
      </w:r>
      <w:r>
        <w:t>/</w:t>
      </w:r>
      <w:r w:rsidRPr="0022087F">
        <w:t>1725</w:t>
      </w:r>
      <w:r>
        <w:t xml:space="preserve"> des Europäischen Parlaments und des Rates (</w:t>
      </w:r>
      <w:r>
        <w:rPr>
          <w:rStyle w:val="FootnoteReference"/>
          <w:sz w:val="22"/>
          <w:szCs w:val="22"/>
        </w:rPr>
        <w:footnoteReference w:id="1"/>
      </w:r>
      <w:r>
        <w:t xml:space="preserve">) verarbeitet werden. Dies gilt insbesondere für die Vertraulichkeit und Sicherheit dieser Daten. </w:t>
      </w:r>
      <w:bookmarkStart w:id="13" w:name="_Hlk132131276"/>
      <w:r>
        <w:t>Bevor Sie sich bewerben, lesen Sie bitte die beigefügte Datenschutzerklärung.</w:t>
      </w:r>
      <w:bookmarkEnd w:id="13"/>
      <w:bookmarkEnd w:id="12"/>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pPr>
      <w:r>
        <w:t>(</w:t>
      </w:r>
      <w:r>
        <w:rPr>
          <w:rStyle w:val="FootnoteReference"/>
        </w:rPr>
        <w:footnoteRef/>
      </w:r>
      <w:r>
        <w:t>)</w:t>
      </w:r>
      <w:r>
        <w:tab/>
      </w:r>
      <w:r>
        <w:rPr>
          <w:sz w:val="16"/>
        </w:rPr>
        <w:t>Verordnung (EU) </w:t>
      </w:r>
      <w:r w:rsidRPr="0022087F">
        <w:rPr>
          <w:sz w:val="16"/>
        </w:rPr>
        <w:t>2018</w:t>
      </w:r>
      <w:r>
        <w:rPr>
          <w:sz w:val="16"/>
        </w:rPr>
        <w:t>/</w:t>
      </w:r>
      <w:r w:rsidRPr="0022087F">
        <w:rPr>
          <w:sz w:val="16"/>
        </w:rPr>
        <w:t>1725</w:t>
      </w:r>
      <w:r>
        <w:rPr>
          <w:sz w:val="16"/>
        </w:rPr>
        <w:t xml:space="preserve"> des Europäischen Parlaments und des Rates vom </w:t>
      </w:r>
      <w:r w:rsidRPr="0022087F">
        <w:rPr>
          <w:sz w:val="16"/>
        </w:rPr>
        <w:t>23</w:t>
      </w:r>
      <w:r>
        <w:rPr>
          <w:sz w:val="16"/>
        </w:rPr>
        <w:t xml:space="preserve">. Oktober </w:t>
      </w:r>
      <w:r w:rsidRPr="0022087F">
        <w:rPr>
          <w:sz w:val="16"/>
        </w:rPr>
        <w:t>2018</w:t>
      </w:r>
      <w:r>
        <w:rPr>
          <w:sz w:val="16"/>
        </w:rPr>
        <w:t xml:space="preserve"> zum Schutz natürlicher Personen bei der Verarbeitung personenbezogener Daten durch die Organe, Einrichtungen und sonstigen Stellen der Union, zum freien Datenverkehr und zur Aufhebung der Verordnung (EG) Nr. </w:t>
      </w:r>
      <w:r w:rsidRPr="0022087F">
        <w:rPr>
          <w:sz w:val="16"/>
        </w:rPr>
        <w:t>45</w:t>
      </w:r>
      <w:r>
        <w:rPr>
          <w:sz w:val="16"/>
        </w:rPr>
        <w:t>/</w:t>
      </w:r>
      <w:r w:rsidRPr="0022087F">
        <w:rPr>
          <w:sz w:val="16"/>
        </w:rPr>
        <w:t>2001</w:t>
      </w:r>
      <w:r>
        <w:rPr>
          <w:sz w:val="16"/>
        </w:rPr>
        <w:t xml:space="preserve"> und des Beschlusses Nr. </w:t>
      </w:r>
      <w:r w:rsidRPr="0022087F">
        <w:rPr>
          <w:sz w:val="16"/>
        </w:rPr>
        <w:t>1247</w:t>
      </w:r>
      <w:r>
        <w:rPr>
          <w:sz w:val="16"/>
        </w:rPr>
        <w:t>/</w:t>
      </w:r>
      <w:r w:rsidRPr="0022087F">
        <w:rPr>
          <w:sz w:val="16"/>
        </w:rPr>
        <w:t>2002</w:t>
      </w:r>
      <w:r>
        <w:rPr>
          <w:sz w:val="16"/>
        </w:rPr>
        <w:t>/EG (ABl. L </w:t>
      </w:r>
      <w:r w:rsidRPr="0022087F">
        <w:rPr>
          <w:sz w:val="16"/>
        </w:rPr>
        <w:t>295</w:t>
      </w:r>
      <w:r>
        <w:rPr>
          <w:sz w:val="16"/>
        </w:rPr>
        <w:t xml:space="preserve"> vom </w:t>
      </w:r>
      <w:r w:rsidRPr="0022087F">
        <w:rPr>
          <w:sz w:val="16"/>
        </w:rPr>
        <w:t>21</w:t>
      </w:r>
      <w:r>
        <w:rPr>
          <w:sz w:val="16"/>
        </w:rPr>
        <w:t>.</w:t>
      </w:r>
      <w:r w:rsidRPr="0022087F">
        <w:rPr>
          <w:sz w:val="16"/>
        </w:rPr>
        <w:t>11</w:t>
      </w:r>
      <w:r>
        <w:rPr>
          <w:sz w:val="16"/>
        </w:rPr>
        <w:t>.</w:t>
      </w:r>
      <w:r w:rsidRPr="0022087F">
        <w:rPr>
          <w:sz w:val="16"/>
        </w:rPr>
        <w:t>2018</w:t>
      </w:r>
      <w:r>
        <w:rPr>
          <w:sz w:val="16"/>
        </w:rPr>
        <w:t>, S. </w:t>
      </w:r>
      <w:r w:rsidRPr="0022087F">
        <w:rPr>
          <w:sz w:val="16"/>
        </w:rPr>
        <w:t>39</w:t>
      </w:r>
      <w:r>
        <w:rPr>
          <w:sz w:val="16"/>
        </w:rPr>
        <w:t xml:space="preserve">).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CC777C1"/>
    <w:multiLevelType w:val="hybridMultilevel"/>
    <w:tmpl w:val="2A36A3FA"/>
    <w:lvl w:ilvl="0" w:tplc="FAC61C8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4304011"/>
    <w:multiLevelType w:val="hybridMultilevel"/>
    <w:tmpl w:val="06C885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7990D18"/>
    <w:multiLevelType w:val="hybridMultilevel"/>
    <w:tmpl w:val="DE54FD5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4"/>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6"/>
  </w:num>
  <w:num w:numId="17" w16cid:durableId="1058630122">
    <w:abstractNumId w:val="11"/>
  </w:num>
  <w:num w:numId="18" w16cid:durableId="2120908136">
    <w:abstractNumId w:val="12"/>
  </w:num>
  <w:num w:numId="19" w16cid:durableId="686714860">
    <w:abstractNumId w:val="27"/>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42311960">
    <w:abstractNumId w:val="22"/>
  </w:num>
  <w:num w:numId="35" w16cid:durableId="2028676146">
    <w:abstractNumId w:val="25"/>
  </w:num>
  <w:num w:numId="36" w16cid:durableId="34479215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A6C35"/>
    <w:rsid w:val="000D129C"/>
    <w:rsid w:val="000F371B"/>
    <w:rsid w:val="000F4CD5"/>
    <w:rsid w:val="00111AB6"/>
    <w:rsid w:val="001D0A81"/>
    <w:rsid w:val="002109E6"/>
    <w:rsid w:val="0022087F"/>
    <w:rsid w:val="00235C9C"/>
    <w:rsid w:val="00252050"/>
    <w:rsid w:val="002A2454"/>
    <w:rsid w:val="002B3CBF"/>
    <w:rsid w:val="002C13C3"/>
    <w:rsid w:val="002C49D0"/>
    <w:rsid w:val="002E40A9"/>
    <w:rsid w:val="00305F9F"/>
    <w:rsid w:val="00394447"/>
    <w:rsid w:val="003C6291"/>
    <w:rsid w:val="003E50A4"/>
    <w:rsid w:val="00402725"/>
    <w:rsid w:val="0040388A"/>
    <w:rsid w:val="00431778"/>
    <w:rsid w:val="00454CC7"/>
    <w:rsid w:val="00464195"/>
    <w:rsid w:val="00476034"/>
    <w:rsid w:val="005168AD"/>
    <w:rsid w:val="0058240F"/>
    <w:rsid w:val="00592CD5"/>
    <w:rsid w:val="005B21EF"/>
    <w:rsid w:val="005D1B85"/>
    <w:rsid w:val="005F22AC"/>
    <w:rsid w:val="00665583"/>
    <w:rsid w:val="00693BC6"/>
    <w:rsid w:val="00696070"/>
    <w:rsid w:val="007E531E"/>
    <w:rsid w:val="007F02AC"/>
    <w:rsid w:val="007F7012"/>
    <w:rsid w:val="008D02B7"/>
    <w:rsid w:val="008F0B52"/>
    <w:rsid w:val="008F4908"/>
    <w:rsid w:val="008F4BA9"/>
    <w:rsid w:val="00994062"/>
    <w:rsid w:val="00995BAC"/>
    <w:rsid w:val="00996CC6"/>
    <w:rsid w:val="009A1EA0"/>
    <w:rsid w:val="009A2F00"/>
    <w:rsid w:val="009C5E27"/>
    <w:rsid w:val="00A033AD"/>
    <w:rsid w:val="00AB2CEA"/>
    <w:rsid w:val="00AF6424"/>
    <w:rsid w:val="00B24CC5"/>
    <w:rsid w:val="00B3644B"/>
    <w:rsid w:val="00B65513"/>
    <w:rsid w:val="00B73F08"/>
    <w:rsid w:val="00B8014C"/>
    <w:rsid w:val="00BF2585"/>
    <w:rsid w:val="00C06724"/>
    <w:rsid w:val="00C3254D"/>
    <w:rsid w:val="00C340EB"/>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65F"/>
    <w:rsid w:val="00F4683D"/>
    <w:rsid w:val="00F6462F"/>
    <w:rsid w:val="00F650C7"/>
    <w:rsid w:val="00F6573D"/>
    <w:rsid w:val="00F91B73"/>
    <w:rsid w:val="00F93413"/>
    <w:rsid w:val="00FB4407"/>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de-DE"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de/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opa.eu/europass/de/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DE/TXT/?uri=CELEX:32015D0444" TargetMode="Externa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r>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r>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 w:val="00FF655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EUROPÄISCHE KOMMISSION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AE35A-A4C1-488B-8A80-41955AE84979}">
  <ds:schemaRefs>
    <ds:schemaRef ds:uri="http://purl.org/dc/terms/"/>
    <ds:schemaRef ds:uri="http://schemas.microsoft.com/office/2006/documentManagement/types"/>
    <ds:schemaRef ds:uri="1929b814-5a78-4bdc-9841-d8b9ef424f65"/>
    <ds:schemaRef ds:uri="http://schemas.microsoft.com/sharepoint/v3/fields"/>
    <ds:schemaRef ds:uri="http://schemas.microsoft.com/office/infopath/2007/PartnerControls"/>
    <ds:schemaRef ds:uri="http://schemas.openxmlformats.org/package/2006/metadata/core-properties"/>
    <ds:schemaRef ds:uri="http://purl.org/dc/dcmitype/"/>
    <ds:schemaRef ds:uri="http://purl.org/dc/elements/1.1/"/>
    <ds:schemaRef ds:uri="08927195-b699-4be0-9ee2-6c66dc215b5a"/>
    <ds:schemaRef ds:uri="a41a97bf-0494-41d8-ba3d-259bd7771890"/>
    <ds:schemaRef ds:uri="http://schemas.microsoft.com/office/2006/metadata/properties"/>
    <ds:schemaRef ds:uri="http://www.w3.org/XML/1998/namespace"/>
    <ds:schemaRef ds:uri="30c666ed-fe46-43d6-bf30-6de2567680e6"/>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A91FC048-D8FD-43D2-AF4E-B8D135FA78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1670</Words>
  <Characters>9524</Characters>
  <Application>Microsoft Office Word</Application>
  <DocSecurity>0</DocSecurity>
  <PresentationFormat>Microsoft Word 14.0</PresentationFormat>
  <Lines>79</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2024-12-12T10:56:00Z</cp:lastPrinted>
  <dcterms:created xsi:type="dcterms:W3CDTF">2025-01-13T09:45:00Z</dcterms:created>
  <dcterms:modified xsi:type="dcterms:W3CDTF">2025-01-13T14:02:00Z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