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706E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706E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706E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706E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706E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706E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9021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91D04B" w:rsidR="00377580" w:rsidRPr="00080A71" w:rsidRDefault="0019021C" w:rsidP="005F6927">
                <w:pPr>
                  <w:tabs>
                    <w:tab w:val="left" w:pos="426"/>
                  </w:tabs>
                  <w:rPr>
                    <w:bCs/>
                    <w:lang w:val="en-IE" w:eastAsia="en-GB"/>
                  </w:rPr>
                </w:pPr>
                <w:r>
                  <w:rPr>
                    <w:bCs/>
                    <w:lang w:val="fr-BE" w:eastAsia="en-GB"/>
                  </w:rPr>
                  <w:t>INTPA-G-5</w:t>
                </w:r>
              </w:p>
            </w:tc>
          </w:sdtContent>
        </w:sdt>
      </w:tr>
      <w:tr w:rsidR="00377580" w:rsidRPr="0019021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2CD4D79" w:rsidR="00377580" w:rsidRPr="00080A71" w:rsidRDefault="0019021C" w:rsidP="005F6927">
                <w:pPr>
                  <w:tabs>
                    <w:tab w:val="left" w:pos="426"/>
                  </w:tabs>
                  <w:rPr>
                    <w:bCs/>
                    <w:lang w:val="en-IE" w:eastAsia="en-GB"/>
                  </w:rPr>
                </w:pPr>
                <w:r>
                  <w:rPr>
                    <w:bCs/>
                    <w:lang w:val="fr-BE" w:eastAsia="en-GB"/>
                  </w:rPr>
                  <w:t>318885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4EF3950" w:rsidR="00377580" w:rsidRPr="00080A71" w:rsidRDefault="0019021C" w:rsidP="005F6927">
                <w:pPr>
                  <w:tabs>
                    <w:tab w:val="left" w:pos="426"/>
                  </w:tabs>
                  <w:rPr>
                    <w:bCs/>
                    <w:lang w:val="en-IE" w:eastAsia="en-GB"/>
                  </w:rPr>
                </w:pPr>
                <w:r>
                  <w:rPr>
                    <w:bCs/>
                    <w:lang w:val="fr-BE" w:eastAsia="en-GB"/>
                  </w:rPr>
                  <w:t>Daniel GIOREV</w:t>
                </w:r>
              </w:p>
            </w:sdtContent>
          </w:sdt>
          <w:p w14:paraId="32DD8032" w14:textId="60D484FE" w:rsidR="00377580" w:rsidRPr="001D3EEC" w:rsidRDefault="00F706E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9021C">
                  <w:rPr>
                    <w:bCs/>
                    <w:lang w:val="fr-BE" w:eastAsia="en-GB"/>
                  </w:rPr>
                  <w:t>1</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9021C">
                      <w:rPr>
                        <w:bCs/>
                        <w:lang w:val="en-IE" w:eastAsia="en-GB"/>
                      </w:rPr>
                      <w:t>2025</w:t>
                    </w:r>
                  </w:sdtContent>
                </w:sdt>
              </w:sdtContent>
            </w:sdt>
            <w:r w:rsidR="00377580" w:rsidRPr="001D3EEC">
              <w:rPr>
                <w:bCs/>
                <w:lang w:val="fr-BE" w:eastAsia="en-GB"/>
              </w:rPr>
              <w:t xml:space="preserve"> </w:t>
            </w:r>
          </w:p>
          <w:p w14:paraId="768BBE26" w14:textId="541C8746" w:rsidR="00377580" w:rsidRPr="001D3EEC" w:rsidRDefault="00F706E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9021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9021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59E339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65C477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F706E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706E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706E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B1C2EC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19021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6E7106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6A4541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19021C">
                  <w:rPr>
                    <w:bCs/>
                    <w:lang w:val="fr-BE" w:eastAsia="en-GB"/>
                  </w:rPr>
                  <w:t>1</w:t>
                </w:r>
                <w:r w:rsidR="00F706E8">
                  <w:rPr>
                    <w:bCs/>
                    <w:lang w:val="fr-BE" w:eastAsia="en-GB"/>
                  </w:rPr>
                  <w:t>7</w:t>
                </w:r>
                <w:r w:rsidR="0019021C">
                  <w:rPr>
                    <w:bCs/>
                    <w:lang w:val="fr-BE" w:eastAsia="en-GB"/>
                  </w:rPr>
                  <w:t>-12-2024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707136202"/>
            <w:placeholder>
              <w:docPart w:val="77EF8B1664CE45BC89A6F63C349CECCA"/>
            </w:placeholder>
          </w:sdtPr>
          <w:sdtEndPr/>
          <w:sdtContent>
            <w:p w14:paraId="5AA73D35" w14:textId="77777777" w:rsidR="0019021C" w:rsidRDefault="0019021C" w:rsidP="0019021C">
              <w:pPr>
                <w:rPr>
                  <w:lang w:val="fr-BE" w:eastAsia="en-GB"/>
                </w:rPr>
              </w:pPr>
              <w:r>
                <w:rPr>
                  <w:lang w:val="fr-BE" w:eastAsia="en-GB"/>
                </w:rPr>
                <w:t xml:space="preserve">Au sein de la Commission Européenne, la Direction Générale des Partenariats Internationaux </w:t>
              </w:r>
              <w:proofErr w:type="gramStart"/>
              <w:r>
                <w:rPr>
                  <w:lang w:val="fr-BE" w:eastAsia="en-GB"/>
                </w:rPr>
                <w:t>est en charge</w:t>
              </w:r>
              <w:proofErr w:type="gramEnd"/>
              <w:r>
                <w:rPr>
                  <w:lang w:val="fr-BE" w:eastAsia="en-GB"/>
                </w:rPr>
                <w:t xml:space="preserve"> de la politique de coopération au développement et de l’action extérieur de l’UE. Cela comprend la coopération avec les pays en voie de développement et la garantie de liens étroits et de cohérence entre les politiques et priorités internes de l’UE et son action extérieur.</w:t>
              </w:r>
            </w:p>
            <w:p w14:paraId="5CE4118A" w14:textId="77777777" w:rsidR="0019021C" w:rsidRDefault="0019021C" w:rsidP="0019021C">
              <w:pPr>
                <w:rPr>
                  <w:lang w:val="fr-BE" w:eastAsia="en-GB"/>
                </w:rPr>
              </w:pPr>
              <w:r>
                <w:rPr>
                  <w:lang w:val="fr-BE" w:eastAsia="en-GB"/>
                </w:rPr>
                <w:lastRenderedPageBreak/>
                <w:t>Dans le cadre du mandat général de la DG INTPA, et au sein de la direction G « Développement humain, migration, gouvernance et paix », l'unité thématique G5 « Résilience, paix, sécurité » formule et coordone les politiques sectorielles dans ces domaines :</w:t>
              </w:r>
            </w:p>
            <w:p w14:paraId="3481BB91" w14:textId="77777777" w:rsidR="0019021C" w:rsidRDefault="0019021C" w:rsidP="0019021C">
              <w:pPr>
                <w:rPr>
                  <w:lang w:val="fr-BE" w:eastAsia="en-GB"/>
                </w:rPr>
              </w:pPr>
              <w:r>
                <w:rPr>
                  <w:lang w:val="fr-BE" w:eastAsia="en-GB"/>
                </w:rPr>
                <w:t>- Agir en tant que centre d'expertise pour la coopération en matière de réforme du secteur de la sécurité (RSS), de criminalité transnationale organisée, de protection des infrastructures critiques, de prévention et de lutte contre l'extrémisme violent, de flux financiers illicites, de lutte contre le blanchiment d'argent et de lutte contre le financement du terrorisme et les menaces hybrides.</w:t>
              </w:r>
            </w:p>
            <w:p w14:paraId="70057ABF" w14:textId="77777777" w:rsidR="0019021C" w:rsidRDefault="0019021C" w:rsidP="0019021C">
              <w:pPr>
                <w:rPr>
                  <w:lang w:val="fr-BE" w:eastAsia="en-GB"/>
                </w:rPr>
              </w:pPr>
              <w:r>
                <w:rPr>
                  <w:lang w:val="fr-BE" w:eastAsia="en-GB"/>
                </w:rPr>
                <w:t>- Fournir une expertise dans les domaines de la résilience, de la paix et de la sécurité.</w:t>
              </w:r>
            </w:p>
            <w:p w14:paraId="1D42DFC2" w14:textId="77777777" w:rsidR="0019021C" w:rsidRDefault="0019021C" w:rsidP="0019021C">
              <w:pPr>
                <w:rPr>
                  <w:lang w:val="fr-BE" w:eastAsia="en-GB"/>
                </w:rPr>
              </w:pPr>
              <w:r>
                <w:rPr>
                  <w:lang w:val="fr-BE" w:eastAsia="en-GB"/>
                </w:rPr>
                <w:t>- Travailler à l'intégration du lien entre l'humanitaire, le développement et la paix dans le travail de l'UE au siège et sur le terrain.</w:t>
              </w:r>
            </w:p>
            <w:p w14:paraId="298EDE62" w14:textId="77777777" w:rsidR="0019021C" w:rsidRDefault="0019021C" w:rsidP="0019021C">
              <w:pPr>
                <w:rPr>
                  <w:lang w:val="fr-BE" w:eastAsia="en-GB"/>
                </w:rPr>
              </w:pPr>
              <w:r>
                <w:rPr>
                  <w:lang w:val="fr-BE" w:eastAsia="en-GB"/>
                </w:rPr>
                <w:t xml:space="preserve">- Fournir une expertise et un soutien au renforcement des capacités et veiller à la sensibilité aux conflits, à la consolidation de la paix et aux approches de résilience dans les pays touchés par des crises et/ou des fragilités. </w:t>
              </w:r>
            </w:p>
            <w:p w14:paraId="68F62553" w14:textId="77777777" w:rsidR="0019021C" w:rsidRDefault="0019021C" w:rsidP="0019021C">
              <w:pPr>
                <w:rPr>
                  <w:lang w:val="fr-BE" w:eastAsia="en-GB"/>
                </w:rPr>
              </w:pPr>
              <w:r>
                <w:rPr>
                  <w:lang w:val="fr-BE" w:eastAsia="en-GB"/>
                </w:rPr>
                <w:t>- Gérer conjointement les outils de préparation et d'analyse des crises de l'UE (par exemple, le système d'alerte précoce ou d’analyse conflit).</w:t>
              </w:r>
            </w:p>
            <w:p w14:paraId="4602C52E" w14:textId="77777777" w:rsidR="0019021C" w:rsidRDefault="0019021C" w:rsidP="0019021C">
              <w:pPr>
                <w:rPr>
                  <w:lang w:val="fr-BE" w:eastAsia="en-GB"/>
                </w:rPr>
              </w:pPr>
              <w:r>
                <w:rPr>
                  <w:lang w:val="fr-BE" w:eastAsia="en-GB"/>
                </w:rPr>
                <w:t>- Agir en tant que point focal et entité de coordination sur les questions susmentionnées avec un certain nombre de partenaires tels que les institutions de Bretton Woods, l'OCDE et les Nations unies (PNUD, Bureau d'appui à la consolidation de la paix des Nations unies, Office des Nations unies contre la drogue et le crime, Office des Nations unies contre le terrorisme), ainsi que d'autres organismes et organisations internationaux spécialisés (Interpol, Groupe d'action financière internationale).</w:t>
              </w:r>
            </w:p>
            <w:p w14:paraId="7353625B" w14:textId="77777777" w:rsidR="0019021C" w:rsidRDefault="0019021C" w:rsidP="0019021C">
              <w:pPr>
                <w:rPr>
                  <w:lang w:val="fr-BE" w:eastAsia="en-GB"/>
                </w:rPr>
              </w:pPr>
              <w:r>
                <w:rPr>
                  <w:lang w:val="fr-BE" w:eastAsia="en-GB"/>
                </w:rPr>
                <w:t>Le travail de l'unité s'inscrit dans les priorités générales de l'UE, y compris la stratégie « Global Gateway ».</w:t>
              </w:r>
            </w:p>
            <w:p w14:paraId="18140A21" w14:textId="0CDD34DD" w:rsidR="001A0074" w:rsidRPr="0019021C" w:rsidRDefault="0019021C" w:rsidP="001A0074">
              <w:pPr>
                <w:rPr>
                  <w:lang w:val="fr-BE" w:eastAsia="en-GB"/>
                </w:rPr>
              </w:pPr>
              <w:r>
                <w:rPr>
                  <w:lang w:val="fr-BE" w:eastAsia="en-GB"/>
                </w:rPr>
                <w:t>L'unité comprend deux équipes interdépendantes (1) Paix/Résilience et (2) Sécurité qui travaille avec un large éventail d'interlocuteurs au sein du système de l'UE (notamment les autres services de la Commission européenne, le Service d'action extérieure, les délégations de l'UE et les États membres de l'UE...), dans les pays partenaires du monde entier (Afrique, Amérique latine et Caraïbes, Asie et Pacifique), ainsi qu'au niveau international (notamment avec d'autres organisations multilatérales et des organismes spécialisés intra-gouvernementaux).</w:t>
              </w:r>
            </w:p>
          </w:sdtContent>
        </w:sdt>
      </w:sdtContent>
    </w:sdt>
    <w:p w14:paraId="30B422AA" w14:textId="77777777" w:rsidR="00301CA3" w:rsidRPr="00F706E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917716145"/>
            <w:placeholder>
              <w:docPart w:val="A085A0F4870C447C9A78B855C83937BD"/>
            </w:placeholder>
          </w:sdtPr>
          <w:sdtEndPr/>
          <w:sdtContent>
            <w:p w14:paraId="02DBECC5" w14:textId="77777777" w:rsidR="0019021C" w:rsidRDefault="0019021C" w:rsidP="0019021C">
              <w:pPr>
                <w:rPr>
                  <w:lang w:val="fr-BE" w:eastAsia="en-GB"/>
                </w:rPr>
              </w:pPr>
              <w:r>
                <w:rPr>
                  <w:lang w:val="fr-BE" w:eastAsia="en-GB"/>
                </w:rPr>
                <w:t>Compte tenu de l'ambition de la nouvelle Commission de travailler sur une stratégie de l'Union en matière de préparation aux crises et aux nouvelles menaces, y compris les menaces hybrides ; ainsi que des changements du context géopolitiques et de l'escalade des menaces de guerre hybride déstabilisant les pays en développement, la DG INTPA G5 est à la recherche d'un expert spécialisé dans les menaces hybrides.</w:t>
              </w:r>
            </w:p>
            <w:p w14:paraId="4A16F57E" w14:textId="77777777" w:rsidR="0019021C" w:rsidRDefault="0019021C" w:rsidP="0019021C">
              <w:pPr>
                <w:rPr>
                  <w:lang w:val="fr-BE" w:eastAsia="en-GB"/>
                </w:rPr>
              </w:pPr>
              <w:r>
                <w:rPr>
                  <w:lang w:val="fr-BE" w:eastAsia="en-GB"/>
                </w:rPr>
                <w:t xml:space="preserve">Il/elle devra : </w:t>
              </w:r>
            </w:p>
            <w:p w14:paraId="6DD4B7E4" w14:textId="77777777" w:rsidR="0019021C" w:rsidRDefault="0019021C" w:rsidP="0019021C">
              <w:pPr>
                <w:rPr>
                  <w:lang w:val="fr-BE" w:eastAsia="en-GB"/>
                </w:rPr>
              </w:pPr>
              <w:r>
                <w:rPr>
                  <w:lang w:val="fr-BE" w:eastAsia="en-GB"/>
                </w:rPr>
                <w:lastRenderedPageBreak/>
                <w:t xml:space="preserve">- Conseiller et soutenir les délégations de l'UE et les unités INTPA, en particulier les unités géographiques, dans la conception de programmes et de politiques de l'UE sur la lutte contre les menaces hybrides, ainsi que d'initiatives visant à renforcer les capacités des pays à lutter contre les menaces hybrides, à renforcer la résilience et à accroître la sensibilisation, y compris dans le contexte de la stratégie « Global Gateway ». </w:t>
              </w:r>
            </w:p>
            <w:p w14:paraId="149FA3DC" w14:textId="77777777" w:rsidR="0019021C" w:rsidRDefault="0019021C" w:rsidP="0019021C">
              <w:pPr>
                <w:rPr>
                  <w:lang w:val="fr-BE" w:eastAsia="en-GB"/>
                </w:rPr>
              </w:pPr>
              <w:r>
                <w:rPr>
                  <w:lang w:val="fr-BE" w:eastAsia="en-GB"/>
                </w:rPr>
                <w:t xml:space="preserve">- Suivre et analyser les tendances mondiales en matière de cybermenaces, d'ingérence étrangère, de manipulation de l'information, de cyberattaques ou d'utilisation abusive de l'intelligence artificielle. </w:t>
              </w:r>
            </w:p>
            <w:p w14:paraId="4B5DF67A" w14:textId="77777777" w:rsidR="0019021C" w:rsidRDefault="0019021C" w:rsidP="0019021C">
              <w:pPr>
                <w:rPr>
                  <w:lang w:val="fr-BE" w:eastAsia="en-GB"/>
                </w:rPr>
              </w:pPr>
              <w:r>
                <w:rPr>
                  <w:lang w:val="fr-BE" w:eastAsia="en-GB"/>
                </w:rPr>
                <w:t xml:space="preserve">- Contribuer à l'élaboration de la politique de l'UE en matière de lutte contre les menaces hybrides, en étroite collaboration avec l’EEAS et les services de la COM, et tirer des enseignements utiles pour les pays partenaires. </w:t>
              </w:r>
              <w:r>
                <w:rPr>
                  <w:lang w:val="fr-BE" w:eastAsia="en-GB"/>
                </w:rPr>
                <w:tab/>
              </w:r>
            </w:p>
            <w:p w14:paraId="6EC59211" w14:textId="77777777" w:rsidR="0019021C" w:rsidRDefault="0019021C" w:rsidP="0019021C">
              <w:pPr>
                <w:rPr>
                  <w:lang w:val="fr-BE" w:eastAsia="en-GB"/>
                </w:rPr>
              </w:pPr>
              <w:r>
                <w:rPr>
                  <w:lang w:val="fr-BE" w:eastAsia="en-GB"/>
                </w:rPr>
                <w:t xml:space="preserve">- Collaborer avec des partenaires internationaux (y compris le Centre européen d'excellence pour la lutte contre les menaces hybrides) afin de partager les meilleures pratiques et de développer des initiatives communes. </w:t>
              </w:r>
            </w:p>
            <w:p w14:paraId="2C8177A9" w14:textId="77777777" w:rsidR="0019021C" w:rsidRDefault="0019021C" w:rsidP="0019021C">
              <w:pPr>
                <w:rPr>
                  <w:lang w:val="fr-BE" w:eastAsia="en-GB"/>
                </w:rPr>
              </w:pPr>
              <w:r>
                <w:rPr>
                  <w:lang w:val="fr-BE" w:eastAsia="en-GB"/>
                </w:rPr>
                <w:t>- Établir et entretenir des relations avec les principales parties prenantes, notamment les institutions de l'UE, les États membres, les organisations internationales, le personnel universitaire, les groupes de réflexion et la société civile.</w:t>
              </w:r>
            </w:p>
            <w:p w14:paraId="3B1D2FA2" w14:textId="3CC20ECA" w:rsidR="001A0074" w:rsidRPr="0019021C" w:rsidRDefault="0019021C" w:rsidP="001A0074">
              <w:pPr>
                <w:rPr>
                  <w:lang w:val="fr-BE" w:eastAsia="en-GB"/>
                </w:rPr>
              </w:pPr>
              <w:r>
                <w:rPr>
                  <w:lang w:val="fr-BE" w:eastAsia="en-GB"/>
                </w:rPr>
                <w:t>- Participer dans les forums internationaux et les groupes de travail sur les menaces hybrides.</w:t>
              </w:r>
            </w:p>
          </w:sdtContent>
        </w:sd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2063677674"/>
            <w:placeholder>
              <w:docPart w:val="8DA2058667D54FCBBF71ABBAA739D27C"/>
            </w:placeholder>
          </w:sdtPr>
          <w:sdtEndPr/>
          <w:sdtContent>
            <w:sdt>
              <w:sdtPr>
                <w:rPr>
                  <w:bCs/>
                  <w:lang w:val="fr-BE" w:eastAsia="en-GB"/>
                </w:rPr>
                <w:id w:val="17669168"/>
                <w:placeholder>
                  <w:docPart w:val="018AD914B6444430A9BCD0F9C82945B7"/>
                </w:placeholder>
              </w:sdtPr>
              <w:sdtEndPr/>
              <w:sdtContent>
                <w:p w14:paraId="6584E59F" w14:textId="77777777" w:rsidR="0019021C" w:rsidRDefault="0019021C" w:rsidP="0019021C">
                  <w:pPr>
                    <w:tabs>
                      <w:tab w:val="left" w:pos="426"/>
                    </w:tabs>
                    <w:rPr>
                      <w:bCs/>
                      <w:lang w:val="fr-BE" w:eastAsia="en-GB"/>
                    </w:rPr>
                  </w:pPr>
                  <w:r>
                    <w:rPr>
                      <w:bCs/>
                      <w:lang w:val="fr-BE" w:eastAsia="en-GB"/>
                    </w:rPr>
                    <w:t xml:space="preserve"> Le candidat doit être titulaire d'un master en relations internationales, en études de sécurité, en cybersécurité ou dans un domaine connexe. </w:t>
                  </w:r>
                </w:p>
                <w:p w14:paraId="3669E4E5" w14:textId="77777777" w:rsidR="0019021C" w:rsidRDefault="0019021C" w:rsidP="0019021C">
                  <w:pPr>
                    <w:tabs>
                      <w:tab w:val="left" w:pos="426"/>
                    </w:tabs>
                    <w:rPr>
                      <w:bCs/>
                      <w:lang w:val="fr-BE" w:eastAsia="en-GB"/>
                    </w:rPr>
                  </w:pPr>
                  <w:r>
                    <w:rPr>
                      <w:bCs/>
                      <w:lang w:val="fr-BE" w:eastAsia="en-GB"/>
                    </w:rPr>
                    <w:t>Au moins cinq ans d'expérience dans la surveillance et la lutte contre les menaces hybrides, en particulier les cybermenaces, l'ingérence étrangère et la manipulation de l'information/désinformation.</w:t>
                  </w:r>
                </w:p>
                <w:p w14:paraId="177F00C2" w14:textId="77777777" w:rsidR="0019021C" w:rsidRDefault="0019021C" w:rsidP="0019021C">
                  <w:pPr>
                    <w:tabs>
                      <w:tab w:val="left" w:pos="426"/>
                    </w:tabs>
                    <w:rPr>
                      <w:bCs/>
                      <w:lang w:val="fr-BE" w:eastAsia="en-GB"/>
                    </w:rPr>
                  </w:pPr>
                  <w:r>
                    <w:rPr>
                      <w:bCs/>
                      <w:lang w:val="fr-BE" w:eastAsia="en-GB"/>
                    </w:rPr>
                    <w:t>Forte compréhension des politiques et des cadres de l'UE en matière de sécurité et de menaces hybrides.</w:t>
                  </w:r>
                </w:p>
                <w:p w14:paraId="7E4CC49A" w14:textId="77777777" w:rsidR="0019021C" w:rsidRDefault="0019021C" w:rsidP="0019021C">
                  <w:pPr>
                    <w:tabs>
                      <w:tab w:val="left" w:pos="426"/>
                    </w:tabs>
                    <w:rPr>
                      <w:bCs/>
                      <w:lang w:val="fr-BE" w:eastAsia="en-GB"/>
                    </w:rPr>
                  </w:pPr>
                  <w:r>
                    <w:rPr>
                      <w:bCs/>
                      <w:lang w:val="fr-BE" w:eastAsia="en-GB"/>
                    </w:rPr>
                    <w:t>Expérience avérée en matière de conseils stratégiques et d'initiatives de renforcement des capacités.</w:t>
                  </w:r>
                </w:p>
                <w:p w14:paraId="621F35A3" w14:textId="77777777" w:rsidR="0019021C" w:rsidRDefault="0019021C" w:rsidP="0019021C">
                  <w:pPr>
                    <w:tabs>
                      <w:tab w:val="left" w:pos="426"/>
                    </w:tabs>
                    <w:rPr>
                      <w:bCs/>
                      <w:lang w:val="fr-BE" w:eastAsia="en-GB"/>
                    </w:rPr>
                  </w:pPr>
                  <w:r>
                    <w:rPr>
                      <w:bCs/>
                      <w:lang w:val="fr-BE" w:eastAsia="en-GB"/>
                    </w:rPr>
                    <w:t>Excellentes compétences en matière d'analyse, de communication et de relations interpersonnelles.</w:t>
                  </w:r>
                </w:p>
                <w:p w14:paraId="251215B8" w14:textId="279C488B" w:rsidR="0019021C" w:rsidRDefault="0019021C" w:rsidP="0019021C">
                  <w:pPr>
                    <w:tabs>
                      <w:tab w:val="left" w:pos="426"/>
                    </w:tabs>
                    <w:rPr>
                      <w:bCs/>
                      <w:lang w:val="fr-BE" w:eastAsia="en-GB"/>
                    </w:rPr>
                  </w:pPr>
                  <w:r>
                    <w:rPr>
                      <w:bCs/>
                      <w:lang w:val="fr-BE" w:eastAsia="en-GB"/>
                    </w:rPr>
                    <w:t>Capacité à travailler dans un environnement dynamique et rapide et à gérer des priorités multiples.</w:t>
                  </w:r>
                </w:p>
                <w:p w14:paraId="41D7F242" w14:textId="77777777" w:rsidR="0019021C" w:rsidRDefault="0019021C" w:rsidP="0019021C">
                  <w:pPr>
                    <w:tabs>
                      <w:tab w:val="left" w:pos="426"/>
                    </w:tabs>
                    <w:rPr>
                      <w:bCs/>
                      <w:lang w:val="fr-BE" w:eastAsia="en-GB"/>
                    </w:rPr>
                  </w:pPr>
                </w:p>
                <w:p w14:paraId="1475B395" w14:textId="77777777" w:rsidR="0019021C" w:rsidRDefault="0019021C" w:rsidP="0019021C">
                  <w:pPr>
                    <w:tabs>
                      <w:tab w:val="left" w:pos="426"/>
                    </w:tabs>
                    <w:rPr>
                      <w:bCs/>
                      <w:lang w:val="fr-BE" w:eastAsia="en-GB"/>
                    </w:rPr>
                  </w:pPr>
                  <w:r>
                    <w:rPr>
                      <w:bCs/>
                      <w:lang w:val="fr-BE" w:eastAsia="en-GB"/>
                    </w:rPr>
                    <w:t>Compétences souhaitées :</w:t>
                  </w:r>
                </w:p>
                <w:p w14:paraId="02771A4C" w14:textId="77777777" w:rsidR="0019021C" w:rsidRDefault="0019021C" w:rsidP="0019021C">
                  <w:pPr>
                    <w:tabs>
                      <w:tab w:val="left" w:pos="426"/>
                    </w:tabs>
                    <w:rPr>
                      <w:bCs/>
                      <w:lang w:val="fr-BE" w:eastAsia="en-GB"/>
                    </w:rPr>
                  </w:pPr>
                  <w:r>
                    <w:rPr>
                      <w:bCs/>
                      <w:lang w:val="fr-BE" w:eastAsia="en-GB"/>
                    </w:rPr>
                    <w:t>Expérience de travail avec des délégations de l'UE ou des organisations internationales.</w:t>
                  </w:r>
                </w:p>
                <w:p w14:paraId="2E388DCF" w14:textId="77777777" w:rsidR="0019021C" w:rsidRDefault="0019021C" w:rsidP="0019021C">
                  <w:pPr>
                    <w:tabs>
                      <w:tab w:val="left" w:pos="426"/>
                    </w:tabs>
                    <w:rPr>
                      <w:bCs/>
                      <w:lang w:val="fr-BE" w:eastAsia="en-GB"/>
                    </w:rPr>
                  </w:pPr>
                  <w:r>
                    <w:rPr>
                      <w:bCs/>
                      <w:lang w:val="fr-BE" w:eastAsia="en-GB"/>
                    </w:rPr>
                    <w:lastRenderedPageBreak/>
                    <w:t>Connaissance de l'intelligence artificielle et de son utilisation abusive potentielle dans les menaces hybrides.</w:t>
                  </w:r>
                </w:p>
                <w:p w14:paraId="4AA4FA85" w14:textId="77777777" w:rsidR="0019021C" w:rsidRDefault="0019021C" w:rsidP="0019021C">
                  <w:pPr>
                    <w:tabs>
                      <w:tab w:val="left" w:pos="426"/>
                    </w:tabs>
                    <w:rPr>
                      <w:bCs/>
                      <w:lang w:val="fr-BE" w:eastAsia="en-GB"/>
                    </w:rPr>
                  </w:pPr>
                  <w:r>
                    <w:rPr>
                      <w:bCs/>
                      <w:lang w:val="fr-BE" w:eastAsia="en-GB"/>
                    </w:rPr>
                    <w:t>De solides compétences analytiques sont requises.</w:t>
                  </w:r>
                </w:p>
                <w:p w14:paraId="362B9343" w14:textId="77777777" w:rsidR="0019021C" w:rsidRDefault="0019021C" w:rsidP="0019021C">
                  <w:pPr>
                    <w:tabs>
                      <w:tab w:val="left" w:pos="426"/>
                    </w:tabs>
                    <w:rPr>
                      <w:bCs/>
                      <w:lang w:val="fr-BE" w:eastAsia="en-GB"/>
                    </w:rPr>
                  </w:pPr>
                  <w:r>
                    <w:rPr>
                      <w:bCs/>
                      <w:lang w:val="fr-BE" w:eastAsia="en-GB"/>
                    </w:rPr>
                    <w:t>Maîtrise de l'anglais et du français.</w:t>
                  </w:r>
                </w:p>
                <w:p w14:paraId="40BD4E1A" w14:textId="77777777" w:rsidR="0019021C" w:rsidRDefault="0019021C" w:rsidP="0019021C">
                  <w:pPr>
                    <w:tabs>
                      <w:tab w:val="left" w:pos="426"/>
                    </w:tabs>
                    <w:rPr>
                      <w:bCs/>
                      <w:lang w:val="fr-BE" w:eastAsia="en-GB"/>
                    </w:rPr>
                  </w:pPr>
                  <w:r>
                    <w:rPr>
                      <w:bCs/>
                      <w:lang w:val="fr-BE" w:eastAsia="en-GB"/>
                    </w:rPr>
                    <w:t xml:space="preserve">Une expérience sur le terrain sera considérée comme un atout majeur. </w:t>
                  </w:r>
                </w:p>
                <w:p w14:paraId="7E409EA7" w14:textId="29993F89" w:rsidR="001A0074" w:rsidRPr="0019021C" w:rsidRDefault="0019021C" w:rsidP="0019021C">
                  <w:pPr>
                    <w:tabs>
                      <w:tab w:val="left" w:pos="426"/>
                    </w:tabs>
                    <w:rPr>
                      <w:bCs/>
                      <w:lang w:val="fr-BE" w:eastAsia="en-GB"/>
                    </w:rPr>
                  </w:pPr>
                  <w:r>
                    <w:rPr>
                      <w:bCs/>
                      <w:lang w:val="fr-BE" w:eastAsia="en-GB"/>
                    </w:rPr>
                    <w:t>Une habilitation de sécurité est requise.</w:t>
                  </w:r>
                </w:p>
              </w:sdtContent>
            </w:sdt>
          </w:sdtContent>
        </w:sdt>
      </w:sdtContent>
    </w:sdt>
    <w:p w14:paraId="5D76C15C" w14:textId="77777777" w:rsidR="00F65CC2" w:rsidRPr="00F706E8" w:rsidRDefault="00F65CC2" w:rsidP="00377580">
      <w:pPr>
        <w:rPr>
          <w:b/>
          <w:lang w:val="pt-PT"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699941573">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9021C"/>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65CC2"/>
    <w:rsid w:val="00F706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45882869">
      <w:bodyDiv w:val="1"/>
      <w:marLeft w:val="0"/>
      <w:marRight w:val="0"/>
      <w:marTop w:val="0"/>
      <w:marBottom w:val="0"/>
      <w:divBdr>
        <w:top w:val="none" w:sz="0" w:space="0" w:color="auto"/>
        <w:left w:val="none" w:sz="0" w:space="0" w:color="auto"/>
        <w:bottom w:val="none" w:sz="0" w:space="0" w:color="auto"/>
        <w:right w:val="none" w:sz="0" w:space="0" w:color="auto"/>
      </w:divBdr>
    </w:div>
    <w:div w:id="808474298">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8457796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7EF8B1664CE45BC89A6F63C349CECCA"/>
        <w:category>
          <w:name w:val="General"/>
          <w:gallery w:val="placeholder"/>
        </w:category>
        <w:types>
          <w:type w:val="bbPlcHdr"/>
        </w:types>
        <w:behaviors>
          <w:behavior w:val="content"/>
        </w:behaviors>
        <w:guid w:val="{E2821263-FE08-4648-92F2-79A2AAF06179}"/>
      </w:docPartPr>
      <w:docPartBody>
        <w:p w:rsidR="00BD6267" w:rsidRDefault="00BD6267" w:rsidP="00BD6267">
          <w:pPr>
            <w:pStyle w:val="77EF8B1664CE45BC89A6F63C349CECCA"/>
          </w:pPr>
          <w:r>
            <w:rPr>
              <w:rStyle w:val="PlaceholderText"/>
            </w:rPr>
            <w:t>Click or tap here to enter text.</w:t>
          </w:r>
        </w:p>
      </w:docPartBody>
    </w:docPart>
    <w:docPart>
      <w:docPartPr>
        <w:name w:val="A085A0F4870C447C9A78B855C83937BD"/>
        <w:category>
          <w:name w:val="General"/>
          <w:gallery w:val="placeholder"/>
        </w:category>
        <w:types>
          <w:type w:val="bbPlcHdr"/>
        </w:types>
        <w:behaviors>
          <w:behavior w:val="content"/>
        </w:behaviors>
        <w:guid w:val="{E8668802-063D-4F43-A1A8-E9C67CC47133}"/>
      </w:docPartPr>
      <w:docPartBody>
        <w:p w:rsidR="00BD6267" w:rsidRDefault="00BD6267" w:rsidP="00BD6267">
          <w:pPr>
            <w:pStyle w:val="A085A0F4870C447C9A78B855C83937BD"/>
          </w:pPr>
          <w:r>
            <w:rPr>
              <w:rStyle w:val="PlaceholderText"/>
            </w:rPr>
            <w:t>Click or tap here to enter text.</w:t>
          </w:r>
        </w:p>
      </w:docPartBody>
    </w:docPart>
    <w:docPart>
      <w:docPartPr>
        <w:name w:val="8DA2058667D54FCBBF71ABBAA739D27C"/>
        <w:category>
          <w:name w:val="General"/>
          <w:gallery w:val="placeholder"/>
        </w:category>
        <w:types>
          <w:type w:val="bbPlcHdr"/>
        </w:types>
        <w:behaviors>
          <w:behavior w:val="content"/>
        </w:behaviors>
        <w:guid w:val="{1463134A-D179-4210-854C-86A902CC2B65}"/>
      </w:docPartPr>
      <w:docPartBody>
        <w:p w:rsidR="00BD6267" w:rsidRDefault="00BD6267" w:rsidP="00BD6267">
          <w:pPr>
            <w:pStyle w:val="8DA2058667D54FCBBF71ABBAA739D27C"/>
          </w:pPr>
          <w:r>
            <w:rPr>
              <w:rStyle w:val="PlaceholderText"/>
            </w:rPr>
            <w:t>Click or tap here to enter text.</w:t>
          </w:r>
        </w:p>
      </w:docPartBody>
    </w:docPart>
    <w:docPart>
      <w:docPartPr>
        <w:name w:val="018AD914B6444430A9BCD0F9C82945B7"/>
        <w:category>
          <w:name w:val="General"/>
          <w:gallery w:val="placeholder"/>
        </w:category>
        <w:types>
          <w:type w:val="bbPlcHdr"/>
        </w:types>
        <w:behaviors>
          <w:behavior w:val="content"/>
        </w:behaviors>
        <w:guid w:val="{E1D4F2FA-CE88-48E3-B07B-95F0D4060CA3}"/>
      </w:docPartPr>
      <w:docPartBody>
        <w:p w:rsidR="00BD6267" w:rsidRDefault="00BD6267" w:rsidP="00BD6267">
          <w:pPr>
            <w:pStyle w:val="018AD914B6444430A9BCD0F9C82945B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A2532"/>
    <w:multiLevelType w:val="multilevel"/>
    <w:tmpl w:val="5896CB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94588781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BD6267"/>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6267"/>
  </w:style>
  <w:style w:type="paragraph" w:customStyle="1" w:styleId="77EF8B1664CE45BC89A6F63C349CECCA">
    <w:name w:val="77EF8B1664CE45BC89A6F63C349CECCA"/>
    <w:rsid w:val="00BD6267"/>
    <w:rPr>
      <w:kern w:val="2"/>
      <w14:ligatures w14:val="standardContextual"/>
    </w:rPr>
  </w:style>
  <w:style w:type="paragraph" w:customStyle="1" w:styleId="A085A0F4870C447C9A78B855C83937BD">
    <w:name w:val="A085A0F4870C447C9A78B855C83937BD"/>
    <w:rsid w:val="00BD6267"/>
    <w:rPr>
      <w:kern w:val="2"/>
      <w14:ligatures w14:val="standardContextual"/>
    </w:rPr>
  </w:style>
  <w:style w:type="paragraph" w:customStyle="1" w:styleId="8DA2058667D54FCBBF71ABBAA739D27C">
    <w:name w:val="8DA2058667D54FCBBF71ABBAA739D27C"/>
    <w:rsid w:val="00BD6267"/>
    <w:rPr>
      <w:kern w:val="2"/>
      <w14:ligatures w14:val="standardContextual"/>
    </w:rPr>
  </w:style>
  <w:style w:type="paragraph" w:customStyle="1" w:styleId="018AD914B6444430A9BCD0F9C82945B7">
    <w:name w:val="018AD914B6444430A9BCD0F9C82945B7"/>
    <w:rsid w:val="00BD6267"/>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1654</Words>
  <Characters>9431</Characters>
  <Application>Microsoft Office Word</Application>
  <DocSecurity>4</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2024-10-11T16:28:00Z</dcterms:created>
  <dcterms:modified xsi:type="dcterms:W3CDTF">2024-10-11T16:28:00Z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