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4756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4756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4756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4756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4756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4756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618E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68418C9" w:rsidR="00377580" w:rsidRPr="00080A71" w:rsidRDefault="003618E9" w:rsidP="005F6927">
                <w:pPr>
                  <w:tabs>
                    <w:tab w:val="left" w:pos="426"/>
                  </w:tabs>
                  <w:rPr>
                    <w:bCs/>
                    <w:lang w:val="en-IE" w:eastAsia="en-GB"/>
                  </w:rPr>
                </w:pPr>
                <w:r>
                  <w:rPr>
                    <w:bCs/>
                    <w:lang w:val="fr-BE" w:eastAsia="en-GB"/>
                  </w:rPr>
                  <w:t>FISMA.C.1</w:t>
                </w:r>
              </w:p>
            </w:tc>
          </w:sdtContent>
        </w:sdt>
      </w:tr>
      <w:tr w:rsidR="00377580" w:rsidRPr="003618E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9AB0E4D" w:rsidR="00377580" w:rsidRPr="00080A71" w:rsidRDefault="004F4893" w:rsidP="005F6927">
                <w:pPr>
                  <w:tabs>
                    <w:tab w:val="left" w:pos="426"/>
                  </w:tabs>
                  <w:rPr>
                    <w:bCs/>
                    <w:lang w:val="en-IE" w:eastAsia="en-GB"/>
                  </w:rPr>
                </w:pPr>
                <w:r>
                  <w:rPr>
                    <w:bCs/>
                    <w:lang w:val="en-IE" w:eastAsia="en-GB"/>
                  </w:rPr>
                  <w:t>459791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604F530" w:rsidR="00377580" w:rsidRPr="00080A71" w:rsidRDefault="003618E9" w:rsidP="005F6927">
                <w:pPr>
                  <w:tabs>
                    <w:tab w:val="left" w:pos="426"/>
                  </w:tabs>
                  <w:rPr>
                    <w:bCs/>
                    <w:lang w:val="en-IE" w:eastAsia="en-GB"/>
                  </w:rPr>
                </w:pPr>
                <w:r>
                  <w:rPr>
                    <w:bCs/>
                    <w:lang w:val="fr-BE" w:eastAsia="en-GB"/>
                  </w:rPr>
                  <w:t>Sven Gentner</w:t>
                </w:r>
              </w:p>
            </w:sdtContent>
          </w:sdt>
          <w:p w14:paraId="32DD8032" w14:textId="0D9860E8" w:rsidR="00377580" w:rsidRPr="001D3EEC" w:rsidRDefault="003618E9" w:rsidP="005F6927">
            <w:pPr>
              <w:tabs>
                <w:tab w:val="left" w:pos="426"/>
              </w:tabs>
              <w:contextualSpacing/>
              <w:rPr>
                <w:bCs/>
                <w:lang w:val="fr-BE" w:eastAsia="en-GB"/>
              </w:rPr>
            </w:pPr>
            <w:r>
              <w:rPr>
                <w:bCs/>
                <w:lang w:val="fr-BE" w:eastAsia="en-GB"/>
              </w:rPr>
              <w:t>1er</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2F1D3171" w:rsidR="00377580" w:rsidRPr="001D3EEC" w:rsidRDefault="0074756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4200C">
                  <w:rPr>
                    <w:bCs/>
                    <w:lang w:val="fr-BE" w:eastAsia="en-GB"/>
                  </w:rPr>
                  <w:t>2</w:t>
                </w:r>
              </w:sdtContent>
            </w:sdt>
            <w:r w:rsidR="00377580" w:rsidRPr="001D3EEC">
              <w:rPr>
                <w:bCs/>
                <w:lang w:val="fr-BE" w:eastAsia="en-GB"/>
              </w:rPr>
              <w:t xml:space="preserve"> année</w:t>
            </w:r>
            <w:r w:rsidR="0064200C">
              <w:rPr>
                <w:bCs/>
                <w:lang w:val="fr-BE" w:eastAsia="en-GB"/>
              </w:rPr>
              <w:t>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618E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D85A0A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58778A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4756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4756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4756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546514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64200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FA7D6C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569A2F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747560">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E28F78E" w14:textId="66E9E939" w:rsidR="00D675DD" w:rsidRPr="00D675DD" w:rsidRDefault="00D675DD" w:rsidP="00D675DD">
          <w:pPr>
            <w:rPr>
              <w:lang w:val="fr-BE" w:eastAsia="en-GB"/>
            </w:rPr>
          </w:pPr>
          <w:r w:rsidRPr="00D675DD">
            <w:rPr>
              <w:lang w:val="fr-BE" w:eastAsia="en-GB"/>
            </w:rPr>
            <w:t xml:space="preserve">L'unité C1 a pour mission d'assurer la qualité, la fiabilité et la disponibilité de l'information publique sur les entreprises européennes et leurs titres dans un large éventail de domaines, notamment les </w:t>
          </w:r>
          <w:hyperlink r:id="rId26" w:history="1">
            <w:r w:rsidRPr="00DE7610">
              <w:rPr>
                <w:rStyle w:val="Hyperlink"/>
                <w:lang w:val="fr-BE" w:eastAsia="en-GB"/>
              </w:rPr>
              <w:t>informations financières et non financières</w:t>
            </w:r>
          </w:hyperlink>
          <w:r w:rsidRPr="00D675DD">
            <w:rPr>
              <w:lang w:val="fr-BE" w:eastAsia="en-GB"/>
            </w:rPr>
            <w:t xml:space="preserve"> contenues dans les rapports d'entreprise. Ces informations servent à promouvoir des marchés de capitaux </w:t>
          </w:r>
          <w:r w:rsidR="00CA0370">
            <w:rPr>
              <w:lang w:val="fr-BE" w:eastAsia="en-GB"/>
            </w:rPr>
            <w:t>efficients</w:t>
          </w:r>
          <w:r w:rsidRPr="00D675DD">
            <w:rPr>
              <w:lang w:val="fr-BE" w:eastAsia="en-GB"/>
            </w:rPr>
            <w:t xml:space="preserve">, à assurer la stabilité des marchés financiers, à garantir que les décisions d'investissement tiennent compte d'une série de questions environnementales, sociales et de gouvernance et, plus généralement, à protéger les intérêts des </w:t>
          </w:r>
          <w:r w:rsidR="00CA0370">
            <w:rPr>
              <w:lang w:val="fr-BE" w:eastAsia="en-GB"/>
            </w:rPr>
            <w:t>associés</w:t>
          </w:r>
          <w:r w:rsidRPr="00D675DD">
            <w:rPr>
              <w:lang w:val="fr-BE" w:eastAsia="en-GB"/>
            </w:rPr>
            <w:t xml:space="preserve">, des investisseurs et des autres </w:t>
          </w:r>
          <w:r w:rsidRPr="00D675DD">
            <w:rPr>
              <w:lang w:val="fr-BE" w:eastAsia="en-GB"/>
            </w:rPr>
            <w:lastRenderedPageBreak/>
            <w:t>apporteurs de capitaux des sociétés à responsabilité limitée. En outre, la transparence des entreprises européennes favorise la responsabilité sociale des entreprises. Les principales activités de l'unité comprennent l'élaboration de politiques et la gestion de la législation dans les domaines suivants :</w:t>
          </w:r>
        </w:p>
        <w:p w14:paraId="24ADC2BA" w14:textId="25BD7CB0" w:rsidR="00D675DD" w:rsidRPr="00D675DD" w:rsidRDefault="00D675DD" w:rsidP="00D675DD">
          <w:pPr>
            <w:pStyle w:val="ListParagraph"/>
            <w:numPr>
              <w:ilvl w:val="0"/>
              <w:numId w:val="27"/>
            </w:numPr>
            <w:rPr>
              <w:lang w:val="fr-BE" w:eastAsia="en-GB"/>
            </w:rPr>
          </w:pPr>
          <w:r w:rsidRPr="00D675DD">
            <w:rPr>
              <w:lang w:val="fr-BE" w:eastAsia="en-GB"/>
            </w:rPr>
            <w:t>l'information environnementale, sociale et de gouvernance par les entités d'intérêt public;</w:t>
          </w:r>
        </w:p>
        <w:p w14:paraId="39141FA1" w14:textId="71651FEF" w:rsidR="00D675DD" w:rsidRPr="00D675DD" w:rsidRDefault="00D675DD" w:rsidP="00D675DD">
          <w:pPr>
            <w:pStyle w:val="ListParagraph"/>
            <w:numPr>
              <w:ilvl w:val="0"/>
              <w:numId w:val="27"/>
            </w:numPr>
            <w:rPr>
              <w:lang w:val="fr-BE" w:eastAsia="en-GB"/>
            </w:rPr>
          </w:pPr>
          <w:r w:rsidRPr="00D675DD">
            <w:rPr>
              <w:lang w:val="fr-BE" w:eastAsia="en-GB"/>
            </w:rPr>
            <w:t>les exigences comptables pour les sociétés cotées et non cotées;</w:t>
          </w:r>
        </w:p>
        <w:p w14:paraId="540E36F5" w14:textId="4F871646" w:rsidR="00D675DD" w:rsidRPr="00D675DD" w:rsidRDefault="00D675DD" w:rsidP="00D675DD">
          <w:pPr>
            <w:pStyle w:val="ListParagraph"/>
            <w:numPr>
              <w:ilvl w:val="0"/>
              <w:numId w:val="27"/>
            </w:numPr>
            <w:rPr>
              <w:lang w:val="fr-BE" w:eastAsia="en-GB"/>
            </w:rPr>
          </w:pPr>
          <w:r w:rsidRPr="00D675DD">
            <w:rPr>
              <w:lang w:val="fr-BE" w:eastAsia="en-GB"/>
            </w:rPr>
            <w:t>la disponibilité et la facilité d'utilisation de l'information réglementée pour les sociétés cotées;</w:t>
          </w:r>
        </w:p>
        <w:p w14:paraId="405F3C2E" w14:textId="6F3361F5" w:rsidR="00D675DD" w:rsidRPr="00D675DD" w:rsidRDefault="00747560" w:rsidP="00D675DD">
          <w:pPr>
            <w:pStyle w:val="ListParagraph"/>
            <w:numPr>
              <w:ilvl w:val="0"/>
              <w:numId w:val="27"/>
            </w:numPr>
            <w:rPr>
              <w:lang w:val="fr-BE" w:eastAsia="en-GB"/>
            </w:rPr>
          </w:pPr>
          <w:hyperlink r:id="rId27" w:history="1">
            <w:r w:rsidR="00D675DD" w:rsidRPr="00DE7610">
              <w:rPr>
                <w:rStyle w:val="Hyperlink"/>
                <w:lang w:val="fr-BE" w:eastAsia="en-GB"/>
              </w:rPr>
              <w:t>l'audit</w:t>
            </w:r>
          </w:hyperlink>
          <w:r w:rsidR="00D675DD" w:rsidRPr="00D675DD">
            <w:rPr>
              <w:lang w:val="fr-BE" w:eastAsia="en-GB"/>
            </w:rPr>
            <w:t xml:space="preserve"> et l'assurance </w:t>
          </w:r>
          <w:r w:rsidR="00E87936">
            <w:rPr>
              <w:lang w:val="fr-BE" w:eastAsia="en-GB"/>
            </w:rPr>
            <w:t xml:space="preserve">donnée sur </w:t>
          </w:r>
          <w:r w:rsidR="00D675DD" w:rsidRPr="00D675DD">
            <w:rPr>
              <w:lang w:val="fr-BE" w:eastAsia="en-GB"/>
            </w:rPr>
            <w:t>des rapports des entreprises; et</w:t>
          </w:r>
        </w:p>
        <w:p w14:paraId="20948F1F" w14:textId="77FABA3A" w:rsidR="00D675DD" w:rsidRPr="00D675DD" w:rsidRDefault="00D675DD" w:rsidP="00D675DD">
          <w:pPr>
            <w:pStyle w:val="ListParagraph"/>
            <w:numPr>
              <w:ilvl w:val="0"/>
              <w:numId w:val="27"/>
            </w:numPr>
            <w:rPr>
              <w:lang w:val="fr-BE" w:eastAsia="en-GB"/>
            </w:rPr>
          </w:pPr>
          <w:r w:rsidRPr="00D675DD">
            <w:rPr>
              <w:lang w:val="fr-BE" w:eastAsia="en-GB"/>
            </w:rPr>
            <w:t xml:space="preserve">la qualité des </w:t>
          </w:r>
          <w:hyperlink r:id="rId28" w:history="1">
            <w:r w:rsidRPr="00DE7610">
              <w:rPr>
                <w:rStyle w:val="Hyperlink"/>
                <w:lang w:val="fr-BE" w:eastAsia="en-GB"/>
              </w:rPr>
              <w:t>notations de crédit</w:t>
            </w:r>
          </w:hyperlink>
          <w:r w:rsidRPr="00D675DD">
            <w:rPr>
              <w:lang w:val="fr-BE" w:eastAsia="en-GB"/>
            </w:rPr>
            <w:t>.</w:t>
          </w:r>
        </w:p>
        <w:p w14:paraId="18140A21" w14:textId="1272E7B7" w:rsidR="001A0074" w:rsidRPr="00D675DD" w:rsidRDefault="00D675DD" w:rsidP="00D675DD">
          <w:pPr>
            <w:rPr>
              <w:lang w:val="fr-BE" w:eastAsia="en-GB"/>
            </w:rPr>
          </w:pPr>
          <w:r w:rsidRPr="00D675DD">
            <w:rPr>
              <w:lang w:val="fr-BE" w:eastAsia="en-GB"/>
            </w:rPr>
            <w:t>À cette fin, l'unité C1 collabore avec un large éventail d'organismes européens et internationaux de réglementation et de normalisation. L'unité cherche également à rationaliser et à moderniser le cadre d'information des entreprises en utilisant les technologies numériques modernes pour améliorer la disponibilité et la facilité d'utilisation de l'information sur les entreprises.</w:t>
          </w:r>
        </w:p>
      </w:sdtContent>
    </w:sdt>
    <w:p w14:paraId="30B422AA" w14:textId="77777777" w:rsidR="00301CA3" w:rsidRPr="00D675D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FC25AB2" w14:textId="77777777" w:rsidR="003618E9" w:rsidRDefault="003618E9" w:rsidP="003618E9">
          <w:pPr>
            <w:rPr>
              <w:lang w:val="fr-BE" w:eastAsia="en-GB"/>
            </w:rPr>
          </w:pPr>
          <w:r w:rsidRPr="003618E9">
            <w:rPr>
              <w:lang w:val="fr-BE" w:eastAsia="en-GB"/>
            </w:rPr>
            <w:t>Participer à la conception, l'élaboration, la négociation et le suivi des mesures d'harmonisation dans le domaine des normes comptables et d’audit.</w:t>
          </w:r>
        </w:p>
        <w:p w14:paraId="60A39A15" w14:textId="1E5DCE5C" w:rsidR="003618E9" w:rsidRPr="003618E9" w:rsidRDefault="003618E9" w:rsidP="003618E9">
          <w:pPr>
            <w:rPr>
              <w:lang w:val="fr-BE" w:eastAsia="en-GB"/>
            </w:rPr>
          </w:pPr>
          <w:r w:rsidRPr="003618E9">
            <w:rPr>
              <w:lang w:val="fr-BE" w:eastAsia="en-GB"/>
            </w:rPr>
            <w:t>Rédiger des propositions de politiques, des documents d'information et de propositions législatives dans le domaine de la comptabilité.</w:t>
          </w:r>
        </w:p>
        <w:p w14:paraId="61CE3928" w14:textId="21CBED92" w:rsidR="003618E9" w:rsidRPr="003618E9" w:rsidRDefault="003618E9" w:rsidP="003618E9">
          <w:pPr>
            <w:rPr>
              <w:lang w:val="fr-BE" w:eastAsia="en-GB"/>
            </w:rPr>
          </w:pPr>
          <w:r w:rsidRPr="003618E9">
            <w:rPr>
              <w:lang w:val="fr-BE" w:eastAsia="en-GB"/>
            </w:rPr>
            <w:t xml:space="preserve">Maintenir des contacts et échanger des informations d'une manière régulière avec les organisations publiques et professionnelles aussi bien </w:t>
          </w:r>
          <w:r w:rsidR="00E87936">
            <w:rPr>
              <w:lang w:val="fr-BE" w:eastAsia="en-GB"/>
            </w:rPr>
            <w:t>avec</w:t>
          </w:r>
          <w:r w:rsidR="00E87936" w:rsidRPr="003618E9">
            <w:rPr>
              <w:lang w:val="fr-BE" w:eastAsia="en-GB"/>
            </w:rPr>
            <w:t xml:space="preserve"> </w:t>
          </w:r>
          <w:r w:rsidRPr="003618E9">
            <w:rPr>
              <w:lang w:val="fr-BE" w:eastAsia="en-GB"/>
            </w:rPr>
            <w:t>les Etats membres que dans le secteur privé.</w:t>
          </w:r>
        </w:p>
        <w:p w14:paraId="434CA5D8" w14:textId="15D2B287" w:rsidR="00FD62E9" w:rsidRPr="00FD62E9" w:rsidRDefault="00FD62E9" w:rsidP="00FD62E9">
          <w:pPr>
            <w:rPr>
              <w:lang w:val="fr-BE" w:eastAsia="en-GB"/>
            </w:rPr>
          </w:pPr>
          <w:r w:rsidRPr="00FD62E9">
            <w:rPr>
              <w:lang w:val="fr-BE" w:eastAsia="en-GB"/>
            </w:rPr>
            <w:t>Suivre de près les travaux de l’International Accounting Standards Board (IASB) sur les normes comptables IFRS et leurs interprétations (IFRIC). Préparer et participer à des réunions avec l’IASB et le comité d’interprétation des IFRS. Le candidat idéal aura la capacité de suivre le débat technique sur l’élaboration (</w:t>
          </w:r>
          <w:r>
            <w:rPr>
              <w:lang w:val="fr-BE" w:eastAsia="en-GB"/>
            </w:rPr>
            <w:t>et les amendements</w:t>
          </w:r>
          <w:r w:rsidRPr="00FD62E9">
            <w:rPr>
              <w:lang w:val="fr-BE" w:eastAsia="en-GB"/>
            </w:rPr>
            <w:t>) des normes comptables, tout en ayant une vision plus large des questions liées au rapport financier annuel, y compris l</w:t>
          </w:r>
          <w:r>
            <w:rPr>
              <w:lang w:val="fr-BE" w:eastAsia="en-GB"/>
            </w:rPr>
            <w:t xml:space="preserve">es </w:t>
          </w:r>
          <w:r w:rsidRPr="00FD62E9">
            <w:rPr>
              <w:lang w:val="fr-BE" w:eastAsia="en-GB"/>
            </w:rPr>
            <w:t>innovation</w:t>
          </w:r>
          <w:r>
            <w:rPr>
              <w:lang w:val="fr-BE" w:eastAsia="en-GB"/>
            </w:rPr>
            <w:t>s</w:t>
          </w:r>
          <w:r w:rsidRPr="00FD62E9">
            <w:rPr>
              <w:lang w:val="fr-BE" w:eastAsia="en-GB"/>
            </w:rPr>
            <w:t xml:space="preserve"> (numérisation, données structurées, etc.), la durabilité et la création d’une union des marchés des capitaux.</w:t>
          </w:r>
        </w:p>
        <w:p w14:paraId="37355B29" w14:textId="74810025" w:rsidR="00FD62E9" w:rsidRPr="003618E9" w:rsidRDefault="00FD62E9" w:rsidP="00FD62E9">
          <w:pPr>
            <w:rPr>
              <w:lang w:val="fr-BE" w:eastAsia="en-GB"/>
            </w:rPr>
          </w:pPr>
          <w:r w:rsidRPr="00FD62E9">
            <w:rPr>
              <w:lang w:val="fr-BE" w:eastAsia="en-GB"/>
            </w:rPr>
            <w:t xml:space="preserve">Suivre les travaux des principaux organismes européens </w:t>
          </w:r>
          <w:r w:rsidR="00AD4D5B">
            <w:rPr>
              <w:lang w:val="fr-BE" w:eastAsia="en-GB"/>
            </w:rPr>
            <w:t>opérant</w:t>
          </w:r>
          <w:r w:rsidRPr="00FD62E9">
            <w:rPr>
              <w:lang w:val="fr-BE" w:eastAsia="en-GB"/>
            </w:rPr>
            <w:t xml:space="preserve"> dans l’élaboration de normes comptables. En particulier, préparer et participer aux réunions du comité de </w:t>
          </w:r>
          <w:r w:rsidR="00AD4D5B">
            <w:rPr>
              <w:lang w:val="fr-BE" w:eastAsia="en-GB"/>
            </w:rPr>
            <w:t xml:space="preserve">la </w:t>
          </w:r>
          <w:r w:rsidRPr="00FD62E9">
            <w:rPr>
              <w:lang w:val="fr-BE" w:eastAsia="en-GB"/>
            </w:rPr>
            <w:t>réglementation comptable (CRC</w:t>
          </w:r>
          <w:r w:rsidR="00AD4D5B">
            <w:rPr>
              <w:lang w:val="fr-BE" w:eastAsia="en-GB"/>
            </w:rPr>
            <w:t xml:space="preserve"> / ARC</w:t>
          </w:r>
          <w:r w:rsidRPr="00FD62E9">
            <w:rPr>
              <w:lang w:val="fr-BE" w:eastAsia="en-GB"/>
            </w:rPr>
            <w:t>) et aux réunions du groupe d’experts techniques du groupe consultatif pour l’information financière en Europe (EFRAG).</w:t>
          </w:r>
        </w:p>
        <w:p w14:paraId="71637660" w14:textId="7AF2317D" w:rsidR="003618E9" w:rsidRPr="003618E9" w:rsidRDefault="00E87936" w:rsidP="003618E9">
          <w:pPr>
            <w:rPr>
              <w:lang w:val="fr-BE" w:eastAsia="en-GB"/>
            </w:rPr>
          </w:pPr>
          <w:r w:rsidRPr="003618E9">
            <w:rPr>
              <w:lang w:val="fr-BE" w:eastAsia="en-GB"/>
            </w:rPr>
            <w:t>Être</w:t>
          </w:r>
          <w:r w:rsidR="003618E9" w:rsidRPr="003618E9">
            <w:rPr>
              <w:lang w:val="fr-BE" w:eastAsia="en-GB"/>
            </w:rPr>
            <w:t xml:space="preserve"> le point de contact entre l’unité et l’Autorité européenne des marchés financiers (ESMA) en matière comptable, d’audit et de transparence. Préparer et participer le cas échéant aux réunions du </w:t>
          </w:r>
          <w:hyperlink r:id="rId29" w:history="1">
            <w:r w:rsidR="00FD62E9" w:rsidRPr="00DE7610">
              <w:rPr>
                <w:rStyle w:val="Hyperlink"/>
                <w:lang w:val="fr-BE" w:eastAsia="en-GB"/>
              </w:rPr>
              <w:t>Comité permanent des émetteurs (</w:t>
            </w:r>
            <w:r w:rsidRPr="00DE7610">
              <w:rPr>
                <w:rStyle w:val="Hyperlink"/>
                <w:lang w:val="fr-BE" w:eastAsia="en-GB"/>
              </w:rPr>
              <w:t>Issuers</w:t>
            </w:r>
            <w:r w:rsidR="003618E9" w:rsidRPr="00DE7610">
              <w:rPr>
                <w:rStyle w:val="Hyperlink"/>
                <w:lang w:val="fr-BE" w:eastAsia="en-GB"/>
              </w:rPr>
              <w:t xml:space="preserve"> Standing Committee</w:t>
            </w:r>
            <w:r w:rsidR="00FD62E9" w:rsidRPr="00DE7610">
              <w:rPr>
                <w:rStyle w:val="Hyperlink"/>
                <w:lang w:val="fr-BE" w:eastAsia="en-GB"/>
              </w:rPr>
              <w:t>)</w:t>
            </w:r>
          </w:hyperlink>
          <w:r w:rsidR="003618E9" w:rsidRPr="003618E9">
            <w:rPr>
              <w:lang w:val="fr-BE" w:eastAsia="en-GB"/>
            </w:rPr>
            <w:t xml:space="preserve"> d</w:t>
          </w:r>
          <w:r w:rsidR="00FD62E9">
            <w:rPr>
              <w:lang w:val="fr-BE" w:eastAsia="en-GB"/>
            </w:rPr>
            <w:t>e l</w:t>
          </w:r>
          <w:r w:rsidR="003618E9" w:rsidRPr="003618E9">
            <w:rPr>
              <w:lang w:val="fr-BE" w:eastAsia="en-GB"/>
            </w:rPr>
            <w:t>’ESMA.</w:t>
          </w:r>
        </w:p>
        <w:p w14:paraId="3B1D2FA2" w14:textId="0E0B2015" w:rsidR="001A0074" w:rsidRPr="002C2CCA" w:rsidRDefault="00FD62E9" w:rsidP="001A0074">
          <w:pPr>
            <w:rPr>
              <w:lang w:val="fr-BE" w:eastAsia="en-GB"/>
            </w:rPr>
          </w:pPr>
          <w:r>
            <w:rPr>
              <w:lang w:val="fr-BE" w:eastAsia="en-GB"/>
            </w:rPr>
            <w:t>Préparer</w:t>
          </w:r>
          <w:r w:rsidRPr="003618E9">
            <w:rPr>
              <w:lang w:val="fr-BE" w:eastAsia="en-GB"/>
            </w:rPr>
            <w:t xml:space="preserve"> </w:t>
          </w:r>
          <w:r w:rsidR="003618E9" w:rsidRPr="003618E9">
            <w:rPr>
              <w:lang w:val="fr-BE" w:eastAsia="en-GB"/>
            </w:rPr>
            <w:t>et</w:t>
          </w:r>
          <w:r>
            <w:rPr>
              <w:lang w:val="fr-BE" w:eastAsia="en-GB"/>
            </w:rPr>
            <w:t>/ou</w:t>
          </w:r>
          <w:r w:rsidR="003618E9" w:rsidRPr="003618E9">
            <w:rPr>
              <w:lang w:val="fr-BE" w:eastAsia="en-GB"/>
            </w:rPr>
            <w:t xml:space="preserve"> coordonner les réponses aux demandes externes d'informations concernant les travaux de l'unité.</w:t>
          </w:r>
        </w:p>
      </w:sdtContent>
    </w:sdt>
    <w:p w14:paraId="69B92155" w14:textId="202BBAFE"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37EA81E4" w14:textId="77777777" w:rsidR="00D675DD" w:rsidRPr="00D675DD" w:rsidRDefault="00D675DD" w:rsidP="00D675DD">
          <w:pPr>
            <w:pStyle w:val="ListNumber"/>
            <w:numPr>
              <w:ilvl w:val="0"/>
              <w:numId w:val="0"/>
            </w:numPr>
            <w:rPr>
              <w:lang w:val="fr-BE" w:eastAsia="en-GB"/>
            </w:rPr>
          </w:pPr>
          <w:r w:rsidRPr="00D675DD">
            <w:rPr>
              <w:lang w:val="fr-BE" w:eastAsia="en-GB"/>
            </w:rPr>
            <w:t>- diplôme :</w:t>
          </w:r>
        </w:p>
        <w:p w14:paraId="3A85C93E" w14:textId="5A19E2FB" w:rsidR="00D675DD" w:rsidRPr="00D675DD" w:rsidRDefault="00D675DD" w:rsidP="00D675DD">
          <w:pPr>
            <w:pStyle w:val="ListNumber"/>
            <w:numPr>
              <w:ilvl w:val="0"/>
              <w:numId w:val="0"/>
            </w:numPr>
            <w:rPr>
              <w:lang w:val="fr-BE" w:eastAsia="en-GB"/>
            </w:rPr>
          </w:pPr>
          <w:r w:rsidRPr="00D675DD">
            <w:rPr>
              <w:lang w:val="fr-BE" w:eastAsia="en-GB"/>
            </w:rPr>
            <w:t xml:space="preserve">Formation universitaire d'au moins 4 ans. Économie, finance, banque et assurance, spécialisation en comptabilité, en particulier </w:t>
          </w:r>
          <w:r w:rsidR="00E87936">
            <w:rPr>
              <w:lang w:val="fr-BE" w:eastAsia="en-GB"/>
            </w:rPr>
            <w:t xml:space="preserve">dans </w:t>
          </w:r>
          <w:r w:rsidRPr="00D675DD">
            <w:rPr>
              <w:lang w:val="fr-BE" w:eastAsia="en-GB"/>
            </w:rPr>
            <w:t>les normes comptables IFRS.</w:t>
          </w:r>
        </w:p>
        <w:p w14:paraId="398618F4" w14:textId="77777777" w:rsidR="00D675DD" w:rsidRPr="00D675DD" w:rsidRDefault="00D675DD" w:rsidP="00D675DD">
          <w:pPr>
            <w:pStyle w:val="ListNumber"/>
            <w:numPr>
              <w:ilvl w:val="0"/>
              <w:numId w:val="0"/>
            </w:numPr>
            <w:rPr>
              <w:lang w:val="fr-BE" w:eastAsia="en-GB"/>
            </w:rPr>
          </w:pPr>
          <w:r w:rsidRPr="00D675DD">
            <w:rPr>
              <w:lang w:val="fr-BE" w:eastAsia="en-GB"/>
            </w:rPr>
            <w:t>- expérience professionnelle : au moins 3 ans</w:t>
          </w:r>
        </w:p>
        <w:p w14:paraId="7E409EA7" w14:textId="4692FA18" w:rsidR="001A0074" w:rsidRPr="00D675DD" w:rsidRDefault="00D675DD" w:rsidP="00D675DD">
          <w:pPr>
            <w:pStyle w:val="ListNumber"/>
            <w:numPr>
              <w:ilvl w:val="0"/>
              <w:numId w:val="0"/>
            </w:numPr>
            <w:rPr>
              <w:lang w:val="fr-BE" w:eastAsia="en-GB"/>
            </w:rPr>
          </w:pPr>
          <w:r>
            <w:rPr>
              <w:lang w:val="fr-BE" w:eastAsia="en-GB"/>
            </w:rPr>
            <w:t xml:space="preserve">- </w:t>
          </w:r>
          <w:r w:rsidRPr="00D675DD">
            <w:rPr>
              <w:lang w:val="fr-BE" w:eastAsia="en-GB"/>
            </w:rPr>
            <w:t>langue(s) nécessaire(s) à l'exercice des fonctions : anglais, français</w:t>
          </w:r>
        </w:p>
      </w:sdtContent>
    </w:sdt>
    <w:p w14:paraId="5D76C15C" w14:textId="77777777" w:rsidR="00F65CC2" w:rsidRPr="00D675D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30"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1"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2"/>
      <w:headerReference w:type="default" r:id="rId33"/>
      <w:footerReference w:type="even" r:id="rId34"/>
      <w:footerReference w:type="default" r:id="rId35"/>
      <w:headerReference w:type="first" r:id="rId36"/>
      <w:footerReference w:type="firs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91129C2"/>
    <w:multiLevelType w:val="hybridMultilevel"/>
    <w:tmpl w:val="43987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72056D5"/>
    <w:multiLevelType w:val="hybridMultilevel"/>
    <w:tmpl w:val="6A526666"/>
    <w:lvl w:ilvl="0" w:tplc="3FFAE56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5BC00F2C"/>
    <w:multiLevelType w:val="hybridMultilevel"/>
    <w:tmpl w:val="8286F1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9"/>
  </w:num>
  <w:num w:numId="6" w16cid:durableId="181284729">
    <w:abstractNumId w:val="24"/>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7"/>
  </w:num>
  <w:num w:numId="26" w16cid:durableId="1528568468">
    <w:abstractNumId w:val="23"/>
  </w:num>
  <w:num w:numId="27" w16cid:durableId="290290316">
    <w:abstractNumId w:val="16"/>
  </w:num>
  <w:num w:numId="28" w16cid:durableId="1468430611">
    <w:abstractNumId w:val="8"/>
  </w:num>
  <w:num w:numId="29" w16cid:durableId="1328098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C2CCA"/>
    <w:rsid w:val="002F0E44"/>
    <w:rsid w:val="00301CA3"/>
    <w:rsid w:val="003618E9"/>
    <w:rsid w:val="00377580"/>
    <w:rsid w:val="00394581"/>
    <w:rsid w:val="00443957"/>
    <w:rsid w:val="00462268"/>
    <w:rsid w:val="004A4BB7"/>
    <w:rsid w:val="004D3B51"/>
    <w:rsid w:val="004F4893"/>
    <w:rsid w:val="0053405E"/>
    <w:rsid w:val="00556CBD"/>
    <w:rsid w:val="0064200C"/>
    <w:rsid w:val="006A1CB2"/>
    <w:rsid w:val="006B47B6"/>
    <w:rsid w:val="006F23BA"/>
    <w:rsid w:val="0074301E"/>
    <w:rsid w:val="00747560"/>
    <w:rsid w:val="007A10AA"/>
    <w:rsid w:val="007A1396"/>
    <w:rsid w:val="007A3143"/>
    <w:rsid w:val="007B5FAE"/>
    <w:rsid w:val="007E131B"/>
    <w:rsid w:val="007E4F35"/>
    <w:rsid w:val="008241B0"/>
    <w:rsid w:val="008315CD"/>
    <w:rsid w:val="00866E7F"/>
    <w:rsid w:val="008A0FF3"/>
    <w:rsid w:val="0092295D"/>
    <w:rsid w:val="009758EB"/>
    <w:rsid w:val="00A65B97"/>
    <w:rsid w:val="00A917BE"/>
    <w:rsid w:val="00AD4D5B"/>
    <w:rsid w:val="00B31DC8"/>
    <w:rsid w:val="00B566C1"/>
    <w:rsid w:val="00BF389A"/>
    <w:rsid w:val="00C518F5"/>
    <w:rsid w:val="00CA0370"/>
    <w:rsid w:val="00D675DD"/>
    <w:rsid w:val="00D703FC"/>
    <w:rsid w:val="00D82B48"/>
    <w:rsid w:val="00DC5C83"/>
    <w:rsid w:val="00DE7610"/>
    <w:rsid w:val="00E0579E"/>
    <w:rsid w:val="00E5708E"/>
    <w:rsid w:val="00E850B7"/>
    <w:rsid w:val="00E87936"/>
    <w:rsid w:val="00E927FE"/>
    <w:rsid w:val="00F65CC2"/>
    <w:rsid w:val="00FD62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D675DD"/>
    <w:pPr>
      <w:ind w:left="720"/>
      <w:contextualSpacing/>
    </w:pPr>
  </w:style>
  <w:style w:type="paragraph" w:styleId="Revision">
    <w:name w:val="Revision"/>
    <w:hidden/>
    <w:semiHidden/>
    <w:locked/>
    <w:rsid w:val="00CA0370"/>
  </w:style>
  <w:style w:type="character" w:styleId="UnresolvedMention">
    <w:name w:val="Unresolved Mention"/>
    <w:basedOn w:val="DefaultParagraphFont"/>
    <w:semiHidden/>
    <w:locked/>
    <w:rsid w:val="00DE76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finance.ec.europa.eu/capital-markets-union-and-financial-markets/company-reporting-and-auditing/company-reporting_en" TargetMode="External"/><Relationship Id="rId39" Type="http://schemas.openxmlformats.org/officeDocument/2006/relationships/glossaryDocument" Target="glossary/document.xml"/><Relationship Id="rId21" Type="http://schemas.openxmlformats.org/officeDocument/2006/relationships/control" Target="activeX/activeX4.xml"/><Relationship Id="rId34"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s://www.esma.europa.eu/about-esma/governance-structure/standing-committee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finance.ec.europa.eu/capital-markets-union-and-financial-markets/financial-markets/regulating-credit-rating-agencies_en" TargetMode="External"/><Relationship Id="rId36"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finance.ec.europa.eu/capital-markets-union-and-financial-markets/company-reporting-and-auditing/auditing-companies-financial-statements_en" TargetMode="External"/><Relationship Id="rId30" Type="http://schemas.openxmlformats.org/officeDocument/2006/relationships/hyperlink" Target="https://eur-lex.europa.eu/legal-content/FR/TXT/?uri=CELEX:32015D0444" TargetMode="External"/><Relationship Id="rId35" Type="http://schemas.openxmlformats.org/officeDocument/2006/relationships/footer" Target="footer2.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CC2535"/>
    <w:multiLevelType w:val="multilevel"/>
    <w:tmpl w:val="3CDAD1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3659288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D6E3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D6E31"/>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purl.org/dc/terms/"/>
    <ds:schemaRef ds:uri="http://schemas.microsoft.com/sharepoint/v3/fields"/>
    <ds:schemaRef ds:uri="http://schemas.microsoft.com/office/2006/documentManagement/types"/>
    <ds:schemaRef ds:uri="1929b814-5a78-4bdc-9841-d8b9ef424f65"/>
    <ds:schemaRef ds:uri="http://purl.org/dc/dcmitype/"/>
    <ds:schemaRef ds:uri="08927195-b699-4be0-9ee2-6c66dc215b5a"/>
    <ds:schemaRef ds:uri="a41a97bf-0494-41d8-ba3d-259bd7771890"/>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1419</Words>
  <Characters>8089</Characters>
  <Application>Microsoft Office Word</Application>
  <DocSecurity>4</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2024-10-11T14:07:00Z</dcterms:created>
  <dcterms:modified xsi:type="dcterms:W3CDTF">2024-10-11T14:07:00Z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