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44B5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44B50">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44B50">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44B50">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44B50">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44B5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679DCE2" w:rsidR="00377580" w:rsidRPr="00080A71" w:rsidRDefault="00DA761F" w:rsidP="005F6927">
                <w:pPr>
                  <w:tabs>
                    <w:tab w:val="left" w:pos="426"/>
                  </w:tabs>
                  <w:rPr>
                    <w:bCs/>
                    <w:lang w:val="en-IE" w:eastAsia="en-GB"/>
                  </w:rPr>
                </w:pPr>
                <w:r>
                  <w:rPr>
                    <w:bCs/>
                    <w:lang w:val="fr-BE" w:eastAsia="en-GB"/>
                  </w:rPr>
                  <w:t>INTPA G1</w:t>
                </w:r>
              </w:p>
            </w:tc>
          </w:sdtContent>
        </w:sdt>
      </w:tr>
      <w:tr w:rsidR="00377580" w:rsidRPr="00DA761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793B8162" w:rsidR="00377580" w:rsidRPr="00080A71" w:rsidRDefault="00DA761F" w:rsidP="005F6927">
                <w:pPr>
                  <w:tabs>
                    <w:tab w:val="left" w:pos="426"/>
                  </w:tabs>
                  <w:rPr>
                    <w:bCs/>
                    <w:lang w:val="en-IE" w:eastAsia="en-GB"/>
                  </w:rPr>
                </w:pPr>
                <w:r>
                  <w:rPr>
                    <w:bCs/>
                    <w:lang w:val="fr-BE" w:eastAsia="en-GB"/>
                  </w:rPr>
                  <w:t>164619</w:t>
                </w:r>
              </w:p>
            </w:tc>
          </w:sdtContent>
        </w:sdt>
      </w:tr>
      <w:tr w:rsidR="00377580" w:rsidRPr="004231BD"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6352558C" w:rsidR="00377580" w:rsidRPr="00080A71" w:rsidRDefault="00DA761F" w:rsidP="005F6927">
                <w:pPr>
                  <w:tabs>
                    <w:tab w:val="left" w:pos="426"/>
                  </w:tabs>
                  <w:rPr>
                    <w:bCs/>
                    <w:lang w:val="en-IE" w:eastAsia="en-GB"/>
                  </w:rPr>
                </w:pPr>
                <w:r w:rsidRPr="00DA761F">
                  <w:rPr>
                    <w:bCs/>
                    <w:lang w:val="en-IE" w:eastAsia="en-GB"/>
                  </w:rPr>
                  <w:t>Jonathan V</w:t>
                </w:r>
                <w:r>
                  <w:rPr>
                    <w:bCs/>
                    <w:lang w:val="en-IE" w:eastAsia="en-GB"/>
                  </w:rPr>
                  <w:t xml:space="preserve">an </w:t>
                </w:r>
                <w:proofErr w:type="spellStart"/>
                <w:r>
                  <w:rPr>
                    <w:bCs/>
                    <w:lang w:val="en-IE" w:eastAsia="en-GB"/>
                  </w:rPr>
                  <w:t>Meerbeeck</w:t>
                </w:r>
                <w:proofErr w:type="spellEnd"/>
              </w:p>
            </w:sdtContent>
          </w:sdt>
          <w:p w14:paraId="32DD8032" w14:textId="2E5D4286" w:rsidR="00377580" w:rsidRPr="00DA761F" w:rsidRDefault="00744B50"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377580" w:rsidRPr="00DA761F">
                  <w:rPr>
                    <w:bCs/>
                    <w:lang w:val="en-IE" w:eastAsia="en-GB"/>
                  </w:rPr>
                  <w:t>…</w:t>
                </w:r>
                <w:r w:rsidR="00DA761F">
                  <w:rPr>
                    <w:bCs/>
                    <w:lang w:val="en-IE" w:eastAsia="en-GB"/>
                  </w:rPr>
                  <w:t>1</w:t>
                </w:r>
              </w:sdtContent>
            </w:sdt>
            <w:r w:rsidR="00377580" w:rsidRPr="00DA761F">
              <w:rPr>
                <w:bCs/>
                <w:lang w:val="en-IE" w:eastAsia="en-GB"/>
              </w:rPr>
              <w:t xml:space="preserve"> trimestre </w:t>
            </w:r>
            <w:sdt>
              <w:sdtPr>
                <w:rPr>
                  <w:bCs/>
                  <w:lang w:val="fr-BE" w:eastAsia="en-GB"/>
                </w:rPr>
                <w:id w:val="1115250968"/>
                <w:placeholder>
                  <w:docPart w:val="DefaultPlaceholder_-1854013440"/>
                </w:placeholder>
              </w:sdtPr>
              <w:sdtEndPr/>
              <w:sdtContent>
                <w:r w:rsidR="00F65CC2" w:rsidRPr="00DA761F">
                  <w:rPr>
                    <w:bCs/>
                    <w:lang w:val="en-IE" w:eastAsia="en-GB"/>
                  </w:rPr>
                  <w:t>202</w:t>
                </w:r>
                <w:r w:rsidR="00DA761F">
                  <w:rPr>
                    <w:bCs/>
                    <w:lang w:val="en-IE" w:eastAsia="en-GB"/>
                  </w:rPr>
                  <w:t>4</w:t>
                </w:r>
              </w:sdtContent>
            </w:sdt>
          </w:p>
          <w:p w14:paraId="768BBE26" w14:textId="55F07F33" w:rsidR="00377580" w:rsidRPr="00DA761F" w:rsidRDefault="00744B50"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377580" w:rsidRPr="00DA761F">
                  <w:rPr>
                    <w:bCs/>
                    <w:lang w:val="en-IE" w:eastAsia="en-GB"/>
                  </w:rPr>
                  <w:t>…</w:t>
                </w:r>
                <w:r w:rsidR="00DA761F">
                  <w:rPr>
                    <w:bCs/>
                    <w:lang w:val="en-IE" w:eastAsia="en-GB"/>
                  </w:rPr>
                  <w:t>2</w:t>
                </w:r>
              </w:sdtContent>
            </w:sdt>
            <w:r w:rsidR="00377580" w:rsidRPr="00DA761F">
              <w:rPr>
                <w:bCs/>
                <w:lang w:val="en-IE" w:eastAsia="en-GB"/>
              </w:rPr>
              <w:t xml:space="preserve"> années</w:t>
            </w:r>
            <w:r w:rsidR="00377580" w:rsidRPr="00DA761F">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DA761F">
                  <w:rPr>
                    <w:rFonts w:ascii="MS Gothic" w:eastAsia="MS Gothic" w:hAnsi="MS Gothic" w:hint="eastAsia"/>
                    <w:bCs/>
                    <w:szCs w:val="24"/>
                    <w:lang w:val="en-IE" w:eastAsia="en-GB"/>
                  </w:rPr>
                  <w:t>☒</w:t>
                </w:r>
              </w:sdtContent>
            </w:sdt>
            <w:r w:rsidR="00377580" w:rsidRPr="00DA761F">
              <w:rPr>
                <w:bCs/>
                <w:lang w:val="en-IE" w:eastAsia="en-GB"/>
              </w:rPr>
              <w:t xml:space="preserve"> Bruxelles </w:t>
            </w:r>
            <w:r w:rsidR="0092295D" w:rsidRPr="00DA761F">
              <w:rPr>
                <w:bCs/>
                <w:lang w:val="en-IE" w:eastAsia="en-GB"/>
              </w:rPr>
              <w:t xml:space="preserve"> </w:t>
            </w:r>
            <w:r w:rsidR="00377580" w:rsidRPr="00DA761F">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DA761F">
                  <w:rPr>
                    <w:rFonts w:ascii="MS Gothic" w:eastAsia="MS Gothic" w:hAnsi="MS Gothic"/>
                    <w:bCs/>
                    <w:szCs w:val="24"/>
                    <w:lang w:val="en-IE" w:eastAsia="en-GB"/>
                  </w:rPr>
                  <w:t>☐</w:t>
                </w:r>
              </w:sdtContent>
            </w:sdt>
            <w:r w:rsidR="00377580" w:rsidRPr="00DA761F">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DA761F">
                  <w:rPr>
                    <w:rFonts w:ascii="MS Gothic" w:eastAsia="MS Gothic" w:hAnsi="MS Gothic"/>
                    <w:bCs/>
                    <w:szCs w:val="24"/>
                    <w:lang w:val="en-IE" w:eastAsia="en-GB"/>
                  </w:rPr>
                  <w:t>☐</w:t>
                </w:r>
              </w:sdtContent>
            </w:sdt>
            <w:r w:rsidR="00377580" w:rsidRPr="00DA761F">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DA761F">
                  <w:rPr>
                    <w:rStyle w:val="PlaceholderText"/>
                    <w:lang w:val="en-IE"/>
                  </w:rPr>
                  <w:t>Click or tap here to enter text.</w:t>
                </w:r>
              </w:sdtContent>
            </w:sdt>
          </w:p>
          <w:p w14:paraId="6A0ABCA6" w14:textId="77777777" w:rsidR="00377580" w:rsidRPr="00DA761F" w:rsidRDefault="00377580" w:rsidP="005F6927">
            <w:pPr>
              <w:tabs>
                <w:tab w:val="left" w:pos="426"/>
              </w:tabs>
              <w:spacing w:after="0"/>
              <w:contextualSpacing/>
              <w:rPr>
                <w:bCs/>
                <w:lang w:val="en-IE" w:eastAsia="en-GB"/>
              </w:rPr>
            </w:pPr>
          </w:p>
        </w:tc>
      </w:tr>
      <w:tr w:rsidR="00377580" w:rsidRPr="001D3EEC" w14:paraId="529DCF69" w14:textId="77777777" w:rsidTr="005F6927">
        <w:tc>
          <w:tcPr>
            <w:tcW w:w="3111" w:type="dxa"/>
          </w:tcPr>
          <w:p w14:paraId="0AA7058A" w14:textId="77777777" w:rsidR="00377580" w:rsidRPr="00DA761F" w:rsidRDefault="00377580" w:rsidP="005F6927">
            <w:pPr>
              <w:tabs>
                <w:tab w:val="left" w:pos="426"/>
              </w:tabs>
              <w:spacing w:after="0"/>
              <w:rPr>
                <w:bCs/>
                <w:lang w:val="en-IE" w:eastAsia="en-GB"/>
              </w:rPr>
            </w:pPr>
          </w:p>
        </w:tc>
        <w:tc>
          <w:tcPr>
            <w:tcW w:w="5491" w:type="dxa"/>
          </w:tcPr>
          <w:p w14:paraId="448C3A1A" w14:textId="47F960BD" w:rsidR="00377580" w:rsidRPr="001D3EEC" w:rsidRDefault="00744B50"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DA761F">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54633B02" w:rsidR="00377580" w:rsidRPr="001D3EEC" w:rsidRDefault="00744B50"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DA761F">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744B50"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744B50"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744B50"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744B50"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6C254BEC" w:rsidR="00377580" w:rsidRPr="001D3EEC" w:rsidRDefault="00744B50"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DA761F">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6E3259BD" w:rsidR="001A0074" w:rsidRPr="00DA761F" w:rsidRDefault="00DA761F" w:rsidP="001A0074">
          <w:pPr>
            <w:rPr>
              <w:lang w:val="fr-BE" w:eastAsia="en-GB"/>
            </w:rPr>
          </w:pPr>
          <w:r w:rsidRPr="00DA761F">
            <w:rPr>
              <w:lang w:val="fr-BE" w:eastAsia="en-GB"/>
            </w:rPr>
            <w:t>L’unité INTPA.G.1 est une unité dynamique et engagée qui œuvre à la promotion des droits de l’homme, de l’égalité entre les hommes et les femmes et de la gouvernance démocratique dans le monde entier. L’unité est chargée de la gestion du programme thématique sur les droits de l’homme et la démocratie et fournit un soutien thématique de qualité au reste de la programmation de la coopération au développement</w:t>
          </w:r>
          <w:r w:rsidR="00765728">
            <w:rPr>
              <w:lang w:val="fr-BE" w:eastAsia="en-GB"/>
            </w:rPr>
            <w:t xml:space="preserve">. Elle fournit également un soutien thématique aux </w:t>
          </w:r>
          <w:r w:rsidRPr="00DA761F">
            <w:rPr>
              <w:lang w:val="fr-BE" w:eastAsia="en-GB"/>
            </w:rPr>
            <w:t xml:space="preserve">délégations de l’UE, afin de garantir une approche du développement fondée sur les droits de l’homme, l’intégration de la dimension de genre et le soutien durable à la démocratie, la justice, l’état de droit et les réformes et initiatives de lutte contre la corruption. </w:t>
          </w:r>
          <w:r w:rsidR="004231BD" w:rsidRPr="004231BD">
            <w:rPr>
              <w:lang w:val="fr-BE" w:eastAsia="en-GB"/>
            </w:rPr>
            <w:t>L’unité contribue à créer un environnement propice à la mise en œuvre de la stratégie</w:t>
          </w:r>
          <w:proofErr w:type="gramStart"/>
          <w:r w:rsidR="004231BD" w:rsidRPr="004231BD">
            <w:rPr>
              <w:lang w:val="fr-BE" w:eastAsia="en-GB"/>
            </w:rPr>
            <w:t xml:space="preserve"> «Global</w:t>
          </w:r>
          <w:proofErr w:type="gramEnd"/>
          <w:r w:rsidR="004231BD" w:rsidRPr="004231BD">
            <w:rPr>
              <w:lang w:val="fr-BE" w:eastAsia="en-GB"/>
            </w:rPr>
            <w:t xml:space="preserve"> </w:t>
          </w:r>
          <w:proofErr w:type="spellStart"/>
          <w:r w:rsidR="004231BD" w:rsidRPr="004231BD">
            <w:rPr>
              <w:lang w:val="fr-BE" w:eastAsia="en-GB"/>
            </w:rPr>
            <w:t>Gateway».</w:t>
          </w:r>
          <w:r w:rsidRPr="00DA761F">
            <w:rPr>
              <w:lang w:val="fr-BE" w:eastAsia="en-GB"/>
            </w:rPr>
            <w:t>L’unité</w:t>
          </w:r>
          <w:proofErr w:type="spellEnd"/>
          <w:r w:rsidRPr="00DA761F">
            <w:rPr>
              <w:lang w:val="fr-BE" w:eastAsia="en-GB"/>
            </w:rPr>
            <w:t xml:space="preserve"> est également chargée de contribuer au plan d’action en faveur des droits de l’homme et de la démocratie et au plan d’action sur </w:t>
          </w:r>
          <w:r w:rsidRPr="00DA761F">
            <w:rPr>
              <w:lang w:val="fr-BE" w:eastAsia="en-GB"/>
            </w:rPr>
            <w:lastRenderedPageBreak/>
            <w:t>l’égalité des sexes, ainsi qu’à leur mise en œuvre. Il s’agit d’une unité équilibrée entre les hommes et les femmes, qui compte plus de 30 personnes.</w:t>
          </w:r>
        </w:p>
      </w:sdtContent>
    </w:sdt>
    <w:p w14:paraId="30B422AA" w14:textId="77777777" w:rsidR="00301CA3" w:rsidRPr="00DA761F"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B5EE42E" w14:textId="77777777" w:rsidR="004231BD" w:rsidRPr="004231BD" w:rsidRDefault="004231BD" w:rsidP="004231BD">
          <w:pPr>
            <w:rPr>
              <w:lang w:val="fr-BE" w:eastAsia="en-GB"/>
            </w:rPr>
          </w:pPr>
          <w:proofErr w:type="gramStart"/>
          <w:r w:rsidRPr="004231BD">
            <w:rPr>
              <w:lang w:val="fr-BE" w:eastAsia="en-GB"/>
            </w:rPr>
            <w:t>l’expert</w:t>
          </w:r>
          <w:proofErr w:type="gramEnd"/>
          <w:r w:rsidRPr="004231BD">
            <w:rPr>
              <w:lang w:val="fr-BE" w:eastAsia="en-GB"/>
            </w:rPr>
            <w:t xml:space="preserve"> détaché contribuera à fournir l’expertise nécessaire à la qualité des activités de coopération dans le domaine de la justice et de l’État de droit, y compris la justice transitionnelle, en soutenant la programmation et la mise en œuvre de programmes de coopération dans les pays tiers conformément à toutes les politiques communautaires. </w:t>
          </w:r>
        </w:p>
        <w:p w14:paraId="12648AB0" w14:textId="77777777" w:rsidR="004231BD" w:rsidRPr="004231BD" w:rsidRDefault="004231BD" w:rsidP="004231BD">
          <w:pPr>
            <w:rPr>
              <w:lang w:val="fr-BE" w:eastAsia="en-GB"/>
            </w:rPr>
          </w:pPr>
        </w:p>
        <w:p w14:paraId="36292A7A" w14:textId="77777777" w:rsidR="004231BD" w:rsidRPr="004231BD" w:rsidRDefault="004231BD" w:rsidP="004231BD">
          <w:pPr>
            <w:rPr>
              <w:lang w:val="fr-BE" w:eastAsia="en-GB"/>
            </w:rPr>
          </w:pPr>
          <w:r w:rsidRPr="004231BD">
            <w:rPr>
              <w:lang w:val="fr-BE" w:eastAsia="en-GB"/>
            </w:rPr>
            <w:t>Sous la supervision d’un chef de secteur, il/elle contribuera à fournir une expertise thématique sur les programmes de coopération au développement de l’UE dans le domaine de l’État de droit et de la justice, y compris en ce qui concerne les situations de conflit et d’après-conflit. La promotion de l’adhésion des pays tiers aux normes internationales pertinentes, la protection des droits de l’homme et des libertés fondamentales et l’accès à la justice sont des éléments essentiels. Une expertise thématique est fournie aux collègues travaillant dans les délégations de l’UE et au siège tout au long de la gestion du cycle de projet, ainsi que sur une base ad hoc pour des questions et des circonstances spécifiques.</w:t>
          </w:r>
        </w:p>
        <w:p w14:paraId="644F480F" w14:textId="327617CC" w:rsidR="004231BD" w:rsidRPr="004231BD" w:rsidRDefault="004231BD" w:rsidP="004231BD">
          <w:pPr>
            <w:rPr>
              <w:lang w:val="fr-BE" w:eastAsia="en-GB"/>
            </w:rPr>
          </w:pPr>
        </w:p>
        <w:p w14:paraId="0C3C4BCF" w14:textId="508C5B10" w:rsidR="00DA761F" w:rsidRPr="00DA761F" w:rsidRDefault="004231BD" w:rsidP="004231BD">
          <w:pPr>
            <w:rPr>
              <w:lang w:val="fr-BE" w:eastAsia="en-GB"/>
            </w:rPr>
          </w:pPr>
          <w:r w:rsidRPr="004231BD">
            <w:rPr>
              <w:lang w:val="fr-BE" w:eastAsia="en-GB"/>
            </w:rPr>
            <w:t xml:space="preserve">Il/elle ne représentera pas la Commission, ne négociera pas et ne prendra aucun engagement, juridique ou financier, au nom de la </w:t>
          </w:r>
          <w:proofErr w:type="gramStart"/>
          <w:r w:rsidRPr="004231BD">
            <w:rPr>
              <w:lang w:val="fr-BE" w:eastAsia="en-GB"/>
            </w:rPr>
            <w:t>Commission.</w:t>
          </w:r>
          <w:r w:rsidR="00DA761F" w:rsidRPr="00DA761F">
            <w:rPr>
              <w:lang w:val="fr-BE" w:eastAsia="en-GB"/>
            </w:rPr>
            <w:t>.</w:t>
          </w:r>
          <w:proofErr w:type="gramEnd"/>
          <w:r w:rsidR="00DA761F" w:rsidRPr="00DA761F">
            <w:rPr>
              <w:lang w:val="fr-BE" w:eastAsia="en-GB"/>
            </w:rPr>
            <w:t xml:space="preserve"> </w:t>
          </w:r>
        </w:p>
        <w:p w14:paraId="0034FA87" w14:textId="77777777" w:rsidR="00DA761F" w:rsidRPr="00DA761F" w:rsidRDefault="00DA761F" w:rsidP="00DA761F">
          <w:pPr>
            <w:rPr>
              <w:lang w:val="fr-BE" w:eastAsia="en-GB"/>
            </w:rPr>
          </w:pPr>
        </w:p>
        <w:p w14:paraId="0B7BB49C" w14:textId="77777777" w:rsidR="00DA761F" w:rsidRPr="00DA761F" w:rsidRDefault="00DA761F" w:rsidP="00DA761F">
          <w:pPr>
            <w:rPr>
              <w:lang w:val="fr-BE" w:eastAsia="en-GB"/>
            </w:rPr>
          </w:pPr>
          <w:r w:rsidRPr="00DA761F">
            <w:rPr>
              <w:lang w:val="fr-BE" w:eastAsia="en-GB"/>
            </w:rPr>
            <w:t>Fonctions et responsabilités</w:t>
          </w:r>
        </w:p>
        <w:p w14:paraId="23CC748E" w14:textId="77777777" w:rsidR="00DA761F" w:rsidRPr="00DA761F" w:rsidRDefault="00DA761F" w:rsidP="00DA761F">
          <w:pPr>
            <w:rPr>
              <w:lang w:val="fr-BE" w:eastAsia="en-GB"/>
            </w:rPr>
          </w:pPr>
        </w:p>
        <w:p w14:paraId="75A0300F" w14:textId="77777777" w:rsidR="00DA761F" w:rsidRPr="00DA761F" w:rsidRDefault="00DA761F" w:rsidP="00DA761F">
          <w:pPr>
            <w:rPr>
              <w:lang w:val="fr-BE" w:eastAsia="en-GB"/>
            </w:rPr>
          </w:pPr>
          <w:r w:rsidRPr="00DA761F">
            <w:rPr>
              <w:lang w:val="fr-BE" w:eastAsia="en-GB"/>
            </w:rPr>
            <w:t>Analyse et résolution de problèmes</w:t>
          </w:r>
        </w:p>
        <w:p w14:paraId="1D60A128" w14:textId="77777777" w:rsidR="00DA761F" w:rsidRPr="00DA761F" w:rsidRDefault="00DA761F" w:rsidP="00DA761F">
          <w:pPr>
            <w:rPr>
              <w:lang w:val="fr-BE" w:eastAsia="en-GB"/>
            </w:rPr>
          </w:pPr>
          <w:r w:rsidRPr="00DA761F">
            <w:rPr>
              <w:lang w:val="fr-BE" w:eastAsia="en-GB"/>
            </w:rPr>
            <w:t>Communication et excellentes compétences rédactionnelles</w:t>
          </w:r>
        </w:p>
        <w:p w14:paraId="1F133467" w14:textId="77777777" w:rsidR="00DA761F" w:rsidRPr="00DA761F" w:rsidRDefault="00DA761F" w:rsidP="00DA761F">
          <w:pPr>
            <w:rPr>
              <w:lang w:val="fr-BE" w:eastAsia="en-GB"/>
            </w:rPr>
          </w:pPr>
          <w:r w:rsidRPr="00DA761F">
            <w:rPr>
              <w:lang w:val="fr-BE" w:eastAsia="en-GB"/>
            </w:rPr>
            <w:t>Capacité à produire de la qualité/des résultats</w:t>
          </w:r>
        </w:p>
        <w:p w14:paraId="3ECE2816" w14:textId="77777777" w:rsidR="00DA761F" w:rsidRPr="00DA761F" w:rsidRDefault="00DA761F" w:rsidP="00DA761F">
          <w:pPr>
            <w:rPr>
              <w:lang w:val="fr-BE" w:eastAsia="en-GB"/>
            </w:rPr>
          </w:pPr>
          <w:r w:rsidRPr="00DA761F">
            <w:rPr>
              <w:lang w:val="fr-BE" w:eastAsia="en-GB"/>
            </w:rPr>
            <w:t>— Volontarisme et flexibilité</w:t>
          </w:r>
        </w:p>
        <w:p w14:paraId="05E4B793" w14:textId="77777777" w:rsidR="00DA761F" w:rsidRPr="00DA761F" w:rsidRDefault="00DA761F" w:rsidP="00DA761F">
          <w:pPr>
            <w:rPr>
              <w:lang w:val="fr-BE" w:eastAsia="en-GB"/>
            </w:rPr>
          </w:pPr>
          <w:r w:rsidRPr="00DA761F">
            <w:rPr>
              <w:lang w:val="fr-BE" w:eastAsia="en-GB"/>
            </w:rPr>
            <w:t>Organisation et polyvalence</w:t>
          </w:r>
        </w:p>
        <w:p w14:paraId="3263453D" w14:textId="77777777" w:rsidR="00DA761F" w:rsidRPr="00DA761F" w:rsidRDefault="00DA761F" w:rsidP="00DA761F">
          <w:pPr>
            <w:rPr>
              <w:lang w:val="fr-BE" w:eastAsia="en-GB"/>
            </w:rPr>
          </w:pPr>
          <w:r w:rsidRPr="00DA761F">
            <w:rPr>
              <w:lang w:val="fr-BE" w:eastAsia="en-GB"/>
            </w:rPr>
            <w:t xml:space="preserve">— Résilience au stress </w:t>
          </w:r>
        </w:p>
        <w:p w14:paraId="3B1D2FA2" w14:textId="25640FE6" w:rsidR="001A0074" w:rsidRDefault="00DA761F" w:rsidP="00DA761F">
          <w:pPr>
            <w:rPr>
              <w:lang w:val="fr-BE" w:eastAsia="en-GB"/>
            </w:rPr>
          </w:pPr>
          <w:r w:rsidRPr="00DA761F">
            <w:rPr>
              <w:lang w:val="fr-BE" w:eastAsia="en-GB"/>
            </w:rPr>
            <w:t>Acteur de l’équipe</w:t>
          </w:r>
        </w:p>
        <w:sdt>
          <w:sdtPr>
            <w:rPr>
              <w:b/>
              <w:bCs/>
              <w:lang w:val="fr-BE" w:eastAsia="en-GB"/>
            </w:rPr>
            <w:id w:val="-191995587"/>
            <w:placeholder>
              <w:docPart w:val="786A20C328EE41DC8D12D015013863E9"/>
            </w:placeholder>
          </w:sdtPr>
          <w:sdtEndPr/>
          <w:sdtContent>
            <w:p w14:paraId="67E892B2" w14:textId="3CE7601A" w:rsidR="002B0F90" w:rsidRPr="002B0F90" w:rsidRDefault="002B0F90" w:rsidP="002B0F90">
              <w:pPr>
                <w:pStyle w:val="ListNumber"/>
                <w:numPr>
                  <w:ilvl w:val="0"/>
                  <w:numId w:val="0"/>
                </w:numPr>
                <w:rPr>
                  <w:b/>
                  <w:bCs/>
                  <w:lang w:val="fr-BE" w:eastAsia="en-GB"/>
                </w:rPr>
              </w:pPr>
            </w:p>
            <w:p w14:paraId="6C8962B4" w14:textId="47EFCBC0" w:rsidR="002B0F90" w:rsidRPr="002B0F90" w:rsidRDefault="00744B50" w:rsidP="002B0F90">
              <w:pPr>
                <w:pStyle w:val="ListNumber"/>
                <w:numPr>
                  <w:ilvl w:val="0"/>
                  <w:numId w:val="0"/>
                </w:numPr>
                <w:rPr>
                  <w:b/>
                  <w:bCs/>
                  <w:lang w:val="fr-BE" w:eastAsia="en-GB"/>
                </w:rPr>
              </w:pPr>
            </w:p>
          </w:sdtContent>
        </w:sdt>
      </w:sdtContent>
    </w:sdt>
    <w:p w14:paraId="3D69C09B" w14:textId="77777777" w:rsidR="00301CA3" w:rsidRPr="00765728"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09D35EAD" w14:textId="77777777" w:rsidR="002B0F90" w:rsidRDefault="002B0F90" w:rsidP="002B0F90">
          <w:pPr>
            <w:pStyle w:val="ListNumber"/>
            <w:numPr>
              <w:ilvl w:val="0"/>
              <w:numId w:val="0"/>
            </w:numPr>
            <w:rPr>
              <w:b/>
              <w:bCs/>
              <w:lang w:val="fr-BE" w:eastAsia="en-GB"/>
            </w:rPr>
          </w:pPr>
          <w:r>
            <w:rPr>
              <w:b/>
              <w:bCs/>
              <w:lang w:val="fr-BE" w:eastAsia="en-GB"/>
            </w:rPr>
            <w:t xml:space="preserve">Une </w:t>
          </w:r>
          <w:proofErr w:type="spellStart"/>
          <w:r>
            <w:rPr>
              <w:b/>
              <w:bCs/>
              <w:lang w:val="fr-BE" w:eastAsia="en-GB"/>
            </w:rPr>
            <w:t>experience</w:t>
          </w:r>
          <w:proofErr w:type="spellEnd"/>
          <w:r>
            <w:rPr>
              <w:b/>
              <w:bCs/>
              <w:lang w:val="fr-BE" w:eastAsia="en-GB"/>
            </w:rPr>
            <w:t xml:space="preserve"> de travail dans le domaine de programme de </w:t>
          </w:r>
          <w:proofErr w:type="spellStart"/>
          <w:r>
            <w:rPr>
              <w:b/>
              <w:bCs/>
              <w:lang w:val="fr-BE" w:eastAsia="en-GB"/>
            </w:rPr>
            <w:t>cooperation</w:t>
          </w:r>
          <w:proofErr w:type="spellEnd"/>
          <w:r>
            <w:rPr>
              <w:b/>
              <w:bCs/>
              <w:lang w:val="fr-BE" w:eastAsia="en-GB"/>
            </w:rPr>
            <w:t xml:space="preserve"> au développement </w:t>
          </w:r>
          <w:r w:rsidRPr="00DA761F">
            <w:rPr>
              <w:b/>
              <w:bCs/>
              <w:lang w:val="fr-BE" w:eastAsia="en-GB"/>
            </w:rPr>
            <w:t>qu’il s’agisse d’une ambassade, d’une agence de coopération au développement ou, à terme, d’une organisation mettant directement en œuvre ces programmes (ONG, organisation internationale), serait un a</w:t>
          </w:r>
          <w:r>
            <w:rPr>
              <w:b/>
              <w:bCs/>
              <w:lang w:val="fr-BE" w:eastAsia="en-GB"/>
            </w:rPr>
            <w:t>tout.</w:t>
          </w:r>
          <w:r>
            <w:rPr>
              <w:b/>
              <w:bCs/>
              <w:lang w:val="fr-BE" w:eastAsia="en-GB"/>
            </w:rPr>
            <w:br/>
          </w:r>
        </w:p>
        <w:p w14:paraId="053A4F7D" w14:textId="4A751C81" w:rsidR="002B0F90" w:rsidRPr="002B0F90" w:rsidRDefault="002B0F90" w:rsidP="002B0F90">
          <w:pPr>
            <w:pStyle w:val="ListNumber"/>
            <w:numPr>
              <w:ilvl w:val="0"/>
              <w:numId w:val="0"/>
            </w:numPr>
            <w:rPr>
              <w:b/>
              <w:bCs/>
              <w:lang w:val="fr-BE" w:eastAsia="en-GB"/>
            </w:rPr>
          </w:pPr>
          <w:r>
            <w:rPr>
              <w:b/>
              <w:bCs/>
              <w:lang w:val="fr-BE" w:eastAsia="en-GB"/>
            </w:rPr>
            <w:t xml:space="preserve">Au moins 3 ans </w:t>
          </w:r>
          <w:r w:rsidRPr="00DA761F">
            <w:rPr>
              <w:b/>
              <w:bCs/>
              <w:lang w:val="fr-BE" w:eastAsia="en-GB"/>
            </w:rPr>
            <w:t xml:space="preserve">d’expérience dans la gestion de programmes/projets dans le domaine de l’état de droit et de la </w:t>
          </w:r>
          <w:proofErr w:type="gramStart"/>
          <w:r w:rsidRPr="00DA761F">
            <w:rPr>
              <w:b/>
              <w:bCs/>
              <w:lang w:val="fr-BE" w:eastAsia="en-GB"/>
            </w:rPr>
            <w:t>justice</w:t>
          </w:r>
          <w:r>
            <w:rPr>
              <w:b/>
              <w:bCs/>
              <w:lang w:val="fr-BE" w:eastAsia="en-GB"/>
            </w:rPr>
            <w:t> .</w:t>
          </w:r>
          <w:proofErr w:type="gramEnd"/>
          <w:r>
            <w:rPr>
              <w:b/>
              <w:bCs/>
              <w:lang w:val="fr-BE" w:eastAsia="en-GB"/>
            </w:rPr>
            <w:t xml:space="preserve"> </w:t>
          </w:r>
          <w:r w:rsidRPr="00DA761F">
            <w:rPr>
              <w:b/>
              <w:bCs/>
              <w:lang w:val="fr-BE" w:eastAsia="en-GB"/>
            </w:rPr>
            <w:t>Bonne connaissance des questions politiques relatives à l’état de droit et à la justice</w:t>
          </w:r>
          <w:r>
            <w:rPr>
              <w:b/>
              <w:bCs/>
              <w:lang w:val="fr-BE" w:eastAsia="en-GB"/>
            </w:rPr>
            <w:t xml:space="preserve">. </w:t>
          </w:r>
        </w:p>
        <w:p w14:paraId="494299F7" w14:textId="77777777" w:rsidR="002B0F90" w:rsidRPr="00DA761F" w:rsidRDefault="002B0F90" w:rsidP="002B0F90">
          <w:pPr>
            <w:pStyle w:val="ListNumber"/>
            <w:numPr>
              <w:ilvl w:val="0"/>
              <w:numId w:val="0"/>
            </w:numPr>
            <w:ind w:left="709" w:hanging="709"/>
            <w:rPr>
              <w:b/>
              <w:bCs/>
              <w:lang w:val="fr-BE" w:eastAsia="en-GB"/>
            </w:rPr>
          </w:pPr>
          <w:r w:rsidRPr="002B0F90">
            <w:rPr>
              <w:b/>
              <w:bCs/>
              <w:lang w:val="fr-BE" w:eastAsia="en-GB"/>
            </w:rPr>
            <w:t>Langue (s) nécessaire (s) pour l’accomplissement des tâches</w:t>
          </w:r>
          <w:r>
            <w:rPr>
              <w:b/>
              <w:bCs/>
              <w:lang w:val="fr-BE" w:eastAsia="en-GB"/>
            </w:rPr>
            <w:t xml:space="preserve"> </w:t>
          </w:r>
        </w:p>
        <w:p w14:paraId="244AB12A" w14:textId="564905EC" w:rsidR="002B0F90" w:rsidRPr="00DA761F" w:rsidRDefault="002B0F90" w:rsidP="002B0F90">
          <w:pPr>
            <w:pStyle w:val="ListNumber"/>
            <w:numPr>
              <w:ilvl w:val="0"/>
              <w:numId w:val="0"/>
            </w:numPr>
            <w:ind w:left="709" w:hanging="709"/>
            <w:rPr>
              <w:b/>
              <w:bCs/>
              <w:lang w:val="fr-BE" w:eastAsia="en-GB"/>
            </w:rPr>
          </w:pPr>
          <w:r w:rsidRPr="00DA761F">
            <w:rPr>
              <w:b/>
              <w:bCs/>
              <w:lang w:val="fr-BE" w:eastAsia="en-GB"/>
            </w:rPr>
            <w:t>Anglais C-2 et français B-1 (non essentiel).</w:t>
          </w:r>
        </w:p>
        <w:p w14:paraId="7E409EA7" w14:textId="607B6A61" w:rsidR="001A0074" w:rsidRPr="002B0F90" w:rsidRDefault="00744B50" w:rsidP="00765728">
          <w:pPr>
            <w:pStyle w:val="ListNumber"/>
            <w:numPr>
              <w:ilvl w:val="0"/>
              <w:numId w:val="0"/>
            </w:numPr>
            <w:rPr>
              <w:b/>
              <w:bCs/>
              <w:lang w:val="fr-BE" w:eastAsia="en-GB"/>
            </w:rPr>
          </w:pPr>
        </w:p>
      </w:sdtContent>
    </w:sdt>
    <w:p w14:paraId="5D76C15C" w14:textId="77777777" w:rsidR="00F65CC2" w:rsidRPr="0076572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lastRenderedPageBreak/>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A3A8B14"/>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690453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0F90"/>
    <w:rsid w:val="002B37EB"/>
    <w:rsid w:val="00301CA3"/>
    <w:rsid w:val="00377580"/>
    <w:rsid w:val="004231BD"/>
    <w:rsid w:val="00443957"/>
    <w:rsid w:val="00462268"/>
    <w:rsid w:val="004D3B51"/>
    <w:rsid w:val="006A1CB2"/>
    <w:rsid w:val="006F23BA"/>
    <w:rsid w:val="0074301E"/>
    <w:rsid w:val="00744B50"/>
    <w:rsid w:val="00765728"/>
    <w:rsid w:val="007A1396"/>
    <w:rsid w:val="007B5FAE"/>
    <w:rsid w:val="007E131B"/>
    <w:rsid w:val="008241B0"/>
    <w:rsid w:val="008315CD"/>
    <w:rsid w:val="008871C3"/>
    <w:rsid w:val="0092295D"/>
    <w:rsid w:val="00A917BE"/>
    <w:rsid w:val="00B31DC8"/>
    <w:rsid w:val="00C518F5"/>
    <w:rsid w:val="00DA761F"/>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786A20C328EE41DC8D12D015013863E9"/>
        <w:category>
          <w:name w:val="General"/>
          <w:gallery w:val="placeholder"/>
        </w:category>
        <w:types>
          <w:type w:val="bbPlcHdr"/>
        </w:types>
        <w:behaviors>
          <w:behavior w:val="content"/>
        </w:behaviors>
        <w:guid w:val="{1AA4F222-82D2-48B8-9BF5-424A39BEAE9A}"/>
      </w:docPartPr>
      <w:docPartBody>
        <w:p w:rsidR="00210FF6" w:rsidRDefault="00210FF6" w:rsidP="00210FF6">
          <w:pPr>
            <w:pStyle w:val="786A20C328EE41DC8D12D015013863E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10FF6"/>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10FF6"/>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786A20C328EE41DC8D12D015013863E9">
    <w:name w:val="786A20C328EE41DC8D12D015013863E9"/>
    <w:rsid w:val="00210FF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1206</Words>
  <Characters>6876</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2024-10-11T16:34:00Z</dcterms:created>
  <dcterms:modified xsi:type="dcterms:W3CDTF">2024-10-11T16:34:00Z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