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826B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826B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826B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826B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826B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826B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B8833BE" w:rsidR="00546DB1" w:rsidRPr="00546DB1" w:rsidRDefault="00EB54A5" w:rsidP="00AB56F9">
                <w:pPr>
                  <w:tabs>
                    <w:tab w:val="left" w:pos="426"/>
                  </w:tabs>
                  <w:spacing w:before="120"/>
                  <w:rPr>
                    <w:bCs/>
                    <w:lang w:val="en-IE" w:eastAsia="en-GB"/>
                  </w:rPr>
                </w:pPr>
                <w:r>
                  <w:rPr>
                    <w:bCs/>
                    <w:lang w:eastAsia="en-GB"/>
                  </w:rPr>
                  <w:t>INTPA-G-5</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57C784F" w:rsidR="00546DB1" w:rsidRPr="003B2E38" w:rsidRDefault="00EB54A5" w:rsidP="00AB56F9">
                <w:pPr>
                  <w:tabs>
                    <w:tab w:val="left" w:pos="426"/>
                  </w:tabs>
                  <w:spacing w:before="120"/>
                  <w:rPr>
                    <w:bCs/>
                    <w:lang w:val="en-IE" w:eastAsia="en-GB"/>
                  </w:rPr>
                </w:pPr>
                <w:r>
                  <w:rPr>
                    <w:bCs/>
                    <w:lang w:eastAsia="en-GB"/>
                  </w:rPr>
                  <w:t>318885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2C87624" w:rsidR="00546DB1" w:rsidRPr="003B2E38" w:rsidRDefault="00EB54A5" w:rsidP="00AB56F9">
                <w:pPr>
                  <w:tabs>
                    <w:tab w:val="left" w:pos="426"/>
                  </w:tabs>
                  <w:spacing w:before="120"/>
                  <w:rPr>
                    <w:bCs/>
                    <w:lang w:val="en-IE" w:eastAsia="en-GB"/>
                  </w:rPr>
                </w:pPr>
                <w:r>
                  <w:rPr>
                    <w:bCs/>
                    <w:lang w:eastAsia="en-GB"/>
                  </w:rPr>
                  <w:t>Daniel GIOREV</w:t>
                </w:r>
              </w:p>
            </w:sdtContent>
          </w:sdt>
          <w:p w14:paraId="227D6F6E" w14:textId="53E70FFD" w:rsidR="00546DB1" w:rsidRPr="009F216F" w:rsidRDefault="00B826B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B54A5">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EB54A5">
                      <w:rPr>
                        <w:bCs/>
                        <w:lang w:eastAsia="en-GB"/>
                      </w:rPr>
                      <w:t>2025</w:t>
                    </w:r>
                  </w:sdtContent>
                </w:sdt>
              </w:sdtContent>
            </w:sdt>
          </w:p>
          <w:p w14:paraId="4128A55A" w14:textId="6B35F912" w:rsidR="00546DB1" w:rsidRPr="00546DB1" w:rsidRDefault="00B826B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B54A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B54A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E6D211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39F71D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826B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826B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826B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CB5BBF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2E9A51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148E4B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EB54A5">
                  <w:rPr>
                    <w:bCs/>
                    <w:lang w:val="fr-BE" w:eastAsia="en-GB"/>
                  </w:rPr>
                  <w:t>1</w:t>
                </w:r>
                <w:r w:rsidR="00B826B6">
                  <w:rPr>
                    <w:bCs/>
                    <w:lang w:val="fr-BE" w:eastAsia="en-GB"/>
                  </w:rPr>
                  <w:t>7</w:t>
                </w:r>
                <w:r w:rsidR="00EB54A5">
                  <w:rPr>
                    <w:bCs/>
                    <w:lang w:val="fr-BE" w:eastAsia="en-GB"/>
                  </w:rPr>
                  <w:t>-12-2024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eastAsia="en-GB"/>
            </w:rPr>
            <w:id w:val="-1962024964"/>
            <w:placeholder>
              <w:docPart w:val="7662F224CDE04F79B2084691AA0FB82D"/>
            </w:placeholder>
          </w:sdtPr>
          <w:sdtEndPr/>
          <w:sdtContent>
            <w:p w14:paraId="20EE5D15" w14:textId="77777777" w:rsidR="00EB54A5" w:rsidRPr="00EB54A5" w:rsidRDefault="00EB54A5" w:rsidP="00EB54A5">
              <w:pPr>
                <w:rPr>
                  <w:lang w:eastAsia="en-GB"/>
                </w:rPr>
              </w:pPr>
              <w:r w:rsidRPr="00EB54A5">
                <w:rPr>
                  <w:lang w:eastAsia="en-GB"/>
                </w:rPr>
                <w:t xml:space="preserve">Innerhalb der Europäischen Kommission ist die Generaldirektion für Internationale Partnerschaften für die Entwicklungspolitik zuständig, die Teil des umfassenderen </w:t>
              </w:r>
              <w:r w:rsidRPr="00EB54A5">
                <w:rPr>
                  <w:lang w:eastAsia="en-GB"/>
                </w:rPr>
                <w:lastRenderedPageBreak/>
                <w:t>Rahmens der internationalen Zusammenarbeit und Außenpolitik der EU ist. Dies umfasst die Zusammenarbeit mit Entwicklungsländern auf verschiedenen Entwicklungsstufen und stellt sicher, dass starke Verbindungen und Kohärenz zwischen den internen Politiken und Prioritäten der EU und ihrem außenpolitischen Handeln bestehen.</w:t>
              </w:r>
            </w:p>
            <w:p w14:paraId="033A7316" w14:textId="77777777" w:rsidR="00EB54A5" w:rsidRPr="00EB54A5" w:rsidRDefault="00EB54A5" w:rsidP="00EB54A5">
              <w:pPr>
                <w:rPr>
                  <w:lang w:eastAsia="en-GB"/>
                </w:rPr>
              </w:pPr>
              <w:r w:rsidRPr="00EB54A5">
                <w:rPr>
                  <w:lang w:eastAsia="en-GB"/>
                </w:rPr>
                <w:t>Im Rahmen des allgemeinen Mandats der GD INTPA und innerhalb der Direktion G „Menschliche Entwicklung, Migration, Governance und Frieden“ formuliert und koordiniert die thematische Einheit G5 „Resilienz, Frieden, Sicherheit“ sektorale Politiken in diesen Bereichen, indem sie:</w:t>
              </w:r>
            </w:p>
            <w:p w14:paraId="4E822506" w14:textId="77777777" w:rsidR="00EB54A5" w:rsidRPr="00EB54A5" w:rsidRDefault="00EB54A5" w:rsidP="00EB54A5">
              <w:pPr>
                <w:rPr>
                  <w:lang w:eastAsia="en-GB"/>
                </w:rPr>
              </w:pPr>
              <w:r w:rsidRPr="00EB54A5">
                <w:rPr>
                  <w:lang w:eastAsia="en-GB"/>
                </w:rPr>
                <w:t>• Als Kompetenzzentrum für die Zusammenarbeit im Bereich der Sicherheitssektorreform (SSR), der grenzüberschreitenden organisierten Kriminalität, des Schutzes kritischer Infrastrukturen, der Prävention und Bekämpfung von gewalttätigem Extremismus, illegalen Finanzströmen, der Geldwäschebekämpfung und der Bekämpfung der Terrorismusfinanzierung sowie hybrider Bedrohungen fungiert.</w:t>
              </w:r>
            </w:p>
            <w:p w14:paraId="71D3355D" w14:textId="77777777" w:rsidR="00EB54A5" w:rsidRPr="00EB54A5" w:rsidRDefault="00EB54A5" w:rsidP="00EB54A5">
              <w:pPr>
                <w:rPr>
                  <w:lang w:val="nl-BE" w:eastAsia="en-GB"/>
                </w:rPr>
              </w:pPr>
              <w:r w:rsidRPr="00EB54A5">
                <w:rPr>
                  <w:lang w:val="nl-BE" w:eastAsia="en-GB"/>
                </w:rPr>
                <w:t>• Fachwissen in den Bereichen Resilienz, Frieden und Sicherheit bereitstellt.</w:t>
              </w:r>
            </w:p>
            <w:p w14:paraId="4EB316FD" w14:textId="77777777" w:rsidR="00EB54A5" w:rsidRPr="00EB54A5" w:rsidRDefault="00EB54A5" w:rsidP="00EB54A5">
              <w:pPr>
                <w:rPr>
                  <w:lang w:val="nl-BE" w:eastAsia="en-GB"/>
                </w:rPr>
              </w:pPr>
              <w:r w:rsidRPr="00EB54A5">
                <w:rPr>
                  <w:lang w:val="nl-BE" w:eastAsia="en-GB"/>
                </w:rPr>
                <w:t>• An der Integration des humanitären-Entwicklungs-Friedens-Nexus in die Arbeit der EU in den Hauptquartieren und vor Ort arbeitet.</w:t>
              </w:r>
            </w:p>
            <w:p w14:paraId="4785B875" w14:textId="77777777" w:rsidR="00EB54A5" w:rsidRPr="00EB54A5" w:rsidRDefault="00EB54A5" w:rsidP="00EB54A5">
              <w:pPr>
                <w:rPr>
                  <w:lang w:val="nl-BE" w:eastAsia="en-GB"/>
                </w:rPr>
              </w:pPr>
              <w:r w:rsidRPr="00EB54A5">
                <w:rPr>
                  <w:lang w:val="nl-BE" w:eastAsia="en-GB"/>
                </w:rPr>
                <w:t>• Fachwissen und Unterstützung für den Kapazitätsaufbau bereitstellt und konfliktbewusste, friedensfördernde und resilienzfördernde Ansätze in von Krisen und/oder Fragilität(en) betroffenen Ländern sicherstellt.</w:t>
              </w:r>
            </w:p>
            <w:p w14:paraId="70024475" w14:textId="77777777" w:rsidR="00EB54A5" w:rsidRPr="00EB54A5" w:rsidRDefault="00EB54A5" w:rsidP="00EB54A5">
              <w:pPr>
                <w:rPr>
                  <w:lang w:val="nl-BE" w:eastAsia="en-GB"/>
                </w:rPr>
              </w:pPr>
              <w:r w:rsidRPr="00EB54A5">
                <w:rPr>
                  <w:lang w:val="nl-BE" w:eastAsia="en-GB"/>
                </w:rPr>
                <w:t>• Die Krisenvorbereitungs- und Analysetools der EU gemeinsam verwaltet (z. B. das Frühwarnsystem der EU für Konflikte und RPBAs/PDNAs).</w:t>
              </w:r>
            </w:p>
            <w:p w14:paraId="2209222F" w14:textId="77777777" w:rsidR="00EB54A5" w:rsidRPr="00EB54A5" w:rsidRDefault="00EB54A5" w:rsidP="00EB54A5">
              <w:pPr>
                <w:rPr>
                  <w:lang w:val="nl-BE" w:eastAsia="en-GB"/>
                </w:rPr>
              </w:pPr>
              <w:r w:rsidRPr="00EB54A5">
                <w:rPr>
                  <w:lang w:val="nl-BE" w:eastAsia="en-GB"/>
                </w:rPr>
                <w:t>• Als Anlaufstelle und Koordinierungsstelle zu den oben genannten Themen mit einer Reihe von Partnern fungiert, wie den Bretton-Woods-Institutionen, der OECD und den Vereinten Nationen (UNDP, UN Peacebuilding Support Office, UN-Büro für Drogen- und Verbrechensbekämpfung, Büro der Vereinten Nationen für Terrorismusbekämpfung), sowie mit anderen spezialisierten internationalen Organisationen (Interpol, der Financial Action Task Force).</w:t>
              </w:r>
            </w:p>
            <w:p w14:paraId="37964A90" w14:textId="77777777" w:rsidR="00EB54A5" w:rsidRPr="00EB54A5" w:rsidRDefault="00EB54A5" w:rsidP="00EB54A5">
              <w:pPr>
                <w:rPr>
                  <w:lang w:val="nl-BE" w:eastAsia="en-GB"/>
                </w:rPr>
              </w:pPr>
              <w:r w:rsidRPr="00EB54A5">
                <w:rPr>
                  <w:lang w:val="nl-BE" w:eastAsia="en-GB"/>
                </w:rPr>
                <w:t>Die Arbeit der Einheit ist in die übergreifenden Prioritäten der EU eingebettet, einschließlich der Global Gateway-Strategie.</w:t>
              </w:r>
            </w:p>
            <w:p w14:paraId="76DD1EEA" w14:textId="32469477" w:rsidR="00803007" w:rsidRPr="00EB54A5" w:rsidRDefault="00EB54A5" w:rsidP="00803007">
              <w:pPr>
                <w:rPr>
                  <w:lang w:val="nl-BE" w:eastAsia="en-GB"/>
                </w:rPr>
              </w:pPr>
              <w:r w:rsidRPr="00EB54A5">
                <w:rPr>
                  <w:lang w:val="nl-BE" w:eastAsia="en-GB"/>
                </w:rPr>
                <w:t>Die Einheit besteht aus zwei voneinander abhängigen Teams: (1) Frieden/Resilienz und (2) Sicherheit, die mit einer Vielzahl von Gesprächspartnern im EU-System (z. B. andere Dienste der Europäischen Kommission, der Auswärtige Dienst, EU-Delegationen und EU-Mitgliedstaaten…), in Partnerländern weltweit (Afrika, Lateinamerika und Karibik, Asien und Pazifik) sowie auf internationaler Ebene (z. B. andere multilaterale Organisationen und fachspezifische zwischenstaatliche Gremien) zusammenarbeiten.</w:t>
              </w:r>
            </w:p>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eastAsia="en-GB"/>
            </w:rPr>
            <w:id w:val="1666119021"/>
            <w:placeholder>
              <w:docPart w:val="EE2357EE778749A2A7F25986369D311D"/>
            </w:placeholder>
          </w:sdtPr>
          <w:sdtEndPr/>
          <w:sdtContent>
            <w:p w14:paraId="2381D0C1" w14:textId="1E72FE2B" w:rsidR="00EB54A5" w:rsidRPr="00EB54A5" w:rsidRDefault="00EB54A5" w:rsidP="00EB54A5">
              <w:pPr>
                <w:rPr>
                  <w:lang w:eastAsia="en-GB"/>
                </w:rPr>
              </w:pPr>
              <w:r w:rsidRPr="00EB54A5">
                <w:rPr>
                  <w:lang w:eastAsia="en-GB"/>
                </w:rPr>
                <w:t xml:space="preserve">Im Hinblick auf das Bestreben der neuen Kommission, eine Strategie für eine Vorbereitungsunion zu entwickeln, die die Vision von Präsidentin Von der Leyen für einen gemeinsamen EU-Ansatz zur Verhinderung und Vorbereitung auf neue Bedrohungen, einschließlich hybrider Bedrohungen, widerspiegelt und vor dem Hintergrund </w:t>
              </w:r>
              <w:r w:rsidRPr="00EB54A5">
                <w:rPr>
                  <w:lang w:eastAsia="en-GB"/>
                </w:rPr>
                <w:lastRenderedPageBreak/>
                <w:t>geopolitischer Verschiebungen und eskalierender hybrider Kriegsführungsbedrohungen, die Entwicklungsländer destabilisieren, sucht die GD INTPA G5 nach einem engagierten Experten für hybride Bedrohungen.</w:t>
              </w:r>
            </w:p>
            <w:p w14:paraId="10FC0724" w14:textId="77777777" w:rsidR="00EB54A5" w:rsidRPr="00EB54A5" w:rsidRDefault="00EB54A5" w:rsidP="00EB54A5">
              <w:pPr>
                <w:rPr>
                  <w:lang w:eastAsia="en-GB"/>
                </w:rPr>
              </w:pPr>
              <w:r w:rsidRPr="00EB54A5">
                <w:rPr>
                  <w:lang w:eastAsia="en-GB"/>
                </w:rPr>
                <w:t>Er/Sie wird:</w:t>
              </w:r>
            </w:p>
            <w:p w14:paraId="3ED8C133" w14:textId="77777777" w:rsidR="00EB54A5" w:rsidRPr="00EB54A5" w:rsidRDefault="00EB54A5" w:rsidP="00EB54A5">
              <w:pPr>
                <w:rPr>
                  <w:lang w:eastAsia="en-GB"/>
                </w:rPr>
              </w:pPr>
              <w:r w:rsidRPr="00EB54A5">
                <w:rPr>
                  <w:lang w:eastAsia="en-GB"/>
                </w:rPr>
                <w:t>- EU-Delegationen und INTPA-Einheiten, insbesondere geografische Einheiten, bei der Gestaltung von EU-Programmen und -Politiken zur Bekämpfung hybrider Bedrohungen sowie bei Initiativen zur Stärkung der Fähigkeiten von Ländern zur Abwehr hybrider Bedrohungen, beim Aufbau von Resilienz und der Sensibilisierung unterstützen und beraten, auch im Kontext der Global Gateway.</w:t>
              </w:r>
            </w:p>
            <w:p w14:paraId="1C789DB1" w14:textId="77777777" w:rsidR="00EB54A5" w:rsidRPr="00EB54A5" w:rsidRDefault="00EB54A5" w:rsidP="00EB54A5">
              <w:pPr>
                <w:rPr>
                  <w:lang w:val="nl-BE" w:eastAsia="en-GB"/>
                </w:rPr>
              </w:pPr>
              <w:r w:rsidRPr="00EB54A5">
                <w:rPr>
                  <w:lang w:val="nl-BE" w:eastAsia="en-GB"/>
                </w:rPr>
                <w:t>- Globale Trends in den Bereichen Cyberbedrohungen, ausländische Einmischung, Informationsmanipulation, Cyberangriffe oder Missbrauch von KI überwachen und analysieren.</w:t>
              </w:r>
            </w:p>
            <w:p w14:paraId="5A4652CF" w14:textId="77777777" w:rsidR="00EB54A5" w:rsidRPr="00EB54A5" w:rsidRDefault="00EB54A5" w:rsidP="00EB54A5">
              <w:pPr>
                <w:rPr>
                  <w:lang w:val="nl-BE" w:eastAsia="en-GB"/>
                </w:rPr>
              </w:pPr>
              <w:r w:rsidRPr="00EB54A5">
                <w:rPr>
                  <w:lang w:val="nl-BE" w:eastAsia="en-GB"/>
                </w:rPr>
                <w:t>- Zur Entwicklung der EU-Politik zur Bekämpfung hybrider Bedrohungen in enger Zusammenarbeit mit dem EAD und den Kommissionsdiensten beitragen und relevante Lehren für Partnerländer ziehen.</w:t>
              </w:r>
            </w:p>
            <w:p w14:paraId="56E3C24A" w14:textId="77777777" w:rsidR="00EB54A5" w:rsidRPr="00EB54A5" w:rsidRDefault="00EB54A5" w:rsidP="00EB54A5">
              <w:pPr>
                <w:rPr>
                  <w:lang w:val="nl-BE" w:eastAsia="en-GB"/>
                </w:rPr>
              </w:pPr>
              <w:r w:rsidRPr="00EB54A5">
                <w:rPr>
                  <w:lang w:val="nl-BE" w:eastAsia="en-GB"/>
                </w:rPr>
                <w:t>- Mit internationalen Partnern (einschließlich des Europäischen Exzellenzzentrums zur Bekämpfung hybrider Bedrohungen) zusammenarbeiten, um bewährte Verfahren auszutauschen und gemeinsame Initiativen zu entwickeln.</w:t>
              </w:r>
            </w:p>
            <w:p w14:paraId="7AA16AB8" w14:textId="77777777" w:rsidR="00EB54A5" w:rsidRPr="00EB54A5" w:rsidRDefault="00EB54A5" w:rsidP="00EB54A5">
              <w:pPr>
                <w:rPr>
                  <w:lang w:val="nl-BE" w:eastAsia="en-GB"/>
                </w:rPr>
              </w:pPr>
              <w:r w:rsidRPr="00EB54A5">
                <w:rPr>
                  <w:lang w:val="nl-BE" w:eastAsia="en-GB"/>
                </w:rPr>
                <w:t>- Beziehungen zu wichtigen Interessengruppen aufbauen und pflegen, darunter EU-Institutionen, Mitgliedstaaten, internationale Organisationen, akademisches Personal, Denkfabriken und die Zivilgesellschaft.</w:t>
              </w:r>
            </w:p>
            <w:p w14:paraId="12B9C59B" w14:textId="2D2FD108" w:rsidR="00803007" w:rsidRPr="00EB54A5" w:rsidRDefault="00EB54A5" w:rsidP="00803007">
              <w:pPr>
                <w:rPr>
                  <w:lang w:val="nl-BE" w:eastAsia="en-GB"/>
                </w:rPr>
              </w:pPr>
              <w:r w:rsidRPr="00EB54A5">
                <w:rPr>
                  <w:lang w:val="nl-BE" w:eastAsia="en-GB"/>
                </w:rPr>
                <w:t>- Teilnehmen in internationalen Foren und Arbeitsgruppen zu hybriden Bedrohungen</w:t>
              </w:r>
              <w:r>
                <w:rPr>
                  <w:lang w:val="nl-BE" w:eastAsia="en-GB"/>
                </w:rPr>
                <w:t>.</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eastAsia="en-GB"/>
            </w:rPr>
            <w:id w:val="1399946446"/>
            <w:placeholder>
              <w:docPart w:val="3AF6EEF7902A481C859C55B8944F9AE3"/>
            </w:placeholder>
          </w:sdtPr>
          <w:sdtEndPr/>
          <w:sdtContent>
            <w:p w14:paraId="28F26034" w14:textId="77777777" w:rsidR="00EB54A5" w:rsidRPr="00EB54A5" w:rsidRDefault="00EB54A5" w:rsidP="00EB54A5">
              <w:pPr>
                <w:rPr>
                  <w:lang w:eastAsia="en-GB"/>
                </w:rPr>
              </w:pPr>
              <w:r w:rsidRPr="00EB54A5">
                <w:rPr>
                  <w:lang w:eastAsia="en-GB"/>
                </w:rPr>
                <w:t>Profil des Stelleninhabers (Was wir suchen) Der/die Kandidat/in sollte einen Masterabschluss in Internationalen Beziehungen, Sicherheitsstudien, Cybersicherheit oder einem verwandten Fachgebiet besitzen.</w:t>
              </w:r>
            </w:p>
            <w:p w14:paraId="756180AE" w14:textId="77777777" w:rsidR="00EB54A5" w:rsidRPr="00EB54A5" w:rsidRDefault="00EB54A5" w:rsidP="00EB54A5">
              <w:pPr>
                <w:rPr>
                  <w:lang w:eastAsia="en-GB"/>
                </w:rPr>
              </w:pPr>
              <w:r w:rsidRPr="00EB54A5">
                <w:rPr>
                  <w:lang w:eastAsia="en-GB"/>
                </w:rPr>
                <w:t>Mindestens 5 Jahre Erfahrung in der Überwachung und Bekämpfung hybrider Bedrohungen, mit Schwerpunkt auf Cyberbedrohungen, ausländischer Einmischung und Informationsmanipulation/Desinformation.</w:t>
              </w:r>
            </w:p>
            <w:p w14:paraId="38929297" w14:textId="77777777" w:rsidR="00EB54A5" w:rsidRPr="00EB54A5" w:rsidRDefault="00EB54A5" w:rsidP="00EB54A5">
              <w:pPr>
                <w:rPr>
                  <w:lang w:val="nl-BE" w:eastAsia="en-GB"/>
                </w:rPr>
              </w:pPr>
              <w:r w:rsidRPr="00EB54A5">
                <w:rPr>
                  <w:lang w:val="nl-BE" w:eastAsia="en-GB"/>
                </w:rPr>
                <w:t>Gutes Verständnis der EU-Politiken und -Rahmenwerke im Zusammenhang mit Sicherheit und hybriden Bedrohungen.</w:t>
              </w:r>
            </w:p>
            <w:p w14:paraId="6A0E7C9A" w14:textId="77777777" w:rsidR="00EB54A5" w:rsidRPr="00EB54A5" w:rsidRDefault="00EB54A5" w:rsidP="00EB54A5">
              <w:pPr>
                <w:rPr>
                  <w:lang w:val="nl-BE" w:eastAsia="en-GB"/>
                </w:rPr>
              </w:pPr>
              <w:r w:rsidRPr="00EB54A5">
                <w:rPr>
                  <w:lang w:val="nl-BE" w:eastAsia="en-GB"/>
                </w:rPr>
                <w:t>Nachgewiesene Erfahrung in der politischen Beratung und in Kapazitätsaufbau-Initiativen.</w:t>
              </w:r>
            </w:p>
            <w:p w14:paraId="48CF004E" w14:textId="77777777" w:rsidR="00EB54A5" w:rsidRPr="00EB54A5" w:rsidRDefault="00EB54A5" w:rsidP="00EB54A5">
              <w:pPr>
                <w:rPr>
                  <w:lang w:val="nl-BE" w:eastAsia="en-GB"/>
                </w:rPr>
              </w:pPr>
              <w:r w:rsidRPr="00EB54A5">
                <w:rPr>
                  <w:lang w:val="nl-BE" w:eastAsia="en-GB"/>
                </w:rPr>
                <w:t>Hervorragende analytische, kommunikative und zwischenmenschliche Fähigkeiten.</w:t>
              </w:r>
            </w:p>
            <w:p w14:paraId="484B7A71" w14:textId="77777777" w:rsidR="00EB54A5" w:rsidRPr="00EB54A5" w:rsidRDefault="00EB54A5" w:rsidP="00EB54A5">
              <w:pPr>
                <w:rPr>
                  <w:lang w:val="nl-BE" w:eastAsia="en-GB"/>
                </w:rPr>
              </w:pPr>
              <w:r w:rsidRPr="00EB54A5">
                <w:rPr>
                  <w:lang w:val="nl-BE" w:eastAsia="en-GB"/>
                </w:rPr>
                <w:t>Fähigkeit, in einem schnelllebigen, dynamischen Umfeld zu arbeiten und mehrere Prioritäten zu managen.</w:t>
              </w:r>
            </w:p>
            <w:p w14:paraId="12A50D2E" w14:textId="77777777" w:rsidR="00EB54A5" w:rsidRPr="00EB54A5" w:rsidRDefault="00EB54A5" w:rsidP="00EB54A5">
              <w:pPr>
                <w:rPr>
                  <w:lang w:val="nl-BE" w:eastAsia="en-GB"/>
                </w:rPr>
              </w:pPr>
            </w:p>
            <w:p w14:paraId="60F7662A" w14:textId="77777777" w:rsidR="00EB54A5" w:rsidRPr="00EB54A5" w:rsidRDefault="00EB54A5" w:rsidP="00EB54A5">
              <w:pPr>
                <w:rPr>
                  <w:lang w:val="nl-BE" w:eastAsia="en-GB"/>
                </w:rPr>
              </w:pPr>
              <w:r w:rsidRPr="00EB54A5">
                <w:rPr>
                  <w:lang w:val="nl-BE" w:eastAsia="en-GB"/>
                </w:rPr>
                <w:lastRenderedPageBreak/>
                <w:t>Bevorzugte Fähigkeiten:</w:t>
              </w:r>
            </w:p>
            <w:p w14:paraId="2EC78CF3" w14:textId="77777777" w:rsidR="00EB54A5" w:rsidRPr="00EB54A5" w:rsidRDefault="00EB54A5" w:rsidP="00EB54A5">
              <w:pPr>
                <w:rPr>
                  <w:lang w:val="nl-BE" w:eastAsia="en-GB"/>
                </w:rPr>
              </w:pPr>
              <w:r w:rsidRPr="00EB54A5">
                <w:rPr>
                  <w:lang w:val="nl-BE" w:eastAsia="en-GB"/>
                </w:rPr>
                <w:t>Erfahrung in der Zusammenarbeit mit EU-Delegationen oder internationalen Organisationen.</w:t>
              </w:r>
            </w:p>
            <w:p w14:paraId="38770A50" w14:textId="77777777" w:rsidR="00EB54A5" w:rsidRPr="00EB54A5" w:rsidRDefault="00EB54A5" w:rsidP="00EB54A5">
              <w:pPr>
                <w:rPr>
                  <w:lang w:val="nl-BE" w:eastAsia="en-GB"/>
                </w:rPr>
              </w:pPr>
              <w:r w:rsidRPr="00EB54A5">
                <w:rPr>
                  <w:lang w:val="nl-BE" w:eastAsia="en-GB"/>
                </w:rPr>
                <w:t>Kenntnisse in künstlicher Intelligenz und deren potenziellen Missbrauch in hybriden Bedrohungen.</w:t>
              </w:r>
            </w:p>
            <w:p w14:paraId="49D37634" w14:textId="77777777" w:rsidR="00EB54A5" w:rsidRPr="00EB54A5" w:rsidRDefault="00EB54A5" w:rsidP="00EB54A5">
              <w:pPr>
                <w:rPr>
                  <w:lang w:val="nl-BE" w:eastAsia="en-GB"/>
                </w:rPr>
              </w:pPr>
              <w:r w:rsidRPr="00EB54A5">
                <w:rPr>
                  <w:lang w:val="nl-BE" w:eastAsia="en-GB"/>
                </w:rPr>
                <w:t>Ausgeprägte analytische Fähigkeiten werden vorausgesetzt.</w:t>
              </w:r>
            </w:p>
            <w:p w14:paraId="506A8C3F" w14:textId="77777777" w:rsidR="00EB54A5" w:rsidRPr="00EB54A5" w:rsidRDefault="00EB54A5" w:rsidP="00EB54A5">
              <w:pPr>
                <w:rPr>
                  <w:lang w:val="nl-BE" w:eastAsia="en-GB"/>
                </w:rPr>
              </w:pPr>
              <w:r w:rsidRPr="00EB54A5">
                <w:rPr>
                  <w:lang w:val="nl-BE" w:eastAsia="en-GB"/>
                </w:rPr>
                <w:t>Verhandlungssichere Kenntnisse in EN/FR.</w:t>
              </w:r>
            </w:p>
            <w:p w14:paraId="2293212F" w14:textId="77777777" w:rsidR="00EB54A5" w:rsidRPr="00EB54A5" w:rsidRDefault="00EB54A5" w:rsidP="00EB54A5">
              <w:pPr>
                <w:rPr>
                  <w:lang w:val="nl-BE" w:eastAsia="en-GB"/>
                </w:rPr>
              </w:pPr>
              <w:r w:rsidRPr="00EB54A5">
                <w:rPr>
                  <w:lang w:val="nl-BE" w:eastAsia="en-GB"/>
                </w:rPr>
                <w:t>Erfahrungen im Außendienst werden als großer Vorteil angesehen.</w:t>
              </w:r>
            </w:p>
            <w:p w14:paraId="016CC8D1" w14:textId="77777777" w:rsidR="00EB54A5" w:rsidRPr="00EB54A5" w:rsidRDefault="00EB54A5" w:rsidP="00EB54A5">
              <w:pPr>
                <w:rPr>
                  <w:lang w:val="en-US" w:eastAsia="en-GB"/>
                </w:rPr>
              </w:pPr>
              <w:r w:rsidRPr="00EB54A5">
                <w:rPr>
                  <w:lang w:val="en-US" w:eastAsia="en-GB"/>
                </w:rPr>
                <w:t>Eine Sicherheitsüberprüfung ist erforderlich.</w:t>
              </w:r>
            </w:p>
            <w:p w14:paraId="4560AB01" w14:textId="77777777" w:rsidR="00EB54A5" w:rsidRPr="00EB54A5" w:rsidRDefault="00B826B6" w:rsidP="00EB54A5">
              <w:pPr>
                <w:rPr>
                  <w:lang w:eastAsia="en-GB"/>
                </w:rPr>
              </w:pPr>
            </w:p>
          </w:sdtContent>
        </w:sdt>
        <w:p w14:paraId="2A0F153A" w14:textId="288D1E3B" w:rsidR="009321C6" w:rsidRPr="009F216F" w:rsidRDefault="00B826B6"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826B6"/>
    <w:rsid w:val="00BF6139"/>
    <w:rsid w:val="00C07259"/>
    <w:rsid w:val="00C27C81"/>
    <w:rsid w:val="00CD33B4"/>
    <w:rsid w:val="00D605F4"/>
    <w:rsid w:val="00DA711C"/>
    <w:rsid w:val="00E01792"/>
    <w:rsid w:val="00E35460"/>
    <w:rsid w:val="00EB3060"/>
    <w:rsid w:val="00EB54A5"/>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PlainText">
    <w:name w:val="Plain Text"/>
    <w:basedOn w:val="Normal"/>
    <w:link w:val="PlainTextChar"/>
    <w:semiHidden/>
    <w:locked/>
    <w:rsid w:val="00EB54A5"/>
    <w:pPr>
      <w:spacing w:after="0"/>
    </w:pPr>
    <w:rPr>
      <w:rFonts w:ascii="Consolas" w:hAnsi="Consolas"/>
      <w:sz w:val="21"/>
      <w:szCs w:val="21"/>
    </w:rPr>
  </w:style>
  <w:style w:type="character" w:customStyle="1" w:styleId="PlainTextChar">
    <w:name w:val="Plain Text Char"/>
    <w:basedOn w:val="DefaultParagraphFont"/>
    <w:link w:val="PlainText"/>
    <w:semiHidden/>
    <w:rsid w:val="00EB54A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662F224CDE04F79B2084691AA0FB82D"/>
        <w:category>
          <w:name w:val="General"/>
          <w:gallery w:val="placeholder"/>
        </w:category>
        <w:types>
          <w:type w:val="bbPlcHdr"/>
        </w:types>
        <w:behaviors>
          <w:behavior w:val="content"/>
        </w:behaviors>
        <w:guid w:val="{51C7F36E-CC9F-4DE4-BF85-64CB94FB7C2C}"/>
      </w:docPartPr>
      <w:docPartBody>
        <w:p w:rsidR="00A24842" w:rsidRDefault="00A24842" w:rsidP="00A24842">
          <w:pPr>
            <w:pStyle w:val="7662F224CDE04F79B2084691AA0FB82D"/>
          </w:pPr>
          <w:r w:rsidRPr="00803007">
            <w:rPr>
              <w:rStyle w:val="PlaceholderText"/>
            </w:rPr>
            <w:t>Click or tap here to enter text.</w:t>
          </w:r>
        </w:p>
      </w:docPartBody>
    </w:docPart>
    <w:docPart>
      <w:docPartPr>
        <w:name w:val="EE2357EE778749A2A7F25986369D311D"/>
        <w:category>
          <w:name w:val="General"/>
          <w:gallery w:val="placeholder"/>
        </w:category>
        <w:types>
          <w:type w:val="bbPlcHdr"/>
        </w:types>
        <w:behaviors>
          <w:behavior w:val="content"/>
        </w:behaviors>
        <w:guid w:val="{05C5835A-2AF5-453A-94F3-37238E997E76}"/>
      </w:docPartPr>
      <w:docPartBody>
        <w:p w:rsidR="00A24842" w:rsidRDefault="00A24842" w:rsidP="00A24842">
          <w:pPr>
            <w:pStyle w:val="EE2357EE778749A2A7F25986369D311D"/>
          </w:pPr>
          <w:r w:rsidRPr="00BD2312">
            <w:rPr>
              <w:rStyle w:val="PlaceholderText"/>
            </w:rPr>
            <w:t>Click or tap here to enter text.</w:t>
          </w:r>
        </w:p>
      </w:docPartBody>
    </w:docPart>
    <w:docPart>
      <w:docPartPr>
        <w:name w:val="3AF6EEF7902A481C859C55B8944F9AE3"/>
        <w:category>
          <w:name w:val="General"/>
          <w:gallery w:val="placeholder"/>
        </w:category>
        <w:types>
          <w:type w:val="bbPlcHdr"/>
        </w:types>
        <w:behaviors>
          <w:behavior w:val="content"/>
        </w:behaviors>
        <w:guid w:val="{FD046D1F-7B93-4173-9D4E-83D879C69251}"/>
      </w:docPartPr>
      <w:docPartBody>
        <w:p w:rsidR="00A24842" w:rsidRDefault="00A24842" w:rsidP="00A24842">
          <w:pPr>
            <w:pStyle w:val="3AF6EEF7902A481C859C55B8944F9AE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24842"/>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4842"/>
    <w:rPr>
      <w:color w:val="288061"/>
    </w:rPr>
  </w:style>
  <w:style w:type="paragraph" w:customStyle="1" w:styleId="3F8B7399541147C1B1E84701FCECAED2">
    <w:name w:val="3F8B7399541147C1B1E84701FCECAED2"/>
    <w:rsid w:val="00A71FAD"/>
  </w:style>
  <w:style w:type="paragraph" w:customStyle="1" w:styleId="7662F224CDE04F79B2084691AA0FB82D">
    <w:name w:val="7662F224CDE04F79B2084691AA0FB82D"/>
    <w:rsid w:val="00A24842"/>
    <w:rPr>
      <w:kern w:val="2"/>
      <w14:ligatures w14:val="standardContextual"/>
    </w:rPr>
  </w:style>
  <w:style w:type="paragraph" w:customStyle="1" w:styleId="EE2357EE778749A2A7F25986369D311D">
    <w:name w:val="EE2357EE778749A2A7F25986369D311D"/>
    <w:rsid w:val="00A24842"/>
    <w:rPr>
      <w:kern w:val="2"/>
      <w14:ligatures w14:val="standardContextual"/>
    </w:rPr>
  </w:style>
  <w:style w:type="paragraph" w:customStyle="1" w:styleId="3AF6EEF7902A481C859C55B8944F9AE3">
    <w:name w:val="3AF6EEF7902A481C859C55B8944F9AE3"/>
    <w:rsid w:val="00A24842"/>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1613</Words>
  <Characters>9197</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2024-10-11T16:29:00Z</dcterms:created>
  <dcterms:modified xsi:type="dcterms:W3CDTF">2024-10-11T16:29:00Z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