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0009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0009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0009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0009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0009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0009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B4DB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DBAD63C" w:rsidR="00546DB1" w:rsidRPr="00546DB1" w:rsidRDefault="00C16C5F" w:rsidP="00AB56F9">
                <w:pPr>
                  <w:tabs>
                    <w:tab w:val="left" w:pos="426"/>
                  </w:tabs>
                  <w:spacing w:before="120"/>
                  <w:rPr>
                    <w:bCs/>
                    <w:lang w:val="en-IE" w:eastAsia="en-GB"/>
                  </w:rPr>
                </w:pPr>
                <w:r>
                  <w:rPr>
                    <w:bCs/>
                    <w:lang w:eastAsia="en-GB"/>
                  </w:rPr>
                  <w:t>HERA.3, Medizinische Gegenmassnahmen</w:t>
                </w:r>
              </w:p>
            </w:tc>
          </w:sdtContent>
        </w:sdt>
      </w:tr>
      <w:tr w:rsidR="00546DB1" w:rsidRPr="00AB4DB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9AB8099" w:rsidR="00546DB1" w:rsidRPr="003B2E38" w:rsidRDefault="00C16C5F" w:rsidP="00AB56F9">
                <w:pPr>
                  <w:tabs>
                    <w:tab w:val="left" w:pos="426"/>
                  </w:tabs>
                  <w:spacing w:before="120"/>
                  <w:rPr>
                    <w:bCs/>
                    <w:lang w:val="en-IE" w:eastAsia="en-GB"/>
                  </w:rPr>
                </w:pPr>
                <w:r>
                  <w:rPr>
                    <w:bCs/>
                    <w:lang w:eastAsia="en-GB"/>
                  </w:rPr>
                  <w:t>400503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FEA391A" w:rsidR="00546DB1" w:rsidRPr="00C16C5F" w:rsidRDefault="00C16C5F" w:rsidP="00AB56F9">
                <w:pPr>
                  <w:tabs>
                    <w:tab w:val="left" w:pos="426"/>
                  </w:tabs>
                  <w:spacing w:before="120"/>
                  <w:rPr>
                    <w:bCs/>
                    <w:lang w:eastAsia="en-GB"/>
                  </w:rPr>
                </w:pPr>
                <w:r>
                  <w:rPr>
                    <w:bCs/>
                    <w:lang w:eastAsia="en-GB"/>
                  </w:rPr>
                  <w:t>Olivier GIRARD</w:t>
                </w:r>
              </w:p>
            </w:sdtContent>
          </w:sdt>
          <w:p w14:paraId="227D6F6E" w14:textId="059A1742" w:rsidR="00546DB1" w:rsidRPr="009F216F" w:rsidRDefault="0080009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16C5F">
                  <w:rPr>
                    <w:bCs/>
                    <w:lang w:eastAsia="en-GB"/>
                  </w:rPr>
                  <w:t xml:space="preserve">1. </w:t>
                </w:r>
              </w:sdtContent>
            </w:sdt>
            <w:r w:rsidR="00546DB1" w:rsidRPr="009F216F">
              <w:rPr>
                <w:bCs/>
                <w:lang w:eastAsia="en-GB"/>
              </w:rPr>
              <w:t>Quartal</w:t>
            </w:r>
            <w:r w:rsidR="00C16C5F">
              <w:rPr>
                <w:bCs/>
                <w:lang w:eastAsia="en-GB"/>
              </w:rPr>
              <w:t xml:space="preserve"> 2025                       </w:t>
            </w:r>
            <w:r w:rsidR="00546DB1" w:rsidRPr="009F216F">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showingPlcHdr/>
                    <w:dropDownList>
                      <w:listItem w:value="Choose an item."/>
                      <w:listItem w:displayText="2023" w:value="2023"/>
                      <w:listItem w:displayText="2024" w:value="2024"/>
                    </w:dropDownList>
                  </w:sdtPr>
                  <w:sdtEndPr/>
                  <w:sdtContent>
                    <w:r w:rsidR="009B156E">
                      <w:rPr>
                        <w:bCs/>
                        <w:lang w:eastAsia="en-GB"/>
                      </w:rPr>
                      <w:t xml:space="preserve">    </w:t>
                    </w:r>
                  </w:sdtContent>
                </w:sdt>
              </w:sdtContent>
            </w:sdt>
          </w:p>
          <w:p w14:paraId="4128A55A" w14:textId="346C7934" w:rsidR="00546DB1" w:rsidRPr="00546DB1" w:rsidRDefault="0080009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16C5F">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16C5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75F263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7BD975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0009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0009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0009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353C2F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F58646C"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B156E" w:rsidRDefault="00803007" w:rsidP="007C07D8">
      <w:pPr>
        <w:pStyle w:val="ListNumber"/>
        <w:numPr>
          <w:ilvl w:val="0"/>
          <w:numId w:val="0"/>
        </w:numPr>
        <w:ind w:left="709" w:hanging="709"/>
        <w:rPr>
          <w:lang w:eastAsia="en-GB"/>
        </w:rPr>
      </w:pPr>
      <w:r w:rsidRPr="009B156E">
        <w:rPr>
          <w:b/>
          <w:bCs/>
          <w:lang w:eastAsia="en-GB"/>
        </w:rPr>
        <w:t>Wer wi</w:t>
      </w:r>
      <w:r w:rsidR="002F7504" w:rsidRPr="009B156E">
        <w:rPr>
          <w:b/>
          <w:bCs/>
          <w:lang w:eastAsia="en-GB"/>
        </w:rPr>
        <w:t>r</w:t>
      </w:r>
      <w:r w:rsidRPr="009B156E">
        <w:rPr>
          <w:b/>
          <w:bCs/>
          <w:lang w:eastAsia="en-GB"/>
        </w:rPr>
        <w:t xml:space="preserve"> sind</w:t>
      </w:r>
    </w:p>
    <w:sdt>
      <w:sdtPr>
        <w:rPr>
          <w:lang w:val="en-US" w:eastAsia="en-GB"/>
        </w:rPr>
        <w:id w:val="1822233941"/>
        <w:placeholder>
          <w:docPart w:val="FE6C9874556B47B1A65A432926DB0BCE"/>
        </w:placeholder>
      </w:sdtPr>
      <w:sdtEndPr/>
      <w:sdtContent>
        <w:p w14:paraId="18263296" w14:textId="28A2F991" w:rsidR="00C16C5F" w:rsidRPr="00912CE5" w:rsidRDefault="00C16C5F" w:rsidP="00C16C5F">
          <w:pPr>
            <w:rPr>
              <w:lang w:eastAsia="en-GB"/>
            </w:rPr>
          </w:pPr>
          <w:r w:rsidRPr="00912CE5">
            <w:rPr>
              <w:lang w:eastAsia="en-GB"/>
            </w:rPr>
            <w:t xml:space="preserve">Die Behörde für die Krisenvorsorge und -reaktion bei gesundheitlichen Notlagen (HERA) ist eine </w:t>
          </w:r>
          <w:r w:rsidR="00A84133">
            <w:rPr>
              <w:lang w:eastAsia="en-GB"/>
            </w:rPr>
            <w:t>Dienststelle</w:t>
          </w:r>
          <w:r w:rsidRPr="00912CE5">
            <w:rPr>
              <w:lang w:eastAsia="en-GB"/>
            </w:rPr>
            <w:t xml:space="preserve"> der Europäischen Kommission</w:t>
          </w:r>
          <w:r w:rsidR="00A84133">
            <w:rPr>
              <w:lang w:eastAsia="en-GB"/>
            </w:rPr>
            <w:t xml:space="preserve"> mit der </w:t>
          </w:r>
          <w:r w:rsidRPr="00912CE5">
            <w:rPr>
              <w:lang w:eastAsia="en-GB"/>
            </w:rPr>
            <w:t>Aufgabe</w:t>
          </w:r>
          <w:r w:rsidR="00A84133">
            <w:rPr>
              <w:lang w:eastAsia="en-GB"/>
            </w:rPr>
            <w:t xml:space="preserve">, die Vorsorge </w:t>
          </w:r>
          <w:r w:rsidRPr="00912CE5">
            <w:rPr>
              <w:lang w:eastAsia="en-GB"/>
            </w:rPr>
            <w:t>und Reaktion auf schwerwiegende grenzüberschreitende Bedrohungen im Bereich der medizinischen Gegenmaßnahmen zu unterstützen, insbesondere</w:t>
          </w:r>
          <w:r w:rsidR="00A84133">
            <w:rPr>
              <w:lang w:eastAsia="en-GB"/>
            </w:rPr>
            <w:t xml:space="preserve"> durch</w:t>
          </w:r>
          <w:r w:rsidRPr="00912CE5">
            <w:rPr>
              <w:lang w:eastAsia="en-GB"/>
            </w:rPr>
            <w:t xml:space="preserve">: </w:t>
          </w:r>
        </w:p>
        <w:p w14:paraId="0C6F5E91" w14:textId="041C4410" w:rsidR="00C16C5F" w:rsidRDefault="00C16C5F" w:rsidP="00A84133">
          <w:pPr>
            <w:pStyle w:val="ListParagraph"/>
            <w:numPr>
              <w:ilvl w:val="0"/>
              <w:numId w:val="30"/>
            </w:numPr>
            <w:rPr>
              <w:lang w:eastAsia="en-GB"/>
            </w:rPr>
          </w:pPr>
          <w:r w:rsidRPr="00912CE5">
            <w:rPr>
              <w:lang w:eastAsia="en-GB"/>
            </w:rPr>
            <w:lastRenderedPageBreak/>
            <w:t xml:space="preserve">Stärkung der Koordinierung der Gesundheitssicherheit innerhalb der Union zu Vorsorge- und Krisenzeiten und </w:t>
          </w:r>
          <w:r w:rsidR="00A84133">
            <w:rPr>
              <w:lang w:eastAsia="en-GB"/>
            </w:rPr>
            <w:t xml:space="preserve">Zusammenbringen der </w:t>
          </w:r>
          <w:r w:rsidRPr="00912CE5">
            <w:rPr>
              <w:lang w:eastAsia="en-GB"/>
            </w:rPr>
            <w:t>Mitgliedstaaten, der Industrie und der einschlägigen Interessenträger</w:t>
          </w:r>
          <w:r w:rsidR="00A84133">
            <w:rPr>
              <w:lang w:eastAsia="en-GB"/>
            </w:rPr>
            <w:t xml:space="preserve"> in einer gemeinsamen Anstrengung;</w:t>
          </w:r>
        </w:p>
        <w:p w14:paraId="6E64C1EB" w14:textId="77777777" w:rsidR="00A84133" w:rsidRPr="00912CE5" w:rsidRDefault="00A84133" w:rsidP="00A84133">
          <w:pPr>
            <w:pStyle w:val="ListParagraph"/>
            <w:rPr>
              <w:lang w:eastAsia="en-GB"/>
            </w:rPr>
          </w:pPr>
        </w:p>
        <w:p w14:paraId="2FFD53AE" w14:textId="77777777" w:rsidR="00A84133" w:rsidRDefault="00A84133" w:rsidP="00C16C5F">
          <w:pPr>
            <w:pStyle w:val="ListParagraph"/>
            <w:numPr>
              <w:ilvl w:val="0"/>
              <w:numId w:val="30"/>
            </w:numPr>
            <w:rPr>
              <w:lang w:eastAsia="en-GB"/>
            </w:rPr>
          </w:pPr>
          <w:r>
            <w:rPr>
              <w:lang w:eastAsia="en-GB"/>
            </w:rPr>
            <w:t>Angehen</w:t>
          </w:r>
          <w:r w:rsidR="00C16C5F" w:rsidRPr="00912CE5">
            <w:rPr>
              <w:lang w:eastAsia="en-GB"/>
            </w:rPr>
            <w:t xml:space="preserve"> von Schwachstellen und strategischen Abhängigkeiten innerhalb der Union im Zusammenhang mit der Entwicklung, Herstellung, Beschaffung, </w:t>
          </w:r>
          <w:r>
            <w:rPr>
              <w:lang w:eastAsia="en-GB"/>
            </w:rPr>
            <w:t>Bevorratung</w:t>
          </w:r>
          <w:r w:rsidR="00C16C5F" w:rsidRPr="00912CE5">
            <w:rPr>
              <w:lang w:eastAsia="en-GB"/>
            </w:rPr>
            <w:t xml:space="preserve"> und Verteilung medizinischer Gegenmaßnahmen</w:t>
          </w:r>
          <w:r>
            <w:rPr>
              <w:lang w:eastAsia="en-GB"/>
            </w:rPr>
            <w:t>;</w:t>
          </w:r>
        </w:p>
        <w:p w14:paraId="248007EA" w14:textId="77777777" w:rsidR="00A84133" w:rsidRDefault="00A84133" w:rsidP="00A84133">
          <w:pPr>
            <w:pStyle w:val="ListParagraph"/>
            <w:rPr>
              <w:lang w:eastAsia="en-GB"/>
            </w:rPr>
          </w:pPr>
        </w:p>
        <w:p w14:paraId="2F6F1CF9" w14:textId="55B63C9F" w:rsidR="00C16C5F" w:rsidRDefault="00C16C5F" w:rsidP="00C16C5F">
          <w:pPr>
            <w:pStyle w:val="ListParagraph"/>
            <w:numPr>
              <w:ilvl w:val="0"/>
              <w:numId w:val="30"/>
            </w:numPr>
            <w:rPr>
              <w:lang w:eastAsia="en-GB"/>
            </w:rPr>
          </w:pPr>
          <w:r w:rsidRPr="00912CE5">
            <w:rPr>
              <w:lang w:eastAsia="en-GB"/>
            </w:rPr>
            <w:t xml:space="preserve">Beitrag zur Stärkung der globalen Architektur für die </w:t>
          </w:r>
          <w:r w:rsidR="008154BB">
            <w:rPr>
              <w:lang w:eastAsia="en-GB"/>
            </w:rPr>
            <w:t xml:space="preserve">Vorsorge und </w:t>
          </w:r>
          <w:r w:rsidRPr="00912CE5">
            <w:rPr>
              <w:lang w:eastAsia="en-GB"/>
            </w:rPr>
            <w:t xml:space="preserve">Reaktion auf gesundheitliche Notlagen. </w:t>
          </w:r>
        </w:p>
        <w:p w14:paraId="76DD1EEA" w14:textId="6428D078" w:rsidR="00803007" w:rsidRPr="008154BB" w:rsidRDefault="00C16C5F" w:rsidP="00803007">
          <w:pPr>
            <w:rPr>
              <w:lang w:eastAsia="en-GB"/>
            </w:rPr>
          </w:pPr>
          <w:r w:rsidRPr="00C16C5F">
            <w:rPr>
              <w:lang w:eastAsia="en-GB"/>
            </w:rPr>
            <w:t xml:space="preserve">Das Referat 03 ist für die Organisation gemeinsamer </w:t>
          </w:r>
          <w:r w:rsidR="008154BB">
            <w:rPr>
              <w:lang w:eastAsia="en-GB"/>
            </w:rPr>
            <w:t>Beschaffungs</w:t>
          </w:r>
          <w:r w:rsidRPr="00C16C5F">
            <w:rPr>
              <w:lang w:eastAsia="en-GB"/>
            </w:rPr>
            <w:t>verfahren im Rahmen der Vereinbarung über die gemeinsame Beschaffung zuständig. Die Kommission kauft gemeinsam mit den Mitgliedstaaten und anderen interessierten Ländern, die sich an dem Abkommen beteiligen, medizinische Gegenmaßnahmen für die Zwecke der Vorsorge gegen schwerwiegende grenzüberschreitende Gesundheitsgefahren. Diese Tätigkeit unterliegt einem sehr großen Interesse der Mitgliedstaaten und wird i</w:t>
          </w:r>
          <w:r w:rsidR="008154BB">
            <w:rPr>
              <w:lang w:eastAsia="en-GB"/>
            </w:rPr>
            <w:t xml:space="preserve">nnerhalb der </w:t>
          </w:r>
          <w:r w:rsidRPr="00C16C5F">
            <w:rPr>
              <w:lang w:eastAsia="en-GB"/>
            </w:rPr>
            <w:t>HERA ausgeweitet.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7D0323C" w14:textId="379EDE5D" w:rsidR="00C16C5F" w:rsidRPr="00C16C5F" w:rsidRDefault="00C16C5F" w:rsidP="00C16C5F">
          <w:pPr>
            <w:rPr>
              <w:lang w:eastAsia="en-GB"/>
            </w:rPr>
          </w:pPr>
          <w:r w:rsidRPr="00C16C5F">
            <w:rPr>
              <w:lang w:eastAsia="en-GB"/>
            </w:rPr>
            <w:t xml:space="preserve">Von dem nationalen Sachverständigen wird erwartet, dass er </w:t>
          </w:r>
          <w:r w:rsidR="00EC0B77">
            <w:rPr>
              <w:lang w:eastAsia="en-GB"/>
            </w:rPr>
            <w:t>innerhalb des</w:t>
          </w:r>
          <w:r w:rsidRPr="00C16C5F">
            <w:rPr>
              <w:lang w:eastAsia="en-GB"/>
            </w:rPr>
            <w:t xml:space="preserve"> </w:t>
          </w:r>
          <w:r w:rsidR="00EC0B77">
            <w:rPr>
              <w:lang w:eastAsia="en-GB"/>
            </w:rPr>
            <w:t xml:space="preserve">Referats im </w:t>
          </w:r>
          <w:r w:rsidRPr="00C16C5F">
            <w:rPr>
              <w:lang w:eastAsia="en-GB"/>
            </w:rPr>
            <w:t>Team</w:t>
          </w:r>
          <w:r w:rsidR="00EC0B77" w:rsidRPr="00C16C5F">
            <w:rPr>
              <w:lang w:eastAsia="en-GB"/>
            </w:rPr>
            <w:t xml:space="preserve"> </w:t>
          </w:r>
          <w:r w:rsidRPr="00C16C5F">
            <w:rPr>
              <w:lang w:eastAsia="en-GB"/>
            </w:rPr>
            <w:t xml:space="preserve">für die gemeinsame Beschaffung </w:t>
          </w:r>
          <w:r w:rsidR="00EC0B77">
            <w:rPr>
              <w:lang w:eastAsia="en-GB"/>
            </w:rPr>
            <w:t>tätig wird</w:t>
          </w:r>
          <w:r w:rsidRPr="00C16C5F">
            <w:rPr>
              <w:lang w:eastAsia="en-GB"/>
            </w:rPr>
            <w:t xml:space="preserve">, um die Kapazitäten der HERA für den Abschluss von Verträgen über gemeinsame Beschaffung zu erhöhen und von der Erfahrung des Experten im Bereich der damit verbundenen Beschaffungstätigkeiten zu profitieren. </w:t>
          </w:r>
        </w:p>
        <w:p w14:paraId="7923F558" w14:textId="77777777" w:rsidR="00C16C5F" w:rsidRPr="00C16C5F" w:rsidRDefault="00C16C5F" w:rsidP="00C16C5F">
          <w:pPr>
            <w:rPr>
              <w:lang w:eastAsia="en-GB"/>
            </w:rPr>
          </w:pPr>
          <w:r w:rsidRPr="00C16C5F">
            <w:rPr>
              <w:lang w:eastAsia="en-GB"/>
            </w:rPr>
            <w:t xml:space="preserve">Der nationale Sachverständige nimmt an folgenden Aufgaben teil: </w:t>
          </w:r>
        </w:p>
        <w:p w14:paraId="73883118" w14:textId="2AB2FB96" w:rsidR="00C16C5F" w:rsidRPr="00C16C5F" w:rsidRDefault="00C16C5F" w:rsidP="00C16C5F">
          <w:pPr>
            <w:rPr>
              <w:lang w:eastAsia="en-GB"/>
            </w:rPr>
          </w:pPr>
          <w:r w:rsidRPr="00C16C5F">
            <w:rPr>
              <w:lang w:eastAsia="en-GB"/>
            </w:rPr>
            <w:t xml:space="preserve">• Bereitstellung von Fachwissen und Unterstützung bei der Durchführung gemeinsamer </w:t>
          </w:r>
          <w:r w:rsidR="00EC0B77">
            <w:rPr>
              <w:lang w:eastAsia="en-GB"/>
            </w:rPr>
            <w:t>Beschaffungs</w:t>
          </w:r>
          <w:r w:rsidRPr="00C16C5F">
            <w:rPr>
              <w:lang w:eastAsia="en-GB"/>
            </w:rPr>
            <w:t>verfahren (Vorbereitung von Marktanalysen und wissenschaftlichen Analysen, Erstellung von Ausschreibungen, Bewertung der Angebote, Aushandlung von Vertragsbedingungen)</w:t>
          </w:r>
          <w:r w:rsidR="00EC0B77">
            <w:rPr>
              <w:lang w:eastAsia="en-GB"/>
            </w:rPr>
            <w:t>,</w:t>
          </w:r>
        </w:p>
        <w:p w14:paraId="4AD056EF" w14:textId="77777777" w:rsidR="00C16C5F" w:rsidRPr="00C16C5F" w:rsidRDefault="00C16C5F" w:rsidP="00C16C5F">
          <w:pPr>
            <w:rPr>
              <w:lang w:eastAsia="en-GB"/>
            </w:rPr>
          </w:pPr>
          <w:r w:rsidRPr="00C16C5F">
            <w:rPr>
              <w:lang w:eastAsia="en-GB"/>
            </w:rPr>
            <w:t>• Beitrag zur allgemeinen Verbesserung des Rahmens für die gemeinsame Beschaffung, z. B. auf der Grundlage von Erfahrungen mit nationalen und regionalen gemeinsamen Beschaffungstätigkeiten;</w:t>
          </w:r>
        </w:p>
        <w:p w14:paraId="35A3FA59" w14:textId="77777777" w:rsidR="00C16C5F" w:rsidRPr="00C16C5F" w:rsidRDefault="00C16C5F" w:rsidP="00C16C5F">
          <w:pPr>
            <w:rPr>
              <w:lang w:eastAsia="en-GB"/>
            </w:rPr>
          </w:pPr>
          <w:r w:rsidRPr="00C16C5F">
            <w:rPr>
              <w:lang w:eastAsia="en-GB"/>
            </w:rPr>
            <w:t xml:space="preserve">• Beitrag zu horizontalen Anfragen im Zusammenhang mit gemeinsamen Beschaffungstätigkeiten: Briefings, parlamentarische Anfragen, Presseanfragen, </w:t>
          </w:r>
        </w:p>
        <w:p w14:paraId="12B9C59B" w14:textId="6EC7F4E8" w:rsidR="00803007" w:rsidRDefault="00C16C5F" w:rsidP="00C16C5F">
          <w:pPr>
            <w:rPr>
              <w:lang w:eastAsia="en-GB"/>
            </w:rPr>
          </w:pPr>
          <w:r w:rsidRPr="00C16C5F">
            <w:rPr>
              <w:lang w:eastAsia="en-GB"/>
            </w:rPr>
            <w:t>• Unterstützung der Diskussionen in der HERA und in der Allianz für kritische Arzneimittel über die Relevanz der Auftragsvergabe auf nationaler und EU-Ebene zur Bewältigung von Engpässen bei kritischen Arzneimitteln.</w:t>
          </w:r>
        </w:p>
        <w:p w14:paraId="51604ED3" w14:textId="2F243DA0" w:rsidR="00610E3A" w:rsidRPr="00610E3A" w:rsidRDefault="00610E3A" w:rsidP="00610E3A">
          <w:pPr>
            <w:rPr>
              <w:lang w:eastAsia="en-GB"/>
            </w:rPr>
          </w:pPr>
          <w:r w:rsidRPr="00610E3A">
            <w:rPr>
              <w:lang w:eastAsia="en-GB"/>
            </w:rPr>
            <w:t xml:space="preserve">Diese Aufträge erfordern häufige Kontakte mit Vertretern der Mitgliedstaaten und anderer Länder, die sich an der Vereinbarung über die gemeinsame Beschaffung beteiligen (insbesondere Ministerien der Gesundheits- und Gesundheitsbeschaffungsbehörden) und Vertretern der pharmazeutischen Industrie (Inhaber von Genehmigungen für das </w:t>
          </w:r>
          <w:r w:rsidRPr="00610E3A">
            <w:rPr>
              <w:lang w:eastAsia="en-GB"/>
            </w:rPr>
            <w:lastRenderedPageBreak/>
            <w:t xml:space="preserve">Inverkehrbringen und Hersteller) im Rahmen des Abschlusses gemeinsamer Beschaffungsverträge. </w:t>
          </w:r>
        </w:p>
        <w:p w14:paraId="76BCC8F2" w14:textId="77777777" w:rsidR="00610E3A" w:rsidRPr="00610E3A" w:rsidRDefault="00610E3A" w:rsidP="00610E3A">
          <w:pPr>
            <w:rPr>
              <w:lang w:eastAsia="en-GB"/>
            </w:rPr>
          </w:pPr>
          <w:r w:rsidRPr="00610E3A">
            <w:rPr>
              <w:lang w:eastAsia="en-GB"/>
            </w:rPr>
            <w:t xml:space="preserve">Es gibt auch häufige Kontakte zu anderen Generaldirektionen der Europäischen Kommission (insbesondere SANTE, ECHO, BUDG, Juristischer Dienst), Handels- und anderen Berufsverbänden, die an der Entwicklung medizinischer Gegenmaßnahmen beteiligt sind, einschließlich der pharmazeutischen Industrie, sowie zu regionalen und EU-weiten Organisationen, die im Bereich der Arzneimittelbeschaffung tätig sind.  </w:t>
          </w:r>
        </w:p>
        <w:p w14:paraId="55B661A4" w14:textId="4375D304" w:rsidR="00C16C5F" w:rsidRPr="00610E3A" w:rsidRDefault="00610E3A" w:rsidP="00610E3A">
          <w:pPr>
            <w:rPr>
              <w:lang w:eastAsia="en-GB"/>
            </w:rPr>
          </w:pPr>
          <w:r w:rsidRPr="00610E3A">
            <w:rPr>
              <w:lang w:eastAsia="en-GB"/>
            </w:rPr>
            <w:t>Die Arbeit ist sehr sichtbar und für die grenzüberschreitende Reaktion und Vorsorge bei Gesundheitskrisen von wesentlicher Bedeutung.</w:t>
          </w:r>
        </w:p>
        <w:p w14:paraId="5F0F4A32" w14:textId="052D57AA" w:rsidR="00C16C5F" w:rsidRPr="00E32540" w:rsidRDefault="00800096" w:rsidP="00C16C5F">
          <w:pPr>
            <w:rPr>
              <w:lang w:val="en-US" w:eastAsia="en-GB"/>
            </w:rPr>
          </w:pPr>
        </w:p>
      </w:sdtContent>
    </w:sdt>
    <w:p w14:paraId="221E4883" w14:textId="77777777" w:rsidR="00803007" w:rsidRPr="00C16C5F" w:rsidRDefault="00803007" w:rsidP="00803007">
      <w:pPr>
        <w:pStyle w:val="ListNumber"/>
        <w:numPr>
          <w:ilvl w:val="0"/>
          <w:numId w:val="0"/>
        </w:numPr>
        <w:ind w:left="709" w:hanging="709"/>
        <w:rPr>
          <w:b/>
          <w:bCs/>
          <w:lang w:val="en-IE"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7F37205" w14:textId="45B767A3" w:rsidR="007800E1" w:rsidRPr="007800E1" w:rsidRDefault="007800E1" w:rsidP="007800E1">
          <w:pPr>
            <w:rPr>
              <w:lang w:eastAsia="en-GB"/>
            </w:rPr>
          </w:pPr>
          <w:r w:rsidRPr="007800E1">
            <w:rPr>
              <w:lang w:eastAsia="en-GB"/>
            </w:rPr>
            <w:t xml:space="preserve">Die Stelle erfordert einen Team-Player mit nachgewiesener Erfahrung in der nationalen und/oder regionalen Beschaffung von Arzneimitteln oder medizinischen Gegenmaßnahmen. </w:t>
          </w:r>
        </w:p>
        <w:p w14:paraId="616A15B6" w14:textId="77777777" w:rsidR="007800E1" w:rsidRPr="007800E1" w:rsidRDefault="007800E1" w:rsidP="007800E1">
          <w:pPr>
            <w:rPr>
              <w:lang w:eastAsia="en-GB"/>
            </w:rPr>
          </w:pPr>
          <w:r w:rsidRPr="007800E1">
            <w:rPr>
              <w:lang w:eastAsia="en-GB"/>
            </w:rPr>
            <w:t xml:space="preserve">Die Beteiligung an regionalen Kooperationen im Bereich der Arzneimittelbeschaffung wäre ein großer Vorteil.  </w:t>
          </w:r>
        </w:p>
        <w:p w14:paraId="2A0F153A" w14:textId="3DCFD689" w:rsidR="009321C6" w:rsidRPr="009F216F" w:rsidRDefault="007800E1" w:rsidP="007800E1">
          <w:pPr>
            <w:rPr>
              <w:lang w:eastAsia="en-GB"/>
            </w:rPr>
          </w:pPr>
          <w:r w:rsidRPr="007800E1">
            <w:rPr>
              <w:lang w:eastAsia="en-GB"/>
            </w:rPr>
            <w:t>Eine sehr starke Fähigkeit, in englischer Sprache in verständlicher und strukturierter Weise mündlich und schriftlich zu kommunizieren, ist für diese Stelle von wesentlicher Bedeutung.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6E66E1D7"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w:t>
      </w:r>
      <w:hyperlink r:id="rId24" w:history="1">
        <w:r w:rsidRPr="00F02746">
          <w:rPr>
            <w:rStyle w:val="Hyperlink"/>
          </w:rPr>
          <w:t>Entscheidung der Kommission (EU-Euratom) 2015/444, O.J. L 72, 17.03.2015</w:t>
        </w:r>
      </w:hyperlink>
      <w:r w:rsidRPr="00F02746">
        <w:t>, p.53)</w:t>
      </w:r>
      <w:r w:rsidRPr="00D605F4">
        <w:t xml:space="preserve">.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w:t>
      </w:r>
      <w:r w:rsidRPr="007800E1">
        <w:rPr>
          <w:b/>
          <w:bCs/>
          <w:lang w:eastAsia="en-GB"/>
        </w:rPr>
        <w:t xml:space="preserve">akzeptiert nur Bewerbungen, die über die Ständige Vertretung/Diplomatische Vertretung </w:t>
      </w:r>
      <w:r w:rsidR="00676119" w:rsidRPr="007800E1">
        <w:rPr>
          <w:b/>
          <w:bCs/>
          <w:lang w:eastAsia="en-GB"/>
        </w:rPr>
        <w:t>bei</w:t>
      </w:r>
      <w:r w:rsidRPr="007800E1">
        <w:rPr>
          <w:b/>
          <w:bCs/>
          <w:lang w:eastAsia="en-GB"/>
        </w:rPr>
        <w:t xml:space="preserve"> der EU Ihres Landes, das EFTA-Sekretariat oder über die Kanäle, denen sie ausdrücklich zugestimmt hat, eingereicht wurden.</w:t>
      </w:r>
      <w:r w:rsidRPr="00D605F4">
        <w:rPr>
          <w:lang w:eastAsia="en-GB"/>
        </w:rPr>
        <w:t xml:space="preserve"> Bewerbungen, die direkt von Ihnen oder Ihrem Arbeitgeber eingehen, werden nicht berücksichtigt.</w:t>
      </w:r>
    </w:p>
    <w:p w14:paraId="650455CB" w14:textId="433E1C8C" w:rsidR="00795C41" w:rsidRPr="00D605F4" w:rsidRDefault="00795C41" w:rsidP="000D7B5E">
      <w:pPr>
        <w:rPr>
          <w:lang w:eastAsia="en-GB"/>
        </w:rPr>
      </w:pPr>
      <w:r w:rsidRPr="00D605F4">
        <w:rPr>
          <w:lang w:eastAsia="en-GB"/>
        </w:rPr>
        <w:t xml:space="preserve">Sie sollten Ihren Lebenslauf auf Englisch, Französisch oder Deutsch im </w:t>
      </w:r>
      <w:r w:rsidRPr="007800E1">
        <w:rPr>
          <w:b/>
          <w:bCs/>
          <w:lang w:eastAsia="en-GB"/>
        </w:rPr>
        <w:t>Europass CV Format</w:t>
      </w:r>
      <w:r w:rsidRPr="00D605F4">
        <w:rPr>
          <w:lang w:eastAsia="en-GB"/>
        </w:rPr>
        <w:t xml:space="preserve"> </w:t>
      </w:r>
      <w:r w:rsidRPr="007C77CA">
        <w:rPr>
          <w:lang w:eastAsia="en-GB"/>
        </w:rPr>
        <w:t>verfassen (</w:t>
      </w:r>
      <w:hyperlink r:id="rId25" w:history="1">
        <w:r w:rsidRPr="007C77CA">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AD076B6"/>
    <w:multiLevelType w:val="hybridMultilevel"/>
    <w:tmpl w:val="A7A4F2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589367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10E3A"/>
    <w:rsid w:val="006243BB"/>
    <w:rsid w:val="00676119"/>
    <w:rsid w:val="006F44C9"/>
    <w:rsid w:val="00767E7E"/>
    <w:rsid w:val="007716E4"/>
    <w:rsid w:val="007800E1"/>
    <w:rsid w:val="00795C41"/>
    <w:rsid w:val="007C07D8"/>
    <w:rsid w:val="007C77CA"/>
    <w:rsid w:val="007D0EC6"/>
    <w:rsid w:val="00800096"/>
    <w:rsid w:val="00803007"/>
    <w:rsid w:val="008102E0"/>
    <w:rsid w:val="008154BB"/>
    <w:rsid w:val="0089735C"/>
    <w:rsid w:val="008D52CF"/>
    <w:rsid w:val="009321C6"/>
    <w:rsid w:val="009442BE"/>
    <w:rsid w:val="009B156E"/>
    <w:rsid w:val="009F216F"/>
    <w:rsid w:val="00A84133"/>
    <w:rsid w:val="00AB4DBF"/>
    <w:rsid w:val="00AB56F9"/>
    <w:rsid w:val="00BF6139"/>
    <w:rsid w:val="00C07259"/>
    <w:rsid w:val="00C16C5F"/>
    <w:rsid w:val="00C27C81"/>
    <w:rsid w:val="00CD33B4"/>
    <w:rsid w:val="00D605F4"/>
    <w:rsid w:val="00DA711C"/>
    <w:rsid w:val="00E32540"/>
    <w:rsid w:val="00E35460"/>
    <w:rsid w:val="00EB3060"/>
    <w:rsid w:val="00EC0B77"/>
    <w:rsid w:val="00EC5C6B"/>
    <w:rsid w:val="00F02746"/>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C16C5F"/>
    <w:pPr>
      <w:ind w:left="720"/>
      <w:contextualSpacing/>
    </w:pPr>
  </w:style>
  <w:style w:type="character" w:styleId="UnresolvedMention">
    <w:name w:val="Unresolved Mention"/>
    <w:basedOn w:val="DefaultParagraphFont"/>
    <w:uiPriority w:val="99"/>
    <w:semiHidden/>
    <w:unhideWhenUsed/>
    <w:rsid w:val="00F02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ss.europa.eu/de/create-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DE/TXT/PDF/?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10917"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10917"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F02C41"/>
    <w:rsid w:val="00F1091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1381</Words>
  <Characters>7874</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2024-10-11T13:17:00Z</dcterms:created>
  <dcterms:modified xsi:type="dcterms:W3CDTF">2024-10-11T13:17:00Z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