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300CD" w14:paraId="0234CF48" w14:textId="77777777">
            <w:trPr>
              <w:cantSplit/>
            </w:trPr>
            <w:tc>
              <w:tcPr>
                <w:tcW w:w="2400" w:type="dxa"/>
              </w:tcPr>
              <w:p w14:paraId="04240299" w14:textId="77777777" w:rsidR="001300CD" w:rsidRDefault="006C658A">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9677DDB" w:rsidR="001300CD" w:rsidRDefault="004F4455">
                <w:pPr>
                  <w:pStyle w:val="ZCom"/>
                </w:pPr>
                <w:sdt>
                  <w:sdtPr>
                    <w:id w:val="1852987933"/>
                    <w:dataBinding w:xpath="/Texts/OrgaRoot" w:storeItemID="{4EF90DE6-88B6-4264-9629-4D8DFDFE87D2}"/>
                    <w:text w:multiLine="1"/>
                  </w:sdtPr>
                  <w:sdtEndPr/>
                  <w:sdtContent>
                    <w:r w:rsidR="006C658A">
                      <w:t>EUROPEAN COMMISSION</w:t>
                    </w:r>
                  </w:sdtContent>
                </w:sdt>
              </w:p>
              <w:p w14:paraId="2A21A594" w14:textId="77777777" w:rsidR="001300CD" w:rsidRDefault="001300CD">
                <w:pPr>
                  <w:pStyle w:val="ZDGName"/>
                  <w:rPr>
                    <w:b/>
                  </w:rPr>
                </w:pPr>
              </w:p>
              <w:p w14:paraId="32A1BF4E" w14:textId="2AF8DF79" w:rsidR="001300CD" w:rsidRDefault="001300CD">
                <w:pPr>
                  <w:pStyle w:val="ZDGName"/>
                  <w:rPr>
                    <w:b/>
                  </w:rPr>
                </w:pPr>
              </w:p>
            </w:tc>
          </w:tr>
        </w:sdtContent>
      </w:sdt>
    </w:tbl>
    <w:p w14:paraId="2EA71B94" w14:textId="7F00DE5D" w:rsidR="001300CD" w:rsidRDefault="006C658A">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1300CD" w14:paraId="6C83529A" w14:textId="77777777">
        <w:tc>
          <w:tcPr>
            <w:tcW w:w="3111" w:type="dxa"/>
          </w:tcPr>
          <w:p w14:paraId="6D76206F" w14:textId="2B783D2D" w:rsidR="001300CD" w:rsidRDefault="006C658A">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E01FFDA" w14:textId="6BAFF363" w:rsidR="001300CD" w:rsidRDefault="006C658A">
                <w:pPr>
                  <w:tabs>
                    <w:tab w:val="left" w:pos="426"/>
                  </w:tabs>
                  <w:spacing w:before="120"/>
                </w:pPr>
                <w:r>
                  <w:t>DG AGRI — Direction C — Plans stratégiques plafond —</w:t>
                </w:r>
              </w:p>
              <w:p w14:paraId="786241CD" w14:textId="458798E9" w:rsidR="001300CD" w:rsidRDefault="006C658A">
                <w:pPr>
                  <w:tabs>
                    <w:tab w:val="left" w:pos="426"/>
                  </w:tabs>
                  <w:spacing w:before="120"/>
                </w:pPr>
                <w:r>
                  <w:t>Unité C1</w:t>
                </w:r>
              </w:p>
            </w:tc>
          </w:sdtContent>
        </w:sdt>
      </w:tr>
      <w:tr w:rsidR="001300CD" w14:paraId="4B8EFB62" w14:textId="77777777">
        <w:tc>
          <w:tcPr>
            <w:tcW w:w="3111" w:type="dxa"/>
          </w:tcPr>
          <w:p w14:paraId="51EA5B20" w14:textId="30D9C7F2" w:rsidR="001300CD" w:rsidRDefault="006C658A">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6A09D847" w:rsidR="001300CD" w:rsidRDefault="00764C2D">
                <w:pPr>
                  <w:tabs>
                    <w:tab w:val="left" w:pos="426"/>
                  </w:tabs>
                  <w:spacing w:before="120"/>
                </w:pPr>
                <w:r w:rsidRPr="00764C2D">
                  <w:rPr>
                    <w:lang w:val="en-IE" w:eastAsia="en-GB"/>
                  </w:rPr>
                  <w:t>441302</w:t>
                </w:r>
              </w:p>
            </w:tc>
          </w:sdtContent>
        </w:sdt>
      </w:tr>
      <w:tr w:rsidR="001300CD" w14:paraId="4E8359D5" w14:textId="77777777">
        <w:tc>
          <w:tcPr>
            <w:tcW w:w="3111" w:type="dxa"/>
          </w:tcPr>
          <w:p w14:paraId="72A7A894" w14:textId="1DC6A465" w:rsidR="001300CD" w:rsidRDefault="006C658A">
            <w:pPr>
              <w:tabs>
                <w:tab w:val="left" w:pos="1697"/>
              </w:tabs>
              <w:spacing w:before="120"/>
              <w:ind w:right="-1741"/>
            </w:pPr>
            <w:r>
              <w:t>Personne de contact :</w:t>
            </w:r>
          </w:p>
          <w:p w14:paraId="1BD76B84" w14:textId="2ED3769A" w:rsidR="001300CD" w:rsidRDefault="006C658A">
            <w:pPr>
              <w:tabs>
                <w:tab w:val="left" w:pos="1697"/>
              </w:tabs>
              <w:ind w:right="-1739"/>
              <w:contextualSpacing/>
            </w:pPr>
            <w:r>
              <w:t>Démarrage prévisionnel :</w:t>
            </w:r>
          </w:p>
          <w:p w14:paraId="324479C0" w14:textId="6E052826" w:rsidR="001300CD" w:rsidRDefault="006C658A">
            <w:pPr>
              <w:tabs>
                <w:tab w:val="left" w:pos="1697"/>
              </w:tabs>
              <w:ind w:right="-1739"/>
              <w:contextualSpacing/>
            </w:pPr>
            <w:r>
              <w:t>Durée initiale :</w:t>
            </w:r>
          </w:p>
          <w:p w14:paraId="07FF8994" w14:textId="77777777" w:rsidR="001300CD" w:rsidRDefault="006C658A">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p w14:paraId="714DA989" w14:textId="50630044" w:rsidR="001300CD" w:rsidRDefault="006C658A">
                <w:pPr>
                  <w:tabs>
                    <w:tab w:val="left" w:pos="426"/>
                  </w:tabs>
                  <w:spacing w:before="120"/>
                </w:pPr>
                <w:r>
                  <w:t xml:space="preserve">Holsten Nicola Britta </w:t>
                </w:r>
              </w:p>
            </w:sdtContent>
          </w:sdt>
          <w:p w14:paraId="34CF737A" w14:textId="39DD9EC8" w:rsidR="001300CD" w:rsidRDefault="004F4455">
            <w:pPr>
              <w:tabs>
                <w:tab w:val="left" w:pos="426"/>
              </w:tabs>
              <w:contextualSpacing/>
            </w:pPr>
            <w:sdt>
              <w:sdtPr>
                <w:rPr>
                  <w:bCs/>
                  <w:lang w:val="en-IE" w:eastAsia="en-GB"/>
                </w:rPr>
                <w:id w:val="1175461244"/>
                <w:placeholder>
                  <w:docPart w:val="DefaultPlaceholder_-1854013440"/>
                </w:placeholder>
              </w:sdtPr>
              <w:sdtEndPr/>
              <w:sdtContent>
                <w:r w:rsidR="00A934FE">
                  <w:t>4ième</w:t>
                </w:r>
              </w:sdtContent>
            </w:sdt>
            <w:r w:rsidR="006C658A">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C658A">
                  <w:t>2024</w:t>
                </w:r>
              </w:sdtContent>
            </w:sdt>
          </w:p>
          <w:p w14:paraId="158DD156" w14:textId="15008290" w:rsidR="001300CD" w:rsidRDefault="004F4455">
            <w:pPr>
              <w:tabs>
                <w:tab w:val="left" w:pos="426"/>
              </w:tabs>
              <w:contextualSpacing/>
              <w:jc w:val="left"/>
            </w:pPr>
            <w:sdt>
              <w:sdtPr>
                <w:rPr>
                  <w:bCs/>
                  <w:lang w:val="en-IE" w:eastAsia="en-GB"/>
                </w:rPr>
                <w:id w:val="202528730"/>
                <w:placeholder>
                  <w:docPart w:val="DefaultPlaceholder_-1854013440"/>
                </w:placeholder>
              </w:sdtPr>
              <w:sdtEndPr/>
              <w:sdtContent>
                <w:r w:rsidR="006C658A">
                  <w:t>2</w:t>
                </w:r>
              </w:sdtContent>
            </w:sdt>
            <w:r w:rsidR="006C658A">
              <w:t xml:space="preserve"> ans</w:t>
            </w:r>
            <w:r w:rsidR="006C658A">
              <w:br/>
            </w:r>
            <w:sdt>
              <w:sdtPr>
                <w:rPr>
                  <w:bCs/>
                  <w:szCs w:val="24"/>
                  <w:lang w:eastAsia="en-GB"/>
                </w:rPr>
                <w:id w:val="-69433268"/>
                <w14:checkbox>
                  <w14:checked w14:val="1"/>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Autre : </w:t>
            </w:r>
            <w:sdt>
              <w:sdtPr>
                <w:rPr>
                  <w:bCs/>
                  <w:szCs w:val="24"/>
                  <w:lang w:eastAsia="en-GB"/>
                </w:rPr>
                <w:id w:val="-186994276"/>
                <w:placeholder>
                  <w:docPart w:val="42CE55A0461841A39534A5E777539A67"/>
                </w:placeholder>
                <w:showingPlcHdr/>
              </w:sdtPr>
              <w:sdtEndPr/>
              <w:sdtContent>
                <w:r w:rsidR="006C658A">
                  <w:rPr>
                    <w:rStyle w:val="PlaceholderText"/>
                  </w:rPr>
                  <w:t>Cliquez ou touchez ici pour introduire du texte.</w:t>
                </w:r>
              </w:sdtContent>
            </w:sdt>
          </w:p>
          <w:p w14:paraId="7CA484B0" w14:textId="77777777" w:rsidR="001300CD" w:rsidRDefault="001300CD">
            <w:pPr>
              <w:tabs>
                <w:tab w:val="left" w:pos="426"/>
              </w:tabs>
              <w:spacing w:before="120" w:after="0"/>
              <w:contextualSpacing/>
            </w:pPr>
          </w:p>
        </w:tc>
      </w:tr>
      <w:tr w:rsidR="001300CD" w14:paraId="01F2BC57" w14:textId="77777777">
        <w:tc>
          <w:tcPr>
            <w:tcW w:w="3111" w:type="dxa"/>
          </w:tcPr>
          <w:p w14:paraId="201A3100" w14:textId="67E5037A" w:rsidR="001300CD" w:rsidRDefault="006C658A">
            <w:pPr>
              <w:tabs>
                <w:tab w:val="left" w:pos="426"/>
              </w:tabs>
              <w:spacing w:before="180" w:after="0"/>
            </w:pPr>
            <w:bookmarkStart w:id="1" w:name="_Hlk135920176"/>
            <w:r>
              <w:t>Type de détachement</w:t>
            </w:r>
          </w:p>
        </w:tc>
        <w:tc>
          <w:tcPr>
            <w:tcW w:w="5491" w:type="dxa"/>
          </w:tcPr>
          <w:p w14:paraId="6B14399A" w14:textId="33B2F1CC" w:rsidR="001300CD" w:rsidRDefault="006C658A">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1300CD" w14:paraId="539D0BAC" w14:textId="77777777">
        <w:tc>
          <w:tcPr>
            <w:tcW w:w="8602" w:type="dxa"/>
            <w:gridSpan w:val="2"/>
          </w:tcPr>
          <w:p w14:paraId="582FFE97" w14:textId="38200397" w:rsidR="001300CD" w:rsidRDefault="006C658A">
            <w:pPr>
              <w:tabs>
                <w:tab w:val="left" w:pos="426"/>
              </w:tabs>
              <w:spacing w:before="120"/>
            </w:pPr>
            <w:r>
              <w:t>Cet avis de vacance est ouvert à :</w:t>
            </w:r>
          </w:p>
          <w:p w14:paraId="4446CE69" w14:textId="7AFA424F" w:rsidR="001300CD" w:rsidRDefault="006C658A">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1300CD" w:rsidRDefault="006C658A">
            <w:pPr>
              <w:tabs>
                <w:tab w:val="left" w:pos="426"/>
              </w:tabs>
              <w:spacing w:after="120"/>
              <w:ind w:left="567"/>
            </w:pPr>
            <w:r>
              <w:t>ainsi que</w:t>
            </w:r>
          </w:p>
          <w:p w14:paraId="48418475" w14:textId="6331CDD6" w:rsidR="001300CD" w:rsidRDefault="004F4455">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les pays de l’AELE suivants :</w:t>
            </w:r>
          </w:p>
          <w:p w14:paraId="14835B5E" w14:textId="77777777" w:rsidR="001300CD" w:rsidRDefault="006C658A">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1300CD" w:rsidRDefault="004F4455">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les pays tiers suivants : </w:t>
            </w:r>
            <w:sdt>
              <w:sdtPr>
                <w:rPr>
                  <w:bCs/>
                  <w:szCs w:val="24"/>
                  <w:lang w:eastAsia="en-GB"/>
                </w:rPr>
                <w:id w:val="1742369941"/>
                <w:placeholder>
                  <w:docPart w:val="335C0F1576B3499F8D90CE979ABE47D4"/>
                </w:placeholder>
                <w:showingPlcHdr/>
              </w:sdtPr>
              <w:sdtEndPr/>
              <w:sdtContent>
                <w:r w:rsidR="006C658A">
                  <w:rPr>
                    <w:rStyle w:val="PlaceholderText"/>
                  </w:rPr>
                  <w:t xml:space="preserve">....    </w:t>
                </w:r>
              </w:sdtContent>
            </w:sdt>
          </w:p>
          <w:p w14:paraId="265CD5A1" w14:textId="0FD11D7C" w:rsidR="001300CD" w:rsidRDefault="004F4455">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les organisations intergouvernementales suivantes :</w:t>
            </w:r>
            <w:r w:rsidR="006C658A">
              <w:tab/>
            </w:r>
            <w:sdt>
              <w:sdtPr>
                <w:rPr>
                  <w:bCs/>
                  <w:szCs w:val="24"/>
                  <w:lang w:eastAsia="en-GB"/>
                </w:rPr>
                <w:id w:val="1349070026"/>
                <w:placeholder>
                  <w:docPart w:val="42F8A5B327594E519C9F00EDCE7CD95B"/>
                </w:placeholder>
                <w:showingPlcHdr/>
              </w:sdtPr>
              <w:sdtEndPr/>
              <w:sdtContent>
                <w:r w:rsidR="006C658A">
                  <w:rPr>
                    <w:rStyle w:val="PlaceholderText"/>
                  </w:rPr>
                  <w:t xml:space="preserve">  ... </w:t>
                </w:r>
              </w:sdtContent>
            </w:sdt>
          </w:p>
          <w:p w14:paraId="195D93C2" w14:textId="57187952" w:rsidR="001300CD" w:rsidRDefault="001300CD">
            <w:pPr>
              <w:tabs>
                <w:tab w:val="left" w:pos="426"/>
              </w:tabs>
              <w:contextualSpacing/>
            </w:pPr>
          </w:p>
          <w:p w14:paraId="6CECCDB8" w14:textId="269D51C9" w:rsidR="001300CD" w:rsidRDefault="006C658A">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1300CD" w14:paraId="4E10CC7A" w14:textId="77777777">
        <w:tc>
          <w:tcPr>
            <w:tcW w:w="3111" w:type="dxa"/>
          </w:tcPr>
          <w:p w14:paraId="4B77822C" w14:textId="5EFC4255" w:rsidR="001300CD" w:rsidRDefault="006C658A">
            <w:pPr>
              <w:tabs>
                <w:tab w:val="left" w:pos="426"/>
              </w:tabs>
              <w:spacing w:before="180"/>
            </w:pPr>
            <w:r>
              <w:t>Date limite de soumission des demandes</w:t>
            </w:r>
          </w:p>
        </w:tc>
        <w:tc>
          <w:tcPr>
            <w:tcW w:w="5491" w:type="dxa"/>
          </w:tcPr>
          <w:p w14:paraId="240262F4" w14:textId="20601931" w:rsidR="001300CD" w:rsidRDefault="006C658A">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24FC2CDA" w:rsidR="001300CD" w:rsidRDefault="006C658A">
            <w:pPr>
              <w:tabs>
                <w:tab w:val="left" w:pos="426"/>
              </w:tabs>
              <w:spacing w:before="120" w:after="120"/>
            </w:pPr>
            <w:r>
              <w:t xml:space="preserve">Date limite de dépôt des candidatures :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A934FE">
                  <w:rPr>
                    <w:bCs/>
                    <w:lang w:val="fr-BE" w:eastAsia="en-GB"/>
                  </w:rPr>
                  <w:t>25-0</w:t>
                </w:r>
                <w:r w:rsidR="004F4455">
                  <w:rPr>
                    <w:bCs/>
                    <w:lang w:val="fr-BE" w:eastAsia="en-GB"/>
                  </w:rPr>
                  <w:t>9</w:t>
                </w:r>
                <w:r w:rsidR="00A934FE">
                  <w:rPr>
                    <w:bCs/>
                    <w:lang w:val="fr-BE" w:eastAsia="en-GB"/>
                  </w:rPr>
                  <w:t>-2024</w:t>
                </w:r>
              </w:sdtContent>
            </w:sdt>
          </w:p>
        </w:tc>
      </w:tr>
      <w:bookmarkEnd w:id="0"/>
      <w:bookmarkEnd w:id="1"/>
    </w:tbl>
    <w:p w14:paraId="4AD59AD4" w14:textId="77777777" w:rsidR="001300CD" w:rsidRDefault="001300CD">
      <w:pPr>
        <w:tabs>
          <w:tab w:val="left" w:pos="426"/>
        </w:tabs>
        <w:spacing w:after="0"/>
        <w:rPr>
          <w:b/>
        </w:rPr>
      </w:pPr>
    </w:p>
    <w:p w14:paraId="7FA18C95" w14:textId="77777777" w:rsidR="001300CD" w:rsidRDefault="001300CD">
      <w:pPr>
        <w:tabs>
          <w:tab w:val="left" w:pos="426"/>
        </w:tabs>
        <w:spacing w:after="0"/>
        <w:rPr>
          <w:b/>
        </w:rPr>
      </w:pPr>
    </w:p>
    <w:p w14:paraId="739B1A99" w14:textId="26B4FBDA" w:rsidR="001300CD" w:rsidRDefault="006C658A">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59DD0438" w14:textId="6FFE5303" w:rsidR="001300CD" w:rsidRDefault="006C658A">
          <w:r>
            <w:t xml:space="preserve">L’unité est responsable de la coordination générale en ce qui concerne les plans stratégiques relevant de la PAC. Elle garantit une approche cohérente de la mise en œuvre de la PAC dans les États membres, notamment par l’évaluation des plans stratégiques </w:t>
          </w:r>
          <w:r>
            <w:lastRenderedPageBreak/>
            <w:t>relevant de la PAC et la coordination des rapports et du suivi de la mise en œuvre des programmes.</w:t>
          </w:r>
        </w:p>
        <w:p w14:paraId="5C579FD5" w14:textId="130CBD4B" w:rsidR="001300CD" w:rsidRDefault="006C658A">
          <w:r>
            <w:t>En ce qui concerne le système intégré de gestion et de contrôle (SIGC), l’unité coordonne la position de la DG AGRI sur les questions pertinentes pour le SIGC (y compris l’AMS, la GSA et le SIPA). En particulier, elle développe et assure le suivi du cadre législatif du SIGC, de son éventuelle révision et de son développement en fonction des nouvelles technologies et des nouveaux moteurs politiques. L’unité soutient les États membres dans la mise en œuvre actuelle du SIGC et dans la transition liée au SIGC vers la nouvelle PAC et contrôle la qualité des informations provenant du SIGC.</w:t>
          </w:r>
        </w:p>
      </w:sdtContent>
    </w:sdt>
    <w:p w14:paraId="69459484" w14:textId="77777777" w:rsidR="001300CD" w:rsidRDefault="001300CD">
      <w:pPr>
        <w:pStyle w:val="ListNumber"/>
        <w:numPr>
          <w:ilvl w:val="0"/>
          <w:numId w:val="0"/>
        </w:numPr>
        <w:ind w:left="709" w:hanging="709"/>
        <w:rPr>
          <w:b/>
        </w:rPr>
      </w:pPr>
    </w:p>
    <w:p w14:paraId="50617C66" w14:textId="3928B21B" w:rsidR="001300CD" w:rsidRDefault="006C658A">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27A14E87" w:rsidR="001300CD" w:rsidRDefault="006C658A">
          <w:r>
            <w:t xml:space="preserve">Un poste intéressant au sein de l’équipe SIGC de l’unité. Vos tâches consisteraient à aider les États membres à mettre en œuvre les principaux éléments du SIGC, en particulier l’AMS (système de monotorisation des surfaces), la GSA (application géospatiale), le système d’identification des parcs agricoles (SIPA) et les procédures connexes d’évaluation de la qualité. Vous participerez également à la mise à jour et à l’élaboration de la méthodologie au niveau de l’Union pour les évaluations de la qualité du SIGC. En outre, vous soutiendrez vos collègues en contribuant aux séances d’information, et vous représenterez l’unité/la DG/la Commission lors de réunions avec les parties prenantes et les experts. </w:t>
          </w:r>
        </w:p>
        <w:p w14:paraId="38357BEE" w14:textId="0FB99AD1" w:rsidR="001300CD" w:rsidRDefault="006C658A">
          <w:r>
            <w:t>De bonnes capacités d’analyse, une bonne base ou une formation universitaire en sciences naturelles seraient nécessaires pour mener à bien les travaux. Une compréhension de base de la modélisation du secteur agricole, de ses émissions et des évaluations du cycle de vie serait un élément supplémentaire.</w:t>
          </w:r>
        </w:p>
      </w:sdtContent>
    </w:sdt>
    <w:p w14:paraId="433AC71A" w14:textId="77777777" w:rsidR="001300CD" w:rsidRDefault="001300CD">
      <w:pPr>
        <w:pStyle w:val="ListNumber"/>
        <w:numPr>
          <w:ilvl w:val="0"/>
          <w:numId w:val="0"/>
        </w:numPr>
        <w:ind w:left="709" w:hanging="709"/>
        <w:rPr>
          <w:b/>
        </w:rPr>
      </w:pPr>
    </w:p>
    <w:p w14:paraId="58E0FD96" w14:textId="2D5F7C92" w:rsidR="001300CD" w:rsidRDefault="006C658A">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51994EDB" w14:textId="192E35DA" w:rsidR="001300CD" w:rsidRDefault="006C658A">
          <w:r>
            <w:t>Un expert ayant au moins trois ans d’expérience professionnelle dans des fonctions techniques ou administratives liées au système intégré de gestion et de contrôle (SIGC). De bonnes capacités d’analyse, une bonne base ou une formation de niveau universitaire seraient nécessaires pour mener à bien le travail. Une compréhension de base de la politique agricole commune et du secteur agricole est également importante. Une bonne connaissance de la langue anglaise est requise.</w:t>
          </w:r>
        </w:p>
      </w:sdtContent>
    </w:sdt>
    <w:bookmarkEnd w:id="2"/>
    <w:p w14:paraId="4A6D5708" w14:textId="77777777" w:rsidR="001300CD" w:rsidRDefault="001300CD">
      <w:pPr>
        <w:spacing w:after="0"/>
      </w:pPr>
    </w:p>
    <w:p w14:paraId="5FB0AB31" w14:textId="77777777" w:rsidR="001300CD" w:rsidRDefault="001300CD">
      <w:pPr>
        <w:spacing w:after="0"/>
      </w:pPr>
    </w:p>
    <w:p w14:paraId="17A4561D" w14:textId="2857CBE0" w:rsidR="001300CD" w:rsidRDefault="006C658A">
      <w:pPr>
        <w:pStyle w:val="P68B1DB1-ListNumber2"/>
        <w:keepNext/>
        <w:numPr>
          <w:ilvl w:val="0"/>
          <w:numId w:val="0"/>
        </w:numPr>
        <w:ind w:left="709" w:hanging="709"/>
      </w:pPr>
      <w:r>
        <w:t>Critères d’éligibilité</w:t>
      </w:r>
    </w:p>
    <w:p w14:paraId="4351CD9B" w14:textId="329965A0" w:rsidR="001300CD" w:rsidRDefault="006C658A">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1300CD" w:rsidRDefault="006C658A">
      <w:r>
        <w:t xml:space="preserve">Aux termes de la décision END, vous devez remplir les critères d’éligibilité suivants à </w:t>
      </w:r>
      <w:r>
        <w:rPr>
          <w:b/>
        </w:rPr>
        <w:t>la date de début</w:t>
      </w:r>
      <w:r>
        <w:t xml:space="preserve"> du détachement :</w:t>
      </w:r>
    </w:p>
    <w:p w14:paraId="2A82F38A" w14:textId="4F2D910B" w:rsidR="001300CD" w:rsidRDefault="006C658A">
      <w:pPr>
        <w:pStyle w:val="ListBullet"/>
      </w:pPr>
      <w:r>
        <w:rPr>
          <w:u w:val="single"/>
        </w:rPr>
        <w:lastRenderedPageBreak/>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1300CD" w:rsidRDefault="006C658A">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11D026E" w:rsidR="001300CD" w:rsidRDefault="006C658A">
      <w:pPr>
        <w:pStyle w:val="ListBullet"/>
      </w:pPr>
      <w:r>
        <w:rPr>
          <w:u w:val="single"/>
        </w:rPr>
        <w:t>Employeur :</w:t>
      </w:r>
      <w:r>
        <w:t xml:space="preserve"> être une administration nationale, régionale ou locale ou une organisation publique intergouvernementale (OIG);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1300CD" w:rsidRDefault="006C658A">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1300CD" w:rsidRDefault="001300CD"/>
    <w:p w14:paraId="5C3A2162" w14:textId="789CE808" w:rsidR="001300CD" w:rsidRDefault="006C658A">
      <w:pPr>
        <w:pStyle w:val="P68B1DB1-ListNumber2"/>
        <w:keepNext/>
        <w:numPr>
          <w:ilvl w:val="0"/>
          <w:numId w:val="0"/>
        </w:numPr>
        <w:ind w:left="709" w:hanging="709"/>
      </w:pPr>
      <w:r>
        <w:t>Conditions du détachement</w:t>
      </w:r>
    </w:p>
    <w:p w14:paraId="42ECB69D" w14:textId="49CFA327" w:rsidR="001300CD" w:rsidRDefault="006C658A">
      <w:pPr>
        <w:keepNext/>
      </w:pPr>
      <w:r>
        <w:t xml:space="preserve">Pendant toute la durée de votre détachement, vous devez rester salarié et rémunéré par votre employeur et être couvert par votre système de sécurité sociale (national). </w:t>
      </w:r>
    </w:p>
    <w:p w14:paraId="0A5C5740" w14:textId="54FC005C" w:rsidR="001300CD" w:rsidRDefault="006C658A">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1300CD" w:rsidRDefault="006C658A">
      <w:r>
        <w:t xml:space="preserve">Si le poste est publié avec des indemnités, celles-ci ne peuvent être accordées que si vous remplissez les conditions prévues à l’article 17 de la décision END. </w:t>
      </w:r>
    </w:p>
    <w:p w14:paraId="58EAEF9C" w14:textId="2137133C" w:rsidR="001300CD" w:rsidRDefault="006C658A">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1300CD" w:rsidRDefault="001300CD"/>
    <w:p w14:paraId="6D7A78FD" w14:textId="720F9762" w:rsidR="001300CD" w:rsidRDefault="006C658A">
      <w:pPr>
        <w:pStyle w:val="P68B1DB1-ListNumber2"/>
        <w:keepNext/>
        <w:numPr>
          <w:ilvl w:val="0"/>
          <w:numId w:val="0"/>
        </w:numPr>
        <w:ind w:left="709" w:hanging="709"/>
      </w:pPr>
      <w:r>
        <w:t>Soumission des candidatures et procédure de sélection</w:t>
      </w:r>
    </w:p>
    <w:p w14:paraId="737732DB" w14:textId="59C050A8" w:rsidR="001300CD" w:rsidRDefault="006C658A">
      <w:pPr>
        <w:keepNext/>
      </w:pPr>
      <w:r>
        <w:t xml:space="preserve">Si vous êtes intéressé (e), veuillez suivre les instructions données par votre employeur sur la manière de postuler. </w:t>
      </w:r>
    </w:p>
    <w:p w14:paraId="01FE2616" w14:textId="3EE6DFF7" w:rsidR="001300CD" w:rsidRDefault="006C658A">
      <w:pPr>
        <w:keepNext/>
      </w:pPr>
      <w:r>
        <w:t xml:space="preserve">La Commission européenne </w:t>
      </w:r>
      <w:r>
        <w:rPr>
          <w:b/>
        </w:rPr>
        <w:t xml:space="preserve">n’accepte que les candidatures qui ont été soumises par l’intermédiaire de la représentation permanente/de la mission diplomatique auprès de l’UE de votre pays, du secrétariat de l’AELE ou du ou des canaux auxquels elle a </w:t>
      </w:r>
      <w:r>
        <w:rPr>
          <w:b/>
        </w:rPr>
        <w:lastRenderedPageBreak/>
        <w:t>expressément consenti.</w:t>
      </w:r>
      <w:r>
        <w:t xml:space="preserve"> Les demandes reçues directement de votre employeur ou de vous-même ne seront pas prises en considération.</w:t>
      </w:r>
    </w:p>
    <w:p w14:paraId="0F7E0F3E" w14:textId="42443FEA" w:rsidR="001300CD" w:rsidRDefault="006C658A">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1300CD" w:rsidRDefault="006C658A">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1300CD" w:rsidRDefault="001300CD"/>
    <w:p w14:paraId="54CDDE36" w14:textId="52364A78" w:rsidR="001300CD" w:rsidRDefault="006C658A">
      <w:pPr>
        <w:pStyle w:val="P68B1DB1-ListNumber2"/>
        <w:keepNext/>
        <w:numPr>
          <w:ilvl w:val="0"/>
          <w:numId w:val="0"/>
        </w:numPr>
        <w:ind w:left="709" w:hanging="709"/>
      </w:pPr>
      <w:r>
        <w:t>Traitement des données à caractère personnel</w:t>
      </w:r>
    </w:p>
    <w:p w14:paraId="0D144B0D" w14:textId="1B120317" w:rsidR="001300CD" w:rsidRDefault="006C658A">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3" w:name="_Hlk132131276"/>
      <w:r>
        <w:t>Avant de postuler, veuillez lire la déclaration de confidentialité ci-jointe.</w:t>
      </w:r>
      <w:bookmarkEnd w:id="3"/>
    </w:p>
    <w:sectPr w:rsidR="001300CD">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1300CD" w:rsidRDefault="006C658A">
      <w:pPr>
        <w:spacing w:after="0"/>
      </w:pPr>
      <w:r>
        <w:separator/>
      </w:r>
    </w:p>
  </w:endnote>
  <w:endnote w:type="continuationSeparator" w:id="0">
    <w:p w14:paraId="2EDF69C8" w14:textId="77777777" w:rsidR="001300CD" w:rsidRDefault="006C65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300CD" w:rsidRDefault="006C658A">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300CD" w:rsidRDefault="006C658A">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1300CD" w:rsidRDefault="006C658A">
      <w:pPr>
        <w:spacing w:after="0"/>
      </w:pPr>
      <w:r>
        <w:separator/>
      </w:r>
    </w:p>
  </w:footnote>
  <w:footnote w:type="continuationSeparator" w:id="0">
    <w:p w14:paraId="626DEDAF" w14:textId="77777777" w:rsidR="001300CD" w:rsidRDefault="006C658A">
      <w:pPr>
        <w:spacing w:after="0"/>
      </w:pPr>
      <w:r>
        <w:continuationSeparator/>
      </w:r>
    </w:p>
  </w:footnote>
  <w:footnote w:id="1">
    <w:p w14:paraId="6AE43B3C" w14:textId="5EDB2F13" w:rsidR="001300CD" w:rsidRDefault="006C658A">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443"/>
    <w:rsid w:val="0007110E"/>
    <w:rsid w:val="0007544E"/>
    <w:rsid w:val="00082C37"/>
    <w:rsid w:val="00092BCA"/>
    <w:rsid w:val="000A4668"/>
    <w:rsid w:val="000D129C"/>
    <w:rsid w:val="000F371B"/>
    <w:rsid w:val="000F4CD5"/>
    <w:rsid w:val="00111AB6"/>
    <w:rsid w:val="001300CD"/>
    <w:rsid w:val="001D0A81"/>
    <w:rsid w:val="002109E6"/>
    <w:rsid w:val="00227BAD"/>
    <w:rsid w:val="00227D91"/>
    <w:rsid w:val="00252050"/>
    <w:rsid w:val="002B3CBF"/>
    <w:rsid w:val="002C13C3"/>
    <w:rsid w:val="002C49D0"/>
    <w:rsid w:val="002E40A9"/>
    <w:rsid w:val="00380E38"/>
    <w:rsid w:val="00394447"/>
    <w:rsid w:val="003E50A4"/>
    <w:rsid w:val="0040388A"/>
    <w:rsid w:val="00431778"/>
    <w:rsid w:val="00454CC7"/>
    <w:rsid w:val="00476034"/>
    <w:rsid w:val="004F4455"/>
    <w:rsid w:val="005168AD"/>
    <w:rsid w:val="0058240F"/>
    <w:rsid w:val="00592CD5"/>
    <w:rsid w:val="005D1B85"/>
    <w:rsid w:val="00630388"/>
    <w:rsid w:val="00665583"/>
    <w:rsid w:val="00680EEF"/>
    <w:rsid w:val="00693BC6"/>
    <w:rsid w:val="00696070"/>
    <w:rsid w:val="006C658A"/>
    <w:rsid w:val="00764C2D"/>
    <w:rsid w:val="007E531E"/>
    <w:rsid w:val="007F02AC"/>
    <w:rsid w:val="007F7012"/>
    <w:rsid w:val="008016D7"/>
    <w:rsid w:val="008D02B7"/>
    <w:rsid w:val="008F0B52"/>
    <w:rsid w:val="008F4BA9"/>
    <w:rsid w:val="00990E7D"/>
    <w:rsid w:val="00994062"/>
    <w:rsid w:val="00996CC6"/>
    <w:rsid w:val="009A1EA0"/>
    <w:rsid w:val="009A2F00"/>
    <w:rsid w:val="009C5E27"/>
    <w:rsid w:val="00A033AD"/>
    <w:rsid w:val="00A934FE"/>
    <w:rsid w:val="00AB2CEA"/>
    <w:rsid w:val="00AF6424"/>
    <w:rsid w:val="00B24CC5"/>
    <w:rsid w:val="00B3644B"/>
    <w:rsid w:val="00B57CC7"/>
    <w:rsid w:val="00B65513"/>
    <w:rsid w:val="00B73F08"/>
    <w:rsid w:val="00B8014C"/>
    <w:rsid w:val="00BA4ED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097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D7B96" w:rsidRDefault="009D7B96">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D7B96" w:rsidRDefault="009D7B96">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D7B96" w:rsidRDefault="009D7B96">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D7B96" w:rsidRDefault="009D7B96">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D7B96" w:rsidRDefault="009D7B96">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D7B96" w:rsidRDefault="009D7B96">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D7B96" w:rsidRDefault="009D7B96">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D7B96" w:rsidRDefault="009D7B9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D7B96" w:rsidRDefault="009D7B96">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D7B96" w:rsidRDefault="009D7B9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D7B96" w:rsidRDefault="009D7B96">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D7B96" w:rsidRDefault="009D7B96">
          <w:pPr>
            <w:pStyle w:val="F8087F2A3C014B809064D3423F4C13C9"/>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9D7B96"/>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1133</Words>
  <Characters>6463</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2024-03-04T11:06:00Z</dcterms:created>
  <dcterms:modified xsi:type="dcterms:W3CDTF">2024-06-17T07:18:00Z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