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C140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C140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C140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C140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C140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C140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70388AF" w:rsidR="00377580" w:rsidRPr="00611A2D" w:rsidRDefault="00611A2D" w:rsidP="005F6927">
                <w:pPr>
                  <w:tabs>
                    <w:tab w:val="left" w:pos="426"/>
                  </w:tabs>
                  <w:rPr>
                    <w:bCs/>
                    <w:lang w:val="fr-BE" w:eastAsia="en-GB"/>
                  </w:rPr>
                </w:pPr>
                <w:r w:rsidRPr="009B574D">
                  <w:rPr>
                    <w:b/>
                    <w:sz w:val="20"/>
                  </w:rPr>
                  <w:t>Direction générale de la traduction</w:t>
                </w:r>
                <w:r>
                  <w:rPr>
                    <w:b/>
                    <w:sz w:val="20"/>
                  </w:rPr>
                  <w:t>-Direction C-</w:t>
                </w:r>
                <w:r w:rsidRPr="009B574D">
                  <w:rPr>
                    <w:b/>
                    <w:sz w:val="20"/>
                  </w:rPr>
                  <w:t>.</w:t>
                </w:r>
                <w:r>
                  <w:rPr>
                    <w:b/>
                    <w:sz w:val="20"/>
                  </w:rPr>
                  <w:t>LV</w:t>
                </w:r>
                <w:r w:rsidRPr="009B574D">
                  <w:rPr>
                    <w:b/>
                    <w:sz w:val="20"/>
                  </w:rPr>
                  <w:t>.</w:t>
                </w:r>
                <w:r>
                  <w:rPr>
                    <w:b/>
                    <w:sz w:val="20"/>
                  </w:rPr>
                  <w:t>2</w:t>
                </w:r>
                <w:r w:rsidRPr="009B574D">
                  <w:rPr>
                    <w:b/>
                    <w:sz w:val="20"/>
                  </w:rPr>
                  <w:t xml:space="preserve"> (Unité de langue </w:t>
                </w:r>
                <w:r>
                  <w:rPr>
                    <w:b/>
                    <w:sz w:val="20"/>
                  </w:rPr>
                  <w:t>lettone</w:t>
                </w:r>
                <w:r w:rsidRPr="009B574D">
                  <w:rPr>
                    <w:b/>
                    <w:sz w:val="20"/>
                  </w:rPr>
                  <w:t>)</w:t>
                </w:r>
              </w:p>
            </w:tc>
          </w:sdtContent>
        </w:sdt>
      </w:tr>
      <w:tr w:rsidR="00377580" w:rsidRPr="00611A2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728705B" w:rsidR="00377580" w:rsidRPr="00611A2D" w:rsidRDefault="00611A2D" w:rsidP="005F6927">
                <w:pPr>
                  <w:tabs>
                    <w:tab w:val="left" w:pos="426"/>
                  </w:tabs>
                  <w:rPr>
                    <w:bCs/>
                    <w:lang w:val="fr-BE" w:eastAsia="en-GB"/>
                  </w:rPr>
                </w:pPr>
                <w:r w:rsidRPr="00611A2D">
                  <w:rPr>
                    <w:bCs/>
                    <w:lang w:val="fr-BE" w:eastAsia="en-GB"/>
                  </w:rPr>
                  <w:t>Iveta RANCĀNE-ABARTE</w:t>
                </w:r>
              </w:p>
            </w:sdtContent>
          </w:sdt>
          <w:p w14:paraId="32DD8032" w14:textId="0A6AF398" w:rsidR="00377580" w:rsidRPr="001D3EEC" w:rsidRDefault="006C140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11A2D">
                  <w:rPr>
                    <w:bCs/>
                    <w:lang w:val="fr-BE" w:eastAsia="en-GB"/>
                  </w:rPr>
                  <w:t>4eme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11A2D" w:rsidRPr="00611A2D">
                      <w:rPr>
                        <w:bCs/>
                        <w:lang w:val="fr-BE" w:eastAsia="en-GB"/>
                      </w:rPr>
                      <w:t>2024</w:t>
                    </w:r>
                  </w:sdtContent>
                </w:sdt>
              </w:sdtContent>
            </w:sdt>
            <w:r w:rsidR="00377580" w:rsidRPr="001D3EEC">
              <w:rPr>
                <w:bCs/>
                <w:lang w:val="fr-BE" w:eastAsia="en-GB"/>
              </w:rPr>
              <w:t xml:space="preserve"> </w:t>
            </w:r>
          </w:p>
          <w:p w14:paraId="768BBE26" w14:textId="78C583E4" w:rsidR="00377580" w:rsidRPr="001D3EEC" w:rsidRDefault="006C140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11A2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611A2D">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9FA3EF6"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C442E42"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C140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C140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C140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D71D6A5"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611A2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90DC430"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2" o:title=""/>
                </v:shape>
                <w:control r:id="rId23" w:name="OptionButton2" w:shapeid="_x0000_i1045"/>
              </w:object>
            </w:r>
            <w:r>
              <w:rPr>
                <w:bCs/>
                <w:szCs w:val="24"/>
              </w:rPr>
              <w:object w:dxaOrig="225" w:dyaOrig="225" w14:anchorId="7A15FAEE">
                <v:shape id="_x0000_i1047" type="#_x0000_t75" style="width:108pt;height:21.6pt" o:ole="">
                  <v:imagedata r:id="rId24" o:title=""/>
                </v:shape>
                <w:control r:id="rId25" w:name="OptionButton3" w:shapeid="_x0000_i1047"/>
              </w:object>
            </w:r>
          </w:p>
          <w:p w14:paraId="63DD2FA8" w14:textId="140D26B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6C1405">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EEF5A80" w:rsidR="001A0074" w:rsidRPr="006C54DE" w:rsidRDefault="006C54DE" w:rsidP="001A0074">
          <w:pPr>
            <w:rPr>
              <w:lang w:val="fr-BE" w:eastAsia="en-GB"/>
            </w:rPr>
          </w:pPr>
          <w:r w:rsidRPr="006C54DE">
            <w:rPr>
              <w:lang w:val="fr-BE" w:eastAsia="en-GB"/>
            </w:rPr>
            <w:t xml:space="preserve">Nous sommes le département de langue lettone au sein de la direction générale de la traduction (DG Traduction) de la Commission européenne, le plus grand service de traduction au monde. Nous traduisons des documents rédigés ou envoyés à différents services de la Commission. Les textes peuvent couvrir un large éventail de sujets liés à l’UE. Dans notre unité, nous sommes spécialisés dans l'agriculture, l'énergie, l'environnement, le climat, la santé, la technologie, la science, la traduction Web. Ces </w:t>
          </w:r>
          <w:r w:rsidRPr="006C54DE">
            <w:rPr>
              <w:lang w:val="fr-BE" w:eastAsia="en-GB"/>
            </w:rPr>
            <w:lastRenderedPageBreak/>
            <w:t>documents sont généralement des actes juridiques, des documents politiques, des rapports, des modèles, de la correspondance avec les citoyens, des textes Web, des communiqués de presse, des brochures.</w:t>
          </w:r>
        </w:p>
      </w:sdtContent>
    </w:sdt>
    <w:p w14:paraId="30B422AA" w14:textId="77777777" w:rsidR="00301CA3" w:rsidRPr="006C54D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tbl>
          <w:tblPr>
            <w:tblW w:w="0" w:type="auto"/>
            <w:tblLayout w:type="fixed"/>
            <w:tblLook w:val="01E0" w:firstRow="1" w:lastRow="1" w:firstColumn="1" w:lastColumn="1" w:noHBand="0" w:noVBand="0"/>
          </w:tblPr>
          <w:tblGrid>
            <w:gridCol w:w="8930"/>
          </w:tblGrid>
          <w:tr w:rsidR="00611A2D" w:rsidRPr="00A869EE" w14:paraId="6E0CAEDA" w14:textId="77777777" w:rsidTr="00A408B8">
            <w:tc>
              <w:tcPr>
                <w:tcW w:w="8930" w:type="dxa"/>
                <w:tcBorders>
                  <w:right w:val="single" w:sz="4" w:space="0" w:color="auto"/>
                </w:tcBorders>
                <w:shd w:val="clear" w:color="auto" w:fill="auto"/>
              </w:tcPr>
              <w:p w14:paraId="3D6F3338" w14:textId="4319C689" w:rsidR="00611A2D" w:rsidRPr="00A869EE" w:rsidRDefault="00611A2D" w:rsidP="00A408B8">
                <w:pPr>
                  <w:spacing w:after="0"/>
                  <w:ind w:right="1317"/>
                  <w:rPr>
                    <w:sz w:val="20"/>
                  </w:rPr>
                </w:pPr>
                <w:r>
                  <w:rPr>
                    <w:sz w:val="20"/>
                  </w:rPr>
                  <w:t>- Traduire en letton les propositions législatives élaborées par la Commission. Les textes traduits par les traducteurs de la DGT sont principalement de nature politique, juridique, économique/financière, scientifique ou technique et couvrent tous les domaines d'activité de l'Union européenne;</w:t>
                </w:r>
              </w:p>
            </w:tc>
          </w:tr>
          <w:tr w:rsidR="00611A2D" w:rsidRPr="00A869EE" w14:paraId="5688CE5C" w14:textId="77777777" w:rsidTr="00A408B8">
            <w:tc>
              <w:tcPr>
                <w:tcW w:w="8930" w:type="dxa"/>
                <w:tcBorders>
                  <w:right w:val="single" w:sz="4" w:space="0" w:color="auto"/>
                </w:tcBorders>
                <w:shd w:val="clear" w:color="auto" w:fill="auto"/>
              </w:tcPr>
              <w:p w14:paraId="779CD448" w14:textId="77777777" w:rsidR="00611A2D" w:rsidRPr="00A869EE" w:rsidRDefault="00611A2D" w:rsidP="00A408B8">
                <w:pPr>
                  <w:spacing w:after="0"/>
                  <w:ind w:right="1317"/>
                  <w:rPr>
                    <w:b/>
                    <w:sz w:val="20"/>
                  </w:rPr>
                </w:pPr>
              </w:p>
            </w:tc>
          </w:tr>
          <w:tr w:rsidR="00611A2D" w:rsidRPr="00A869EE" w14:paraId="3C2B8D4A" w14:textId="77777777" w:rsidTr="00A408B8">
            <w:tc>
              <w:tcPr>
                <w:tcW w:w="8930" w:type="dxa"/>
                <w:tcBorders>
                  <w:right w:val="single" w:sz="4" w:space="0" w:color="auto"/>
                </w:tcBorders>
                <w:shd w:val="clear" w:color="auto" w:fill="auto"/>
              </w:tcPr>
              <w:p w14:paraId="5961712B" w14:textId="77777777" w:rsidR="00611A2D" w:rsidRDefault="00611A2D" w:rsidP="00A408B8">
                <w:pPr>
                  <w:spacing w:after="0"/>
                  <w:ind w:right="1317"/>
                  <w:rPr>
                    <w:sz w:val="20"/>
                  </w:rPr>
                </w:pPr>
                <w:r>
                  <w:rPr>
                    <w:sz w:val="20"/>
                  </w:rPr>
                  <w:t>- réviser, du point de vue juridique et terminologique, des textes spécialisés relevant de son domaine de compétence et déjà traduits par les traducteurs du département ou par des traducteurs externes;</w:t>
                </w:r>
              </w:p>
              <w:p w14:paraId="0A3F5EFC" w14:textId="77777777" w:rsidR="00611A2D" w:rsidRPr="00A869EE" w:rsidRDefault="00611A2D" w:rsidP="00A408B8">
                <w:pPr>
                  <w:spacing w:after="0"/>
                  <w:ind w:right="1317"/>
                  <w:rPr>
                    <w:sz w:val="20"/>
                  </w:rPr>
                </w:pPr>
              </w:p>
            </w:tc>
          </w:tr>
          <w:tr w:rsidR="00611A2D" w:rsidRPr="00A869EE" w14:paraId="150C3237" w14:textId="77777777" w:rsidTr="00A408B8">
            <w:tc>
              <w:tcPr>
                <w:tcW w:w="8930" w:type="dxa"/>
                <w:tcBorders>
                  <w:right w:val="single" w:sz="4" w:space="0" w:color="auto"/>
                </w:tcBorders>
                <w:shd w:val="clear" w:color="auto" w:fill="auto"/>
              </w:tcPr>
              <w:p w14:paraId="6DD81C02" w14:textId="77777777" w:rsidR="00611A2D" w:rsidRDefault="00611A2D" w:rsidP="00A408B8">
                <w:pPr>
                  <w:spacing w:after="0"/>
                  <w:ind w:right="1317"/>
                  <w:rPr>
                    <w:sz w:val="20"/>
                  </w:rPr>
                </w:pPr>
                <w:r>
                  <w:rPr>
                    <w:sz w:val="20"/>
                  </w:rPr>
                  <w:t>- apporter une assistance et des conseils linguistiques et terminologiques aux traducteurs et aux terminologues du département de langue lettone en ce qui concerne la terminologie spécialisée relevant de son domaine de compétence;</w:t>
                </w:r>
              </w:p>
              <w:p w14:paraId="16B7678C" w14:textId="77777777" w:rsidR="00611A2D" w:rsidRPr="00A869EE" w:rsidRDefault="00611A2D" w:rsidP="00A408B8">
                <w:pPr>
                  <w:spacing w:after="0"/>
                  <w:ind w:right="1317"/>
                  <w:rPr>
                    <w:sz w:val="20"/>
                  </w:rPr>
                </w:pPr>
              </w:p>
            </w:tc>
          </w:tr>
          <w:tr w:rsidR="00611A2D" w:rsidRPr="00A869EE" w14:paraId="2BBDE66B" w14:textId="77777777" w:rsidTr="00A408B8">
            <w:tc>
              <w:tcPr>
                <w:tcW w:w="8930" w:type="dxa"/>
                <w:tcBorders>
                  <w:right w:val="single" w:sz="4" w:space="0" w:color="auto"/>
                </w:tcBorders>
                <w:shd w:val="clear" w:color="auto" w:fill="auto"/>
              </w:tcPr>
              <w:p w14:paraId="0FEF1EFB" w14:textId="77777777" w:rsidR="00611A2D" w:rsidRDefault="00611A2D" w:rsidP="00A408B8">
                <w:pPr>
                  <w:spacing w:after="0"/>
                  <w:ind w:right="1317"/>
                  <w:rPr>
                    <w:sz w:val="20"/>
                  </w:rPr>
                </w:pPr>
                <w:r>
                  <w:rPr>
                    <w:sz w:val="20"/>
                  </w:rPr>
                  <w:t>- effectuer des recherches terminologiques, extraire la terminologie relevée dans des sources fiables et en alimenter la base de données terminologiques IATE</w:t>
                </w:r>
                <w:r>
                  <w:t xml:space="preserve"> </w:t>
                </w:r>
                <w:r w:rsidRPr="00501E5F">
                  <w:rPr>
                    <w:sz w:val="20"/>
                  </w:rPr>
                  <w:t xml:space="preserve">et/ou dans les bases de données locales </w:t>
                </w:r>
                <w:r w:rsidRPr="0081796B">
                  <w:rPr>
                    <w:sz w:val="20"/>
                  </w:rPr>
                  <w:t>du département, en collaboration</w:t>
                </w:r>
                <w:r>
                  <w:rPr>
                    <w:sz w:val="20"/>
                  </w:rPr>
                  <w:t xml:space="preserve"> avec les terminologues du département;</w:t>
                </w:r>
              </w:p>
              <w:p w14:paraId="63844318" w14:textId="77777777" w:rsidR="00611A2D" w:rsidRDefault="00611A2D" w:rsidP="00A408B8">
                <w:pPr>
                  <w:spacing w:after="0"/>
                  <w:ind w:right="1317"/>
                  <w:rPr>
                    <w:sz w:val="20"/>
                  </w:rPr>
                </w:pPr>
              </w:p>
              <w:p w14:paraId="640EED99" w14:textId="77777777" w:rsidR="00611A2D" w:rsidRPr="00A869EE" w:rsidRDefault="00611A2D" w:rsidP="00A408B8">
                <w:pPr>
                  <w:spacing w:after="0"/>
                  <w:ind w:right="1317"/>
                  <w:rPr>
                    <w:sz w:val="20"/>
                  </w:rPr>
                </w:pPr>
                <w:r>
                  <w:rPr>
                    <w:sz w:val="20"/>
                  </w:rPr>
                  <w:t>- participer à des projets terminologiques thématiques et à des travaux de consolidation terminologique dont la coordination est centralisée;</w:t>
                </w:r>
              </w:p>
            </w:tc>
          </w:tr>
          <w:tr w:rsidR="00611A2D" w:rsidRPr="00A869EE" w14:paraId="5F2E94EC" w14:textId="77777777" w:rsidTr="00A408B8">
            <w:tc>
              <w:tcPr>
                <w:tcW w:w="8930" w:type="dxa"/>
                <w:tcBorders>
                  <w:right w:val="single" w:sz="4" w:space="0" w:color="auto"/>
                </w:tcBorders>
                <w:shd w:val="clear" w:color="auto" w:fill="auto"/>
              </w:tcPr>
              <w:p w14:paraId="2F3D5690" w14:textId="77777777" w:rsidR="00611A2D" w:rsidRPr="00A869EE" w:rsidRDefault="00611A2D" w:rsidP="00A408B8">
                <w:pPr>
                  <w:spacing w:after="0"/>
                  <w:ind w:right="1317"/>
                  <w:rPr>
                    <w:sz w:val="20"/>
                  </w:rPr>
                </w:pPr>
              </w:p>
            </w:tc>
          </w:tr>
          <w:tr w:rsidR="00611A2D" w:rsidRPr="00A869EE" w14:paraId="31674864" w14:textId="77777777" w:rsidTr="00A408B8">
            <w:tc>
              <w:tcPr>
                <w:tcW w:w="8930" w:type="dxa"/>
                <w:tcBorders>
                  <w:right w:val="single" w:sz="4" w:space="0" w:color="auto"/>
                </w:tcBorders>
                <w:shd w:val="clear" w:color="auto" w:fill="auto"/>
              </w:tcPr>
              <w:p w14:paraId="19140DEF" w14:textId="77777777" w:rsidR="00611A2D" w:rsidRPr="00A869EE" w:rsidRDefault="00611A2D" w:rsidP="00A408B8">
                <w:pPr>
                  <w:spacing w:after="0"/>
                  <w:ind w:right="1317"/>
                  <w:rPr>
                    <w:sz w:val="20"/>
                  </w:rPr>
                </w:pPr>
                <w:r>
                  <w:rPr>
                    <w:sz w:val="20"/>
                  </w:rPr>
                  <w:t>- établir et entretenir un réseau de contacts et assurer la liaison entre les institutions, autorités ou services de son pays d’origine et le département de langue lettone de la DGT.</w:t>
                </w:r>
              </w:p>
            </w:tc>
          </w:tr>
        </w:tbl>
        <w:p w14:paraId="3B1D2FA2" w14:textId="6250F181" w:rsidR="001A0074" w:rsidRPr="00080A71" w:rsidRDefault="006C1405"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tbl>
          <w:tblPr>
            <w:tblW w:w="8930" w:type="dxa"/>
            <w:tblLayout w:type="fixed"/>
            <w:tblLook w:val="01E0" w:firstRow="1" w:lastRow="1" w:firstColumn="1" w:lastColumn="1" w:noHBand="0" w:noVBand="0"/>
          </w:tblPr>
          <w:tblGrid>
            <w:gridCol w:w="8930"/>
          </w:tblGrid>
          <w:tr w:rsidR="00611A2D" w:rsidRPr="00BF6521" w14:paraId="30F90222" w14:textId="77777777" w:rsidTr="00611A2D">
            <w:tc>
              <w:tcPr>
                <w:tcW w:w="8930" w:type="dxa"/>
                <w:tcBorders>
                  <w:left w:val="nil"/>
                  <w:right w:val="single" w:sz="4" w:space="0" w:color="auto"/>
                </w:tcBorders>
                <w:shd w:val="clear" w:color="auto" w:fill="auto"/>
              </w:tcPr>
              <w:p w14:paraId="1FE18AF3" w14:textId="3F533CC4" w:rsidR="00611A2D" w:rsidRDefault="00611A2D" w:rsidP="00A408B8">
                <w:pPr>
                  <w:spacing w:after="0"/>
                  <w:ind w:right="1317"/>
                  <w:rPr>
                    <w:sz w:val="20"/>
                  </w:rPr>
                </w:pPr>
                <w:r>
                  <w:rPr>
                    <w:sz w:val="20"/>
                  </w:rPr>
                  <w:t>- Expérience professionnelle et spécialisation:</w:t>
                </w:r>
              </w:p>
              <w:p w14:paraId="2A9C4500" w14:textId="7A13940C" w:rsidR="00611A2D" w:rsidRDefault="00611A2D" w:rsidP="00A408B8">
                <w:pPr>
                  <w:spacing w:after="0"/>
                  <w:ind w:right="1317"/>
                  <w:rPr>
                    <w:sz w:val="20"/>
                  </w:rPr>
                </w:pPr>
                <w:r w:rsidRPr="00CA2E82">
                  <w:rPr>
                    <w:sz w:val="20"/>
                  </w:rPr>
                  <w:t xml:space="preserve">Une expérience professionnelle pertinente d’au moins </w:t>
                </w:r>
                <w:r>
                  <w:rPr>
                    <w:sz w:val="20"/>
                  </w:rPr>
                  <w:t>trois</w:t>
                </w:r>
                <w:r w:rsidRPr="00CA2E82">
                  <w:rPr>
                    <w:sz w:val="20"/>
                  </w:rPr>
                  <w:t xml:space="preserve"> ans dans le domaine de sa spécialisation (</w:t>
                </w:r>
                <w:r>
                  <w:rPr>
                    <w:sz w:val="20"/>
                  </w:rPr>
                  <w:t>juridique,</w:t>
                </w:r>
                <w:r w:rsidRPr="00CA2E82">
                  <w:rPr>
                    <w:sz w:val="20"/>
                  </w:rPr>
                  <w:t xml:space="preserve"> économique, financier, scientifique et/ou technique), de préférence au sein d’une </w:t>
                </w:r>
                <w:r w:rsidRPr="001B5C02">
                  <w:rPr>
                    <w:sz w:val="20"/>
                  </w:rPr>
                  <w:t>administration publique ou relevant du secteur public</w:t>
                </w:r>
                <w:r>
                  <w:rPr>
                    <w:sz w:val="20"/>
                  </w:rPr>
                  <w:t xml:space="preserve"> ou universitaire</w:t>
                </w:r>
                <w:r w:rsidRPr="00CA2E82">
                  <w:rPr>
                    <w:sz w:val="20"/>
                  </w:rPr>
                  <w:t xml:space="preserve">. </w:t>
                </w:r>
              </w:p>
              <w:p w14:paraId="480FD7BB" w14:textId="77777777" w:rsidR="00611A2D" w:rsidRDefault="00611A2D" w:rsidP="00A408B8">
                <w:pPr>
                  <w:spacing w:after="0"/>
                  <w:ind w:right="1317"/>
                  <w:rPr>
                    <w:sz w:val="20"/>
                  </w:rPr>
                </w:pPr>
              </w:p>
              <w:p w14:paraId="22D40CC2" w14:textId="77777777" w:rsidR="00611A2D" w:rsidRPr="00BF6521" w:rsidRDefault="00611A2D" w:rsidP="00A408B8">
                <w:pPr>
                  <w:spacing w:after="0"/>
                  <w:ind w:right="1317"/>
                  <w:rPr>
                    <w:sz w:val="20"/>
                  </w:rPr>
                </w:pPr>
                <w:r w:rsidRPr="00CA2E82">
                  <w:rPr>
                    <w:sz w:val="20"/>
                  </w:rPr>
                  <w:t xml:space="preserve">Les qualifications ou expériences suivantes seront privilégiées: </w:t>
                </w:r>
                <w:r>
                  <w:rPr>
                    <w:sz w:val="20"/>
                  </w:rPr>
                  <w:t xml:space="preserve"> </w:t>
                </w:r>
              </w:p>
              <w:p w14:paraId="4DD6C4C0" w14:textId="75513BE1" w:rsidR="00611A2D" w:rsidRDefault="00611A2D" w:rsidP="00611A2D">
                <w:pPr>
                  <w:spacing w:after="0"/>
                  <w:ind w:right="1317"/>
                  <w:rPr>
                    <w:sz w:val="20"/>
                    <w:lang w:eastAsia="en-GB"/>
                  </w:rPr>
                </w:pPr>
                <w:r>
                  <w:rPr>
                    <w:sz w:val="20"/>
                    <w:lang w:eastAsia="en-GB"/>
                  </w:rPr>
                  <w:t>Energie, environment, climat, technologie, science, finance</w:t>
                </w:r>
              </w:p>
              <w:p w14:paraId="3BFA3090" w14:textId="5D2E21E2" w:rsidR="00611A2D" w:rsidRPr="00BF6521" w:rsidRDefault="00611A2D" w:rsidP="00A408B8">
                <w:pPr>
                  <w:spacing w:after="0"/>
                  <w:ind w:right="1317"/>
                  <w:rPr>
                    <w:sz w:val="20"/>
                  </w:rPr>
                </w:pPr>
              </w:p>
              <w:p w14:paraId="0825E619" w14:textId="5109069E" w:rsidR="00611A2D" w:rsidRPr="00BF6521" w:rsidRDefault="00611A2D" w:rsidP="00A408B8">
                <w:pPr>
                  <w:spacing w:after="0"/>
                  <w:ind w:right="1317"/>
                  <w:rPr>
                    <w:sz w:val="20"/>
                  </w:rPr>
                </w:pPr>
                <w:r w:rsidRPr="00BF6521">
                  <w:rPr>
                    <w:sz w:val="20"/>
                  </w:rPr>
                  <w:t xml:space="preserve">Expérience en traduction et / ou la </w:t>
                </w:r>
                <w:r>
                  <w:rPr>
                    <w:sz w:val="20"/>
                  </w:rPr>
                  <w:t>terminologie</w:t>
                </w:r>
                <w:r w:rsidRPr="00BF6521">
                  <w:rPr>
                    <w:sz w:val="20"/>
                  </w:rPr>
                  <w:t xml:space="preserve"> </w:t>
                </w:r>
                <w:r>
                  <w:rPr>
                    <w:sz w:val="20"/>
                  </w:rPr>
                  <w:t>constitue un atout</w:t>
                </w:r>
              </w:p>
            </w:tc>
          </w:tr>
          <w:tr w:rsidR="00611A2D" w:rsidRPr="00A869EE" w14:paraId="60373FDA" w14:textId="77777777" w:rsidTr="00611A2D">
            <w:trPr>
              <w:trHeight w:val="95"/>
            </w:trPr>
            <w:tc>
              <w:tcPr>
                <w:tcW w:w="8930" w:type="dxa"/>
                <w:tcBorders>
                  <w:left w:val="nil"/>
                  <w:right w:val="single" w:sz="4" w:space="0" w:color="auto"/>
                </w:tcBorders>
                <w:shd w:val="clear" w:color="auto" w:fill="auto"/>
              </w:tcPr>
              <w:p w14:paraId="5BD39CE7" w14:textId="77777777" w:rsidR="00611A2D" w:rsidRPr="00A869EE" w:rsidRDefault="00611A2D" w:rsidP="00A408B8">
                <w:pPr>
                  <w:spacing w:after="0"/>
                  <w:ind w:right="1317"/>
                  <w:rPr>
                    <w:sz w:val="20"/>
                  </w:rPr>
                </w:pPr>
              </w:p>
            </w:tc>
          </w:tr>
          <w:tr w:rsidR="00611A2D" w:rsidRPr="00A869EE" w14:paraId="5572A01C" w14:textId="77777777" w:rsidTr="00611A2D">
            <w:trPr>
              <w:trHeight w:val="95"/>
            </w:trPr>
            <w:tc>
              <w:tcPr>
                <w:tcW w:w="8930" w:type="dxa"/>
                <w:tcBorders>
                  <w:left w:val="nil"/>
                  <w:right w:val="single" w:sz="4" w:space="0" w:color="auto"/>
                </w:tcBorders>
                <w:shd w:val="clear" w:color="auto" w:fill="auto"/>
              </w:tcPr>
              <w:p w14:paraId="42998AA7" w14:textId="77777777" w:rsidR="00611A2D" w:rsidRPr="00A869EE" w:rsidRDefault="00611A2D" w:rsidP="00A408B8">
                <w:pPr>
                  <w:spacing w:after="0"/>
                  <w:ind w:right="1317"/>
                  <w:rPr>
                    <w:sz w:val="20"/>
                  </w:rPr>
                </w:pPr>
                <w:r>
                  <w:rPr>
                    <w:sz w:val="20"/>
                  </w:rPr>
                  <w:t xml:space="preserve">- Langue(s) nécessaire(s) pour l'accomplissement des tâches: </w:t>
                </w:r>
              </w:p>
              <w:p w14:paraId="1768F732" w14:textId="77777777" w:rsidR="00611A2D" w:rsidRPr="00A869EE" w:rsidRDefault="00611A2D" w:rsidP="00A408B8">
                <w:pPr>
                  <w:spacing w:after="0"/>
                  <w:ind w:right="1317"/>
                  <w:rPr>
                    <w:sz w:val="20"/>
                  </w:rPr>
                </w:pPr>
              </w:p>
              <w:p w14:paraId="30DFFA6E" w14:textId="77777777" w:rsidR="00611A2D" w:rsidRPr="00A869EE" w:rsidRDefault="00611A2D" w:rsidP="00611A2D">
                <w:pPr>
                  <w:numPr>
                    <w:ilvl w:val="0"/>
                    <w:numId w:val="26"/>
                  </w:numPr>
                  <w:spacing w:after="0"/>
                  <w:ind w:right="1317"/>
                  <w:rPr>
                    <w:sz w:val="20"/>
                  </w:rPr>
                </w:pPr>
                <w:r>
                  <w:rPr>
                    <w:sz w:val="20"/>
                  </w:rPr>
                  <w:t>parfaite maîtrise du letton, tant à l'écrit qu'à l'oral;</w:t>
                </w:r>
              </w:p>
              <w:p w14:paraId="1B970975" w14:textId="77777777" w:rsidR="00611A2D" w:rsidRPr="00A869EE" w:rsidRDefault="00611A2D" w:rsidP="00611A2D">
                <w:pPr>
                  <w:numPr>
                    <w:ilvl w:val="0"/>
                    <w:numId w:val="26"/>
                  </w:numPr>
                  <w:spacing w:after="0"/>
                  <w:ind w:right="1317"/>
                  <w:rPr>
                    <w:sz w:val="20"/>
                  </w:rPr>
                </w:pPr>
                <w:r>
                  <w:rPr>
                    <w:sz w:val="20"/>
                  </w:rPr>
                  <w:t>très bonne connaissance de l’anglais, du français ou de l'allemand;</w:t>
                </w:r>
              </w:p>
              <w:p w14:paraId="0C528986" w14:textId="77777777" w:rsidR="00611A2D" w:rsidRPr="00A869EE" w:rsidRDefault="00611A2D" w:rsidP="00611A2D">
                <w:pPr>
                  <w:numPr>
                    <w:ilvl w:val="0"/>
                    <w:numId w:val="26"/>
                  </w:numPr>
                  <w:spacing w:after="0"/>
                  <w:ind w:right="1317"/>
                  <w:rPr>
                    <w:sz w:val="20"/>
                  </w:rPr>
                </w:pPr>
                <w:r>
                  <w:rPr>
                    <w:sz w:val="20"/>
                  </w:rPr>
                  <w:t>la connaissance d’autres langues de l’UE constitue un atout.</w:t>
                </w:r>
              </w:p>
            </w:tc>
          </w:tr>
        </w:tbl>
        <w:p w14:paraId="7E409EA7" w14:textId="35B0036D" w:rsidR="001A0074" w:rsidRPr="00017FBA" w:rsidRDefault="006C1405"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D0A5B72"/>
    <w:multiLevelType w:val="hybridMultilevel"/>
    <w:tmpl w:val="C52E2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27941087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F4E03"/>
    <w:rsid w:val="00611A2D"/>
    <w:rsid w:val="006A1CB2"/>
    <w:rsid w:val="006B47B6"/>
    <w:rsid w:val="006C1405"/>
    <w:rsid w:val="006C54DE"/>
    <w:rsid w:val="006F23BA"/>
    <w:rsid w:val="0074301E"/>
    <w:rsid w:val="007A10AA"/>
    <w:rsid w:val="007A1396"/>
    <w:rsid w:val="007B5FAE"/>
    <w:rsid w:val="007E131B"/>
    <w:rsid w:val="007E4F35"/>
    <w:rsid w:val="008241B0"/>
    <w:rsid w:val="008315CD"/>
    <w:rsid w:val="00866E7F"/>
    <w:rsid w:val="008A0FF3"/>
    <w:rsid w:val="0092295D"/>
    <w:rsid w:val="00A37DDD"/>
    <w:rsid w:val="00A65B97"/>
    <w:rsid w:val="00A917BE"/>
    <w:rsid w:val="00B31DC8"/>
    <w:rsid w:val="00B566C1"/>
    <w:rsid w:val="00BA4998"/>
    <w:rsid w:val="00BF389A"/>
    <w:rsid w:val="00C518F5"/>
    <w:rsid w:val="00D703FC"/>
    <w:rsid w:val="00D82B48"/>
    <w:rsid w:val="00DC5C83"/>
    <w:rsid w:val="00E0579E"/>
    <w:rsid w:val="00E5708E"/>
    <w:rsid w:val="00E850B7"/>
    <w:rsid w:val="00E927FE"/>
    <w:rsid w:val="00F62F0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16865023">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45F5614"/>
    <w:multiLevelType w:val="multilevel"/>
    <w:tmpl w:val="02FE10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94546017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51B08"/>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51B08"/>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dcmitype/"/>
    <ds:schemaRef ds:uri="http://schemas.microsoft.com/office/infopath/2007/PartnerControls"/>
    <ds:schemaRef ds:uri="1929b814-5a78-4bdc-9841-d8b9ef424f65"/>
    <ds:schemaRef ds:uri="08927195-b699-4be0-9ee2-6c66dc215b5a"/>
    <ds:schemaRef ds:uri="a41a97bf-0494-41d8-ba3d-259bd7771890"/>
    <ds:schemaRef ds:uri="http://schemas.microsoft.com/sharepoint/v3/fields"/>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1215</Words>
  <Characters>6927</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2024-07-10T12:58:00Z</dcterms:created>
  <dcterms:modified xsi:type="dcterms:W3CDTF">2024-07-11T14:02:00Z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