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4E11C6">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4E11C6">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4E11C6">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4E11C6">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4E11C6">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4E11C6"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692AD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tc>
          <w:tcPr>
            <w:tcW w:w="5491" w:type="dxa"/>
          </w:tcPr>
          <w:p w14:paraId="2AA4F572" w14:textId="16322BEE" w:rsidR="00377580" w:rsidRPr="00692AD7" w:rsidRDefault="004E11C6" w:rsidP="005F6927">
            <w:pPr>
              <w:tabs>
                <w:tab w:val="left" w:pos="426"/>
              </w:tabs>
              <w:rPr>
                <w:bCs/>
                <w:lang w:val="fr-BE" w:eastAsia="en-GB"/>
              </w:rPr>
            </w:pPr>
            <w:sdt>
              <w:sdtPr>
                <w:rPr>
                  <w:bCs/>
                  <w:lang w:val="fr-BE" w:eastAsia="en-GB"/>
                </w:rPr>
                <w:id w:val="1693032537"/>
                <w:placeholder>
                  <w:docPart w:val="3EA8CF6EEFEA4E0A8C856271A54D6DC1"/>
                </w:placeholder>
              </w:sdtPr>
              <w:sdtEndPr/>
              <w:sdtContent>
                <w:r w:rsidR="00692AD7">
                  <w:rPr>
                    <w:bCs/>
                    <w:lang w:val="fr-BE" w:eastAsia="en-GB"/>
                  </w:rPr>
                  <w:t>DIGIT-B-1 – Data, Intelligence Artificielle et services Web</w:t>
                </w:r>
              </w:sdtContent>
            </w:sdt>
            <w:r w:rsidR="00692AD7">
              <w:rPr>
                <w:bCs/>
                <w:lang w:val="fr-BE" w:eastAsia="en-GB"/>
              </w:rPr>
              <w:t>.</w:t>
            </w:r>
          </w:p>
        </w:tc>
      </w:tr>
      <w:tr w:rsidR="00377580" w:rsidRPr="00574805"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52220392"/>
                <w:placeholder>
                  <w:docPart w:val="671642EA0E0D44FD927E439661D4740F"/>
                </w:placeholder>
              </w:sdtPr>
              <w:sdtEndPr>
                <w:rPr>
                  <w:lang w:val="en-IE"/>
                </w:rPr>
              </w:sdtEndPr>
              <w:sdtContent>
                <w:tc>
                  <w:tcPr>
                    <w:tcW w:w="5491" w:type="dxa"/>
                  </w:tcPr>
                  <w:p w14:paraId="51C87C16" w14:textId="77A37FE5" w:rsidR="00377580" w:rsidRPr="00080A71" w:rsidRDefault="00B970D8" w:rsidP="005F6927">
                    <w:pPr>
                      <w:tabs>
                        <w:tab w:val="left" w:pos="426"/>
                      </w:tabs>
                      <w:rPr>
                        <w:bCs/>
                        <w:lang w:val="en-IE" w:eastAsia="en-GB"/>
                      </w:rPr>
                    </w:pPr>
                    <w:r w:rsidRPr="002B0B18">
                      <w:rPr>
                        <w:bCs/>
                        <w:lang w:val="en-IE" w:eastAsia="en-GB"/>
                      </w:rPr>
                      <w:t>288740</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2028215992"/>
                  <w:placeholder>
                    <w:docPart w:val="D002A04B4A0446AA9D0C8009B18CF165"/>
                  </w:placeholder>
                </w:sdtPr>
                <w:sdtEndPr/>
                <w:sdtContent>
                  <w:p w14:paraId="63736F45" w14:textId="77777777" w:rsidR="00B970D8" w:rsidRPr="003E4CB7" w:rsidRDefault="00B970D8" w:rsidP="00B970D8">
                    <w:pPr>
                      <w:tabs>
                        <w:tab w:val="left" w:pos="426"/>
                      </w:tabs>
                      <w:spacing w:before="120"/>
                      <w:rPr>
                        <w:bCs/>
                        <w:lang w:eastAsia="en-GB"/>
                      </w:rPr>
                    </w:pPr>
                    <w:r w:rsidRPr="003E4CB7">
                      <w:rPr>
                        <w:bCs/>
                        <w:lang w:eastAsia="en-GB"/>
                      </w:rPr>
                      <w:t>DIEZ PEREZ Esther</w:t>
                    </w:r>
                  </w:p>
                </w:sdtContent>
              </w:sdt>
              <w:p w14:paraId="369CA7C8" w14:textId="5E809609" w:rsidR="00377580" w:rsidRPr="00080A71" w:rsidRDefault="004E11C6" w:rsidP="005F6927">
                <w:pPr>
                  <w:tabs>
                    <w:tab w:val="left" w:pos="426"/>
                  </w:tabs>
                  <w:rPr>
                    <w:bCs/>
                    <w:lang w:val="en-IE" w:eastAsia="en-GB"/>
                  </w:rPr>
                </w:pPr>
              </w:p>
            </w:sdtContent>
          </w:sdt>
          <w:p w14:paraId="32DD8032" w14:textId="1F89528D" w:rsidR="00377580" w:rsidRPr="001D3EEC" w:rsidRDefault="004E11C6"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B970D8">
                  <w:rPr>
                    <w:bCs/>
                    <w:lang w:val="fr-BE" w:eastAsia="en-GB"/>
                  </w:rPr>
                  <w:t>Q3</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B566C1">
                      <w:rPr>
                        <w:bCs/>
                        <w:lang w:val="en-IE" w:eastAsia="en-GB"/>
                      </w:rPr>
                      <w:t>2023</w:t>
                    </w:r>
                  </w:sdtContent>
                </w:sdt>
              </w:sdtContent>
            </w:sdt>
            <w:r w:rsidR="00377580" w:rsidRPr="001D3EEC">
              <w:rPr>
                <w:bCs/>
                <w:lang w:val="fr-BE" w:eastAsia="en-GB"/>
              </w:rPr>
              <w:t xml:space="preserve"> </w:t>
            </w:r>
          </w:p>
          <w:p w14:paraId="768BBE26" w14:textId="094AFA42" w:rsidR="00377580" w:rsidRPr="001D3EEC" w:rsidRDefault="004E11C6"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B970D8">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B970D8">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3C7C52F4"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08pt;height:21.75pt" o:ole="">
                  <v:imagedata r:id="rId14" o:title=""/>
                </v:shape>
                <w:control r:id="rId15" w:name="OptionButton6" w:shapeid="_x0000_i1039"/>
              </w:object>
            </w:r>
            <w:r>
              <w:rPr>
                <w:bCs/>
                <w:lang w:val="en-GB" w:eastAsia="en-GB"/>
              </w:rPr>
              <w:object w:dxaOrig="225" w:dyaOrig="225" w14:anchorId="70119E70">
                <v:shape id="_x0000_i1042" type="#_x0000_t75" style="width:108pt;height:21.75pt" o:ole="">
                  <v:imagedata r:id="rId16" o:title=""/>
                </v:shape>
                <w:control r:id="rId17" w:name="OptionButton7" w:shapeid="_x0000_i1042"/>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7B5F8737"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5" type="#_x0000_t75" style="width:171pt;height:21.75pt" o:ole="">
                  <v:imagedata r:id="rId18" o:title=""/>
                </v:shape>
                <w:control r:id="rId19" w:name="OptionButton41" w:shapeid="_x0000_i1045"/>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4E11C6"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4E11C6"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4E11C6"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7882407B"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8" type="#_x0000_t75" style="width:320.25pt;height:21.75pt" o:ole="">
                  <v:imagedata r:id="rId20" o:title=""/>
                </v:shape>
                <w:control r:id="rId21" w:name="OptionButton5" w:shapeid="_x0000_i1048"/>
              </w:object>
            </w:r>
          </w:p>
        </w:tc>
      </w:tr>
      <w:tr w:rsidR="00E850B7" w:rsidRPr="00574805"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7631A1B1"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51" type="#_x0000_t75" style="width:108pt;height:21.75pt" o:ole="">
                  <v:imagedata r:id="rId22" o:title=""/>
                </v:shape>
                <w:control r:id="rId23" w:name="OptionButton2" w:shapeid="_x0000_i1051"/>
              </w:object>
            </w:r>
            <w:r>
              <w:rPr>
                <w:bCs/>
                <w:lang w:val="en-GB" w:eastAsia="en-GB"/>
              </w:rPr>
              <w:object w:dxaOrig="225" w:dyaOrig="225" w14:anchorId="7A15FAEE">
                <v:shape id="_x0000_i1054" type="#_x0000_t75" style="width:108pt;height:21.75pt" o:ole="">
                  <v:imagedata r:id="rId24" o:title=""/>
                </v:shape>
                <w:control r:id="rId25" w:name="OptionButton1" w:shapeid="_x0000_i1054"/>
              </w:object>
            </w:r>
          </w:p>
          <w:p w14:paraId="63DD2FA8" w14:textId="0DB3CE16"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7-25T00:00:00Z">
                  <w:dateFormat w:val="dd-MM-yyyy"/>
                  <w:lid w:val="fr-BE"/>
                  <w:storeMappedDataAs w:val="dateTime"/>
                  <w:calendar w:val="gregorian"/>
                </w:date>
              </w:sdtPr>
              <w:sdtEndPr/>
              <w:sdtContent>
                <w:r w:rsidR="00B970D8">
                  <w:rPr>
                    <w:bCs/>
                    <w:lang w:val="fr-BE" w:eastAsia="en-GB"/>
                  </w:rPr>
                  <w:t>25-07-2024</w:t>
                </w:r>
              </w:sdtContent>
            </w:sdt>
          </w:p>
        </w:tc>
      </w:tr>
    </w:tbl>
    <w:p w14:paraId="64E3B7F7" w14:textId="4ACBF2E8" w:rsidR="00E850B7" w:rsidRPr="00BF389A" w:rsidRDefault="00E850B7" w:rsidP="00377580">
      <w:pPr>
        <w:rPr>
          <w:b/>
          <w:bCs/>
          <w:lang w:val="en-IE" w:eastAsia="en-GB"/>
        </w:rPr>
      </w:pPr>
    </w:p>
    <w:p w14:paraId="18140A21" w14:textId="29B05C60" w:rsidR="001A0074" w:rsidRPr="000A57F7" w:rsidRDefault="00B31DC8" w:rsidP="000A57F7">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p w14:paraId="13EAF9A6" w14:textId="305762DA" w:rsidR="00692AD7" w:rsidRPr="00692AD7" w:rsidRDefault="00692AD7" w:rsidP="00692AD7">
      <w:pPr>
        <w:rPr>
          <w:szCs w:val="24"/>
          <w:lang w:val="fr-BE" w:eastAsia="en-GB"/>
        </w:rPr>
      </w:pPr>
      <w:r w:rsidRPr="00692AD7">
        <w:rPr>
          <w:szCs w:val="24"/>
          <w:lang w:val="fr-BE" w:eastAsia="en-GB"/>
        </w:rPr>
        <w:t xml:space="preserve">La mission du secteur « Digit B1.001 – Politique des données, de l'IA et de l'innovation » est de couvrir les besoins </w:t>
      </w:r>
      <w:r>
        <w:rPr>
          <w:szCs w:val="24"/>
          <w:lang w:val="fr-BE" w:eastAsia="en-GB"/>
        </w:rPr>
        <w:t>réglementaires</w:t>
      </w:r>
      <w:r w:rsidRPr="00692AD7">
        <w:rPr>
          <w:szCs w:val="24"/>
          <w:lang w:val="fr-BE" w:eastAsia="en-GB"/>
        </w:rPr>
        <w:t xml:space="preserve"> de </w:t>
      </w:r>
      <w:r>
        <w:rPr>
          <w:szCs w:val="24"/>
          <w:lang w:val="fr-BE" w:eastAsia="en-GB"/>
        </w:rPr>
        <w:t>la commission</w:t>
      </w:r>
      <w:r w:rsidRPr="00692AD7">
        <w:rPr>
          <w:szCs w:val="24"/>
          <w:lang w:val="fr-BE" w:eastAsia="en-GB"/>
        </w:rPr>
        <w:t xml:space="preserve"> dans les domaines des données, de l'IA et de l'innovation grâce à des services numériques pertinents.</w:t>
      </w:r>
    </w:p>
    <w:p w14:paraId="13DA0D5E" w14:textId="77777777" w:rsidR="00692AD7" w:rsidRPr="000A57F7" w:rsidRDefault="00692AD7" w:rsidP="00692AD7">
      <w:pPr>
        <w:rPr>
          <w:szCs w:val="24"/>
          <w:lang w:val="fr-BE" w:eastAsia="en-GB"/>
        </w:rPr>
      </w:pPr>
      <w:r w:rsidRPr="000A57F7">
        <w:rPr>
          <w:szCs w:val="24"/>
          <w:lang w:val="fr-BE" w:eastAsia="en-GB"/>
        </w:rPr>
        <w:lastRenderedPageBreak/>
        <w:t>Les activités du secteur dans les domaines de la politique des données, de l'intelligence artificielle et de l'innovation contribuent à :</w:t>
      </w:r>
    </w:p>
    <w:p w14:paraId="57A276D0" w14:textId="6B51103C" w:rsidR="00692AD7" w:rsidRPr="000A57F7" w:rsidRDefault="00D00379" w:rsidP="000A57F7">
      <w:pPr>
        <w:pStyle w:val="ListParagraph"/>
        <w:numPr>
          <w:ilvl w:val="0"/>
          <w:numId w:val="34"/>
        </w:numPr>
        <w:rPr>
          <w:rFonts w:ascii="Times New Roman" w:hAnsi="Times New Roman" w:cs="Times New Roman"/>
          <w:sz w:val="24"/>
          <w:szCs w:val="24"/>
          <w:lang w:eastAsia="en-GB"/>
        </w:rPr>
      </w:pPr>
      <w:r w:rsidRPr="000A57F7">
        <w:rPr>
          <w:rFonts w:ascii="Times New Roman" w:hAnsi="Times New Roman" w:cs="Times New Roman"/>
          <w:sz w:val="24"/>
          <w:szCs w:val="24"/>
          <w:lang w:eastAsia="en-GB"/>
        </w:rPr>
        <w:t>La</w:t>
      </w:r>
      <w:r w:rsidR="00692AD7" w:rsidRPr="000A57F7">
        <w:rPr>
          <w:rFonts w:ascii="Times New Roman" w:hAnsi="Times New Roman" w:cs="Times New Roman"/>
          <w:sz w:val="24"/>
          <w:szCs w:val="24"/>
          <w:lang w:eastAsia="en-GB"/>
        </w:rPr>
        <w:t xml:space="preserve"> réalisation</w:t>
      </w:r>
      <w:r w:rsidR="000A57F7">
        <w:rPr>
          <w:rFonts w:ascii="Times New Roman" w:hAnsi="Times New Roman" w:cs="Times New Roman"/>
          <w:sz w:val="24"/>
          <w:szCs w:val="24"/>
          <w:lang w:eastAsia="en-GB"/>
        </w:rPr>
        <w:t xml:space="preserve"> de la</w:t>
      </w:r>
      <w:r w:rsidR="00692AD7" w:rsidRPr="000A57F7">
        <w:rPr>
          <w:rFonts w:ascii="Times New Roman" w:hAnsi="Times New Roman" w:cs="Times New Roman"/>
          <w:sz w:val="24"/>
          <w:szCs w:val="24"/>
          <w:lang w:eastAsia="en-GB"/>
        </w:rPr>
        <w:t xml:space="preserve"> Stratégie Numérique de la Commission Européenne (ECDS, </w:t>
      </w:r>
      <w:r w:rsidR="00692AD7" w:rsidRPr="000A57F7">
        <w:rPr>
          <w:rFonts w:ascii="Times New Roman" w:hAnsi="Times New Roman" w:cs="Times New Roman"/>
          <w:i/>
          <w:iCs/>
          <w:sz w:val="24"/>
          <w:szCs w:val="24"/>
          <w:lang w:eastAsia="en-GB"/>
        </w:rPr>
        <w:t>European Commission Digital Strategy</w:t>
      </w:r>
      <w:r w:rsidR="00692AD7" w:rsidRPr="000A57F7">
        <w:rPr>
          <w:rFonts w:ascii="Times New Roman" w:hAnsi="Times New Roman" w:cs="Times New Roman"/>
          <w:sz w:val="24"/>
          <w:szCs w:val="24"/>
          <w:lang w:eastAsia="en-GB"/>
        </w:rPr>
        <w:t>) ;</w:t>
      </w:r>
    </w:p>
    <w:p w14:paraId="7159E084" w14:textId="150CC00A" w:rsidR="00692AD7" w:rsidRPr="000A57F7" w:rsidRDefault="00D00379" w:rsidP="000A57F7">
      <w:pPr>
        <w:pStyle w:val="ListParagraph"/>
        <w:numPr>
          <w:ilvl w:val="0"/>
          <w:numId w:val="34"/>
        </w:numPr>
        <w:rPr>
          <w:rFonts w:ascii="Times New Roman" w:hAnsi="Times New Roman" w:cs="Times New Roman"/>
          <w:sz w:val="24"/>
          <w:szCs w:val="24"/>
          <w:lang w:eastAsia="en-GB"/>
        </w:rPr>
      </w:pPr>
      <w:r w:rsidRPr="000A57F7">
        <w:rPr>
          <w:rFonts w:ascii="Times New Roman" w:hAnsi="Times New Roman" w:cs="Times New Roman"/>
          <w:sz w:val="24"/>
          <w:szCs w:val="24"/>
          <w:lang w:eastAsia="en-GB"/>
        </w:rPr>
        <w:t>La</w:t>
      </w:r>
      <w:r w:rsidR="00692AD7" w:rsidRPr="000A57F7">
        <w:rPr>
          <w:rFonts w:ascii="Times New Roman" w:hAnsi="Times New Roman" w:cs="Times New Roman"/>
          <w:sz w:val="24"/>
          <w:szCs w:val="24"/>
          <w:lang w:eastAsia="en-GB"/>
        </w:rPr>
        <w:t xml:space="preserve"> réalisation des objectifs à l’échelle de l’organisation dans les domaines des données, de l'intelligence artificielle et de l'innovation numérique ;</w:t>
      </w:r>
    </w:p>
    <w:p w14:paraId="38782361" w14:textId="3E34AC53" w:rsidR="00692AD7" w:rsidRPr="000A57F7" w:rsidRDefault="00D00379" w:rsidP="000A57F7">
      <w:pPr>
        <w:pStyle w:val="ListParagraph"/>
        <w:numPr>
          <w:ilvl w:val="0"/>
          <w:numId w:val="34"/>
        </w:numPr>
        <w:rPr>
          <w:rFonts w:ascii="Times New Roman" w:hAnsi="Times New Roman" w:cs="Times New Roman"/>
          <w:sz w:val="24"/>
          <w:szCs w:val="24"/>
          <w:lang w:eastAsia="en-GB"/>
        </w:rPr>
      </w:pPr>
      <w:r w:rsidRPr="000A57F7">
        <w:rPr>
          <w:rFonts w:ascii="Times New Roman" w:hAnsi="Times New Roman" w:cs="Times New Roman"/>
          <w:sz w:val="24"/>
          <w:szCs w:val="24"/>
          <w:lang w:eastAsia="en-GB"/>
        </w:rPr>
        <w:t>Et</w:t>
      </w:r>
      <w:r w:rsidR="00692AD7" w:rsidRPr="000A57F7">
        <w:rPr>
          <w:rFonts w:ascii="Times New Roman" w:hAnsi="Times New Roman" w:cs="Times New Roman"/>
          <w:sz w:val="24"/>
          <w:szCs w:val="24"/>
          <w:lang w:eastAsia="en-GB"/>
        </w:rPr>
        <w:t xml:space="preserve"> à la réalisation des objectifs spécifiques du plan stratégique de </w:t>
      </w:r>
      <w:r w:rsidRPr="000A57F7">
        <w:rPr>
          <w:rFonts w:ascii="Times New Roman" w:hAnsi="Times New Roman" w:cs="Times New Roman"/>
          <w:sz w:val="24"/>
          <w:szCs w:val="24"/>
          <w:lang w:eastAsia="en-GB"/>
        </w:rPr>
        <w:t>DIGIT</w:t>
      </w:r>
      <w:r w:rsidR="00692AD7" w:rsidRPr="000A57F7">
        <w:rPr>
          <w:rFonts w:ascii="Times New Roman" w:hAnsi="Times New Roman" w:cs="Times New Roman"/>
          <w:sz w:val="24"/>
          <w:szCs w:val="24"/>
          <w:lang w:eastAsia="en-GB"/>
        </w:rPr>
        <w:t>.</w:t>
      </w:r>
    </w:p>
    <w:p w14:paraId="73F2246A" w14:textId="77777777" w:rsidR="00692AD7" w:rsidRPr="000A57F7" w:rsidRDefault="00692AD7" w:rsidP="00692AD7">
      <w:pPr>
        <w:rPr>
          <w:szCs w:val="24"/>
          <w:lang w:val="fr-BE" w:eastAsia="en-GB"/>
        </w:rPr>
      </w:pPr>
      <w:r w:rsidRPr="000A57F7">
        <w:rPr>
          <w:szCs w:val="24"/>
          <w:lang w:val="fr-BE" w:eastAsia="en-GB"/>
        </w:rPr>
        <w:t>Le portefeuille de services offerts par le secteur Digit B1.001 comprend :</w:t>
      </w:r>
    </w:p>
    <w:p w14:paraId="2B6BF118" w14:textId="3DDE7DEA" w:rsidR="00692AD7" w:rsidRPr="000A57F7" w:rsidRDefault="00692AD7" w:rsidP="000A57F7">
      <w:pPr>
        <w:pStyle w:val="ListParagraph"/>
        <w:numPr>
          <w:ilvl w:val="0"/>
          <w:numId w:val="33"/>
        </w:numPr>
        <w:rPr>
          <w:rFonts w:ascii="Times New Roman" w:hAnsi="Times New Roman" w:cs="Times New Roman"/>
          <w:sz w:val="24"/>
          <w:szCs w:val="24"/>
          <w:lang w:eastAsia="en-GB"/>
        </w:rPr>
      </w:pPr>
      <w:r w:rsidRPr="000A57F7">
        <w:rPr>
          <w:rFonts w:ascii="Times New Roman" w:hAnsi="Times New Roman" w:cs="Times New Roman"/>
          <w:sz w:val="24"/>
          <w:szCs w:val="24"/>
          <w:lang w:eastAsia="en-GB"/>
        </w:rPr>
        <w:t>Des services de soutien à la gouvernance, au risque et à la conformité des données (Data GRC</w:t>
      </w:r>
      <w:r w:rsidR="00D00379" w:rsidRPr="000A57F7">
        <w:rPr>
          <w:rFonts w:ascii="Times New Roman" w:hAnsi="Times New Roman" w:cs="Times New Roman"/>
          <w:sz w:val="24"/>
          <w:szCs w:val="24"/>
          <w:lang w:eastAsia="en-GB"/>
        </w:rPr>
        <w:t xml:space="preserve">, </w:t>
      </w:r>
      <w:r w:rsidR="00D00379" w:rsidRPr="000A57F7">
        <w:rPr>
          <w:rFonts w:ascii="Times New Roman" w:hAnsi="Times New Roman" w:cs="Times New Roman"/>
          <w:i/>
          <w:iCs/>
          <w:sz w:val="24"/>
          <w:szCs w:val="24"/>
          <w:lang w:eastAsia="en-GB"/>
        </w:rPr>
        <w:t>Data Governance Risk and Compliance</w:t>
      </w:r>
      <w:r w:rsidRPr="000A57F7">
        <w:rPr>
          <w:rFonts w:ascii="Times New Roman" w:hAnsi="Times New Roman" w:cs="Times New Roman"/>
          <w:sz w:val="24"/>
          <w:szCs w:val="24"/>
          <w:lang w:eastAsia="en-GB"/>
        </w:rPr>
        <w:t>) ;</w:t>
      </w:r>
    </w:p>
    <w:p w14:paraId="670CDF7D" w14:textId="464638E4" w:rsidR="00692AD7" w:rsidRPr="000A57F7" w:rsidRDefault="00692AD7" w:rsidP="000A57F7">
      <w:pPr>
        <w:pStyle w:val="ListParagraph"/>
        <w:numPr>
          <w:ilvl w:val="0"/>
          <w:numId w:val="33"/>
        </w:numPr>
        <w:rPr>
          <w:rFonts w:ascii="Times New Roman" w:hAnsi="Times New Roman" w:cs="Times New Roman"/>
          <w:sz w:val="24"/>
          <w:szCs w:val="24"/>
          <w:lang w:eastAsia="en-GB"/>
        </w:rPr>
      </w:pPr>
      <w:r w:rsidRPr="000A57F7">
        <w:rPr>
          <w:rFonts w:ascii="Times New Roman" w:hAnsi="Times New Roman" w:cs="Times New Roman"/>
          <w:sz w:val="24"/>
          <w:szCs w:val="24"/>
          <w:lang w:eastAsia="en-GB"/>
        </w:rPr>
        <w:t>Des services de soutien à la gouvernance, au risque et à la conformité de l'IA (AI GRC) ;</w:t>
      </w:r>
    </w:p>
    <w:p w14:paraId="73E699F8" w14:textId="4E215788" w:rsidR="00692AD7" w:rsidRPr="000A57F7" w:rsidRDefault="00692AD7" w:rsidP="000A57F7">
      <w:pPr>
        <w:pStyle w:val="ListParagraph"/>
        <w:numPr>
          <w:ilvl w:val="0"/>
          <w:numId w:val="33"/>
        </w:numPr>
        <w:rPr>
          <w:rFonts w:ascii="Times New Roman" w:hAnsi="Times New Roman" w:cs="Times New Roman"/>
          <w:sz w:val="24"/>
          <w:szCs w:val="24"/>
          <w:lang w:eastAsia="en-GB"/>
        </w:rPr>
      </w:pPr>
      <w:r w:rsidRPr="000A57F7">
        <w:rPr>
          <w:rFonts w:ascii="Times New Roman" w:hAnsi="Times New Roman" w:cs="Times New Roman"/>
          <w:sz w:val="24"/>
          <w:szCs w:val="24"/>
          <w:lang w:eastAsia="en-GB"/>
        </w:rPr>
        <w:t>Des services de soutien à l'innovation numérique ; et</w:t>
      </w:r>
    </w:p>
    <w:p w14:paraId="70ADBDF2" w14:textId="2168D12B" w:rsidR="00692AD7" w:rsidRPr="000A57F7" w:rsidRDefault="00692AD7" w:rsidP="000A57F7">
      <w:pPr>
        <w:pStyle w:val="ListParagraph"/>
        <w:numPr>
          <w:ilvl w:val="0"/>
          <w:numId w:val="33"/>
        </w:numPr>
        <w:rPr>
          <w:rFonts w:ascii="Times New Roman" w:hAnsi="Times New Roman" w:cs="Times New Roman"/>
          <w:sz w:val="24"/>
          <w:szCs w:val="24"/>
          <w:lang w:eastAsia="en-GB"/>
        </w:rPr>
      </w:pPr>
      <w:r w:rsidRPr="000A57F7">
        <w:rPr>
          <w:rFonts w:ascii="Times New Roman" w:hAnsi="Times New Roman" w:cs="Times New Roman"/>
          <w:sz w:val="24"/>
          <w:szCs w:val="24"/>
          <w:lang w:eastAsia="en-GB"/>
        </w:rPr>
        <w:t xml:space="preserve">Des services de </w:t>
      </w:r>
      <w:r w:rsidR="00D00379" w:rsidRPr="000A57F7">
        <w:rPr>
          <w:rFonts w:ascii="Times New Roman" w:hAnsi="Times New Roman" w:cs="Times New Roman"/>
          <w:sz w:val="24"/>
          <w:szCs w:val="24"/>
          <w:lang w:eastAsia="en-GB"/>
        </w:rPr>
        <w:t xml:space="preserve">soutien pour réglementer </w:t>
      </w:r>
      <w:r w:rsidRPr="000A57F7">
        <w:rPr>
          <w:rFonts w:ascii="Times New Roman" w:hAnsi="Times New Roman" w:cs="Times New Roman"/>
          <w:sz w:val="24"/>
          <w:szCs w:val="24"/>
          <w:lang w:eastAsia="en-GB"/>
        </w:rPr>
        <w:t>l'IA (</w:t>
      </w:r>
      <w:r w:rsidRPr="000A57F7">
        <w:rPr>
          <w:rFonts w:ascii="Times New Roman" w:hAnsi="Times New Roman" w:cs="Times New Roman"/>
          <w:i/>
          <w:iCs/>
          <w:sz w:val="24"/>
          <w:szCs w:val="24"/>
          <w:lang w:eastAsia="en-GB"/>
        </w:rPr>
        <w:t>AI regulatory sandboxing</w:t>
      </w:r>
      <w:r w:rsidRPr="000A57F7">
        <w:rPr>
          <w:rFonts w:ascii="Times New Roman" w:hAnsi="Times New Roman" w:cs="Times New Roman"/>
          <w:sz w:val="24"/>
          <w:szCs w:val="24"/>
          <w:lang w:eastAsia="en-GB"/>
        </w:rPr>
        <w:t>).</w:t>
      </w:r>
    </w:p>
    <w:p w14:paraId="4703CAB5" w14:textId="3E6CB17A" w:rsidR="00692AD7" w:rsidRPr="000A57F7" w:rsidRDefault="00692AD7" w:rsidP="000A57F7">
      <w:pPr>
        <w:rPr>
          <w:szCs w:val="24"/>
          <w:lang w:val="fr-BE" w:eastAsia="en-GB"/>
        </w:rPr>
      </w:pPr>
      <w:r w:rsidRPr="000A57F7">
        <w:rPr>
          <w:szCs w:val="24"/>
          <w:lang w:val="fr-BE" w:eastAsia="en-GB"/>
        </w:rPr>
        <w:t>La fonction « Gouvernance, risque et conformité de l'IA</w:t>
      </w:r>
      <w:r w:rsidR="00D00379" w:rsidRPr="000A57F7">
        <w:rPr>
          <w:szCs w:val="24"/>
          <w:lang w:val="fr-BE" w:eastAsia="en-GB"/>
        </w:rPr>
        <w:t> »</w:t>
      </w:r>
      <w:r w:rsidRPr="000A57F7">
        <w:rPr>
          <w:szCs w:val="24"/>
          <w:lang w:val="fr-BE" w:eastAsia="en-GB"/>
        </w:rPr>
        <w:t xml:space="preserve"> </w:t>
      </w:r>
      <w:r w:rsidR="00D00379" w:rsidRPr="000A57F7">
        <w:rPr>
          <w:szCs w:val="24"/>
          <w:lang w:val="fr-BE" w:eastAsia="en-GB"/>
        </w:rPr>
        <w:t xml:space="preserve">a pour mission </w:t>
      </w:r>
      <w:r w:rsidRPr="000A57F7">
        <w:rPr>
          <w:szCs w:val="24"/>
          <w:lang w:val="fr-BE" w:eastAsia="en-GB"/>
        </w:rPr>
        <w:t>de fournir des services de soutien à la</w:t>
      </w:r>
      <w:r w:rsidRPr="00692AD7">
        <w:rPr>
          <w:szCs w:val="24"/>
          <w:lang w:val="fr-BE" w:eastAsia="en-GB"/>
        </w:rPr>
        <w:t xml:space="preserve"> gouvernance, au risque, à la conformité, à la communication et à la sensibilisation dans le domaine de l'IA. Les aspects de la </w:t>
      </w:r>
      <w:r w:rsidR="00D00379">
        <w:rPr>
          <w:szCs w:val="24"/>
          <w:lang w:val="fr-BE" w:eastAsia="en-GB"/>
        </w:rPr>
        <w:t>« </w:t>
      </w:r>
      <w:r w:rsidRPr="00D00379">
        <w:rPr>
          <w:szCs w:val="24"/>
          <w:lang w:val="fr-BE" w:eastAsia="en-GB"/>
        </w:rPr>
        <w:t>politique de cybersécurité de l'IA</w:t>
      </w:r>
      <w:r w:rsidR="00D00379">
        <w:rPr>
          <w:szCs w:val="24"/>
          <w:lang w:val="fr-BE" w:eastAsia="en-GB"/>
        </w:rPr>
        <w:t> »</w:t>
      </w:r>
      <w:r w:rsidRPr="00692AD7">
        <w:rPr>
          <w:szCs w:val="24"/>
          <w:lang w:val="fr-BE" w:eastAsia="en-GB"/>
        </w:rPr>
        <w:t xml:space="preserve"> sont un domaine important de la fonction.</w:t>
      </w:r>
      <w:bookmarkStart w:id="0" w:name="_Hlk168587126"/>
    </w:p>
    <w:p w14:paraId="778463FB" w14:textId="007B415E" w:rsidR="00692AD7" w:rsidRPr="00D00379" w:rsidRDefault="00F409D0" w:rsidP="00692AD7">
      <w:pPr>
        <w:pStyle w:val="ListNumber"/>
        <w:numPr>
          <w:ilvl w:val="0"/>
          <w:numId w:val="0"/>
        </w:numPr>
        <w:ind w:left="709" w:hanging="709"/>
        <w:rPr>
          <w:b/>
          <w:bCs/>
          <w:lang w:val="fr-BE" w:eastAsia="en-GB"/>
        </w:rPr>
      </w:pPr>
      <w:r>
        <w:rPr>
          <w:b/>
          <w:bCs/>
          <w:lang w:val="fr-BE" w:eastAsia="en-GB"/>
        </w:rPr>
        <w:t>Présentation du poste (nous proposons)</w:t>
      </w:r>
    </w:p>
    <w:p w14:paraId="7196031E" w14:textId="6AE15E60" w:rsidR="00692AD7" w:rsidRPr="000A57F7" w:rsidRDefault="00D00379" w:rsidP="000A57F7">
      <w:pPr>
        <w:rPr>
          <w:lang w:val="fr-BE"/>
        </w:rPr>
      </w:pPr>
      <w:r w:rsidRPr="00701E1A">
        <w:rPr>
          <w:lang w:val="fr-BE"/>
        </w:rPr>
        <w:t>L</w:t>
      </w:r>
      <w:r>
        <w:rPr>
          <w:lang w:val="fr-BE"/>
        </w:rPr>
        <w:t>’agent</w:t>
      </w:r>
      <w:r w:rsidRPr="00701E1A">
        <w:rPr>
          <w:lang w:val="fr-BE"/>
        </w:rPr>
        <w:t xml:space="preserve"> « Politique de cybersécurité de l'IA » de la fonction « Gouvernance, risque et conformité de l'IA » couvre les aspects de cybersécurité de la politique </w:t>
      </w:r>
      <w:r w:rsidR="000A57F7">
        <w:rPr>
          <w:lang w:val="fr-BE"/>
        </w:rPr>
        <w:t>d’entreprise</w:t>
      </w:r>
      <w:r w:rsidRPr="00701E1A">
        <w:rPr>
          <w:lang w:val="fr-BE"/>
        </w:rPr>
        <w:t xml:space="preserve"> en matière d'IA, en étroite collaboration avec la direction « Cybersécurité - DIGIT S ». L'objectif principal du poste est de définir le périmètre des services de politique de cybersécurité de l'IA, et de les développer et de les fournir au niveau de l'</w:t>
      </w:r>
      <w:r>
        <w:rPr>
          <w:lang w:val="fr-BE"/>
        </w:rPr>
        <w:t>organisation</w:t>
      </w:r>
      <w:r w:rsidRPr="00701E1A">
        <w:rPr>
          <w:lang w:val="fr-BE"/>
        </w:rPr>
        <w:t>. Le titulaire du poste formule la vision technique, assure un leadership fort, coordonne et contribue aux activités du domaine ; élabore le</w:t>
      </w:r>
      <w:r>
        <w:rPr>
          <w:lang w:val="fr-BE"/>
        </w:rPr>
        <w:t>s différents besoins types e</w:t>
      </w:r>
      <w:r w:rsidRPr="00701E1A">
        <w:rPr>
          <w:lang w:val="fr-BE"/>
        </w:rPr>
        <w:t xml:space="preserve">t le modèle de prestation des services, le cas échéant en coopération avec des contractants externes ; évalue, déploie et maintient les outils et les solutions nécessaires à la prestation des services ; communique avec les </w:t>
      </w:r>
      <w:r w:rsidR="00F409D0">
        <w:rPr>
          <w:lang w:val="fr-BE"/>
        </w:rPr>
        <w:t>responsables opérationnels</w:t>
      </w:r>
      <w:r w:rsidRPr="00701E1A">
        <w:rPr>
          <w:lang w:val="fr-BE"/>
        </w:rPr>
        <w:t xml:space="preserve"> et les </w:t>
      </w:r>
      <w:r w:rsidR="00F409D0">
        <w:rPr>
          <w:lang w:val="fr-BE"/>
        </w:rPr>
        <w:t>profils</w:t>
      </w:r>
      <w:r w:rsidRPr="00701E1A">
        <w:rPr>
          <w:lang w:val="fr-BE"/>
        </w:rPr>
        <w:t xml:space="preserve"> techniques ; propose des améliorations aux processus opérationnels ; définit les indicateurs de performance connexes ; et rend compte de l'efficacité et de la maturité des processus du domaine.</w:t>
      </w:r>
    </w:p>
    <w:p w14:paraId="23029C06" w14:textId="5F047754" w:rsidR="00692AD7" w:rsidRPr="00F409D0" w:rsidRDefault="00F409D0" w:rsidP="00692AD7">
      <w:pPr>
        <w:pStyle w:val="ListNumber"/>
        <w:numPr>
          <w:ilvl w:val="0"/>
          <w:numId w:val="0"/>
        </w:numPr>
        <w:ind w:left="709" w:hanging="709"/>
        <w:rPr>
          <w:b/>
          <w:bCs/>
          <w:lang w:val="fr-BE" w:eastAsia="en-GB"/>
        </w:rPr>
      </w:pPr>
      <w:r w:rsidRPr="00F409D0">
        <w:rPr>
          <w:b/>
          <w:bCs/>
          <w:lang w:val="fr-BE" w:eastAsia="en-GB"/>
        </w:rPr>
        <w:t>Profil du titulaire (nous recherchons)</w:t>
      </w:r>
    </w:p>
    <w:p w14:paraId="2561CD1D" w14:textId="3CBC7DAF" w:rsidR="00F409D0" w:rsidRPr="000A57F7" w:rsidRDefault="00F409D0" w:rsidP="00F409D0">
      <w:pPr>
        <w:rPr>
          <w:szCs w:val="24"/>
          <w:lang w:val="fr-BE"/>
        </w:rPr>
      </w:pPr>
      <w:r w:rsidRPr="00701E1A">
        <w:rPr>
          <w:lang w:val="fr-BE"/>
        </w:rPr>
        <w:t>Sous la supervision du chef du secteur « Politique des données, de l'IA et de l'innovation », l'expert national détaché sera chargé d'effectuer des tâches visant à soutenir l'unité dans la mise en œuvre de</w:t>
      </w:r>
      <w:r w:rsidR="000A57F7">
        <w:rPr>
          <w:lang w:val="fr-BE"/>
        </w:rPr>
        <w:t xml:space="preserve"> la cybersécurité et des aspects te</w:t>
      </w:r>
      <w:r w:rsidRPr="00701E1A">
        <w:rPr>
          <w:lang w:val="fr-BE"/>
        </w:rPr>
        <w:t xml:space="preserve">chniques du règlement sur l'IA, notamment en ce qui concerne les modèles et systèmes d'IA à usage général, comme </w:t>
      </w:r>
      <w:r w:rsidRPr="000A57F7">
        <w:rPr>
          <w:szCs w:val="24"/>
          <w:lang w:val="fr-BE"/>
        </w:rPr>
        <w:t>indiqué ci-dessous. Le profil de l'agent « Politique de cybersécurité de l'IA » peut être lié à des chercheurs, des spécialistes de la cybersécurité et de l'informatique, des ingénieurs logiciels.</w:t>
      </w:r>
    </w:p>
    <w:p w14:paraId="3406A1A2" w14:textId="262E6556" w:rsidR="00F409D0" w:rsidRPr="000A57F7" w:rsidRDefault="00F409D0" w:rsidP="00F409D0">
      <w:pPr>
        <w:rPr>
          <w:szCs w:val="24"/>
          <w:lang w:val="fr-BE"/>
        </w:rPr>
      </w:pPr>
      <w:r w:rsidRPr="000A57F7">
        <w:rPr>
          <w:szCs w:val="24"/>
          <w:lang w:val="fr-BE"/>
        </w:rPr>
        <w:t>Le candidat retenu devrait avoir une formation scientifique en IA, complétée par une expérience en cybersécurité et en IT (</w:t>
      </w:r>
      <w:r w:rsidRPr="000A57F7">
        <w:rPr>
          <w:i/>
          <w:iCs/>
          <w:szCs w:val="24"/>
          <w:lang w:val="fr-BE"/>
        </w:rPr>
        <w:t>Information Technologies)</w:t>
      </w:r>
      <w:r w:rsidRPr="000A57F7">
        <w:rPr>
          <w:szCs w:val="24"/>
          <w:lang w:val="fr-BE"/>
        </w:rPr>
        <w:t xml:space="preserve">. Une expérience technique avérée est requise dans le domaine des technologies de l'IA telles que, par </w:t>
      </w:r>
      <w:r w:rsidRPr="000A57F7">
        <w:rPr>
          <w:szCs w:val="24"/>
          <w:lang w:val="fr-BE"/>
        </w:rPr>
        <w:lastRenderedPageBreak/>
        <w:t xml:space="preserve">exemple, le </w:t>
      </w:r>
      <w:r w:rsidRPr="000A57F7">
        <w:rPr>
          <w:i/>
          <w:iCs/>
          <w:szCs w:val="24"/>
          <w:lang w:val="fr-BE"/>
        </w:rPr>
        <w:t xml:space="preserve">machine learning, </w:t>
      </w:r>
      <w:r w:rsidRPr="000A57F7">
        <w:rPr>
          <w:szCs w:val="24"/>
          <w:lang w:val="fr-BE"/>
        </w:rPr>
        <w:t xml:space="preserve">le </w:t>
      </w:r>
      <w:r w:rsidRPr="000A57F7">
        <w:rPr>
          <w:i/>
          <w:iCs/>
          <w:szCs w:val="24"/>
          <w:lang w:val="fr-BE"/>
        </w:rPr>
        <w:t>deep learning</w:t>
      </w:r>
      <w:r w:rsidRPr="000A57F7">
        <w:rPr>
          <w:szCs w:val="24"/>
          <w:lang w:val="fr-BE"/>
        </w:rPr>
        <w:t>, les modèles (</w:t>
      </w:r>
      <w:r w:rsidRPr="000A57F7">
        <w:rPr>
          <w:i/>
          <w:iCs/>
          <w:szCs w:val="24"/>
          <w:lang w:val="fr-BE"/>
        </w:rPr>
        <w:t>frameworks)</w:t>
      </w:r>
      <w:r w:rsidRPr="000A57F7">
        <w:rPr>
          <w:szCs w:val="24"/>
          <w:lang w:val="fr-BE"/>
        </w:rPr>
        <w:t xml:space="preserve"> incluant l'éthique et la vie privée, et la cybersécurité. En outre, une expérience en gestion des risques, en gestion de projet, en rédaction de lignes directrices en matière de sécurité informatique/IA, en mise en œuvre de la législation/normes, en contrats et en communication serait un atout important.</w:t>
      </w:r>
    </w:p>
    <w:p w14:paraId="7D73A45B" w14:textId="4D0D62B5" w:rsidR="00F409D0" w:rsidRPr="000A57F7" w:rsidRDefault="00F409D0" w:rsidP="00F409D0">
      <w:pPr>
        <w:rPr>
          <w:szCs w:val="24"/>
          <w:lang w:val="fr-BE"/>
        </w:rPr>
      </w:pPr>
      <w:r w:rsidRPr="000A57F7">
        <w:rPr>
          <w:szCs w:val="24"/>
          <w:lang w:val="fr-BE"/>
        </w:rPr>
        <w:t>Les tâches peuvent inclure, sans s'y limiter :</w:t>
      </w:r>
    </w:p>
    <w:p w14:paraId="58753576" w14:textId="469FB260" w:rsidR="00F409D0" w:rsidRPr="000A57F7" w:rsidRDefault="00F409D0" w:rsidP="00F409D0">
      <w:pPr>
        <w:pStyle w:val="ListParagraph"/>
        <w:numPr>
          <w:ilvl w:val="0"/>
          <w:numId w:val="32"/>
        </w:numPr>
        <w:spacing w:after="160" w:line="259" w:lineRule="auto"/>
        <w:rPr>
          <w:rFonts w:ascii="Times New Roman" w:hAnsi="Times New Roman" w:cs="Times New Roman"/>
          <w:sz w:val="24"/>
          <w:szCs w:val="24"/>
        </w:rPr>
      </w:pPr>
      <w:r w:rsidRPr="000A57F7">
        <w:rPr>
          <w:rFonts w:ascii="Times New Roman" w:hAnsi="Times New Roman" w:cs="Times New Roman"/>
          <w:sz w:val="24"/>
          <w:szCs w:val="24"/>
        </w:rPr>
        <w:t>Contribuer à la mise en œuvre du règlement sur l'IA, en établissant des approches fondées sur des données probantes, des lignes directrices et des</w:t>
      </w:r>
      <w:r w:rsidR="000A57F7">
        <w:rPr>
          <w:rFonts w:ascii="Times New Roman" w:hAnsi="Times New Roman" w:cs="Times New Roman"/>
          <w:sz w:val="24"/>
          <w:szCs w:val="24"/>
        </w:rPr>
        <w:t xml:space="preserve"> cadres</w:t>
      </w:r>
      <w:r w:rsidRPr="000A57F7">
        <w:rPr>
          <w:rFonts w:ascii="Times New Roman" w:hAnsi="Times New Roman" w:cs="Times New Roman"/>
          <w:sz w:val="24"/>
          <w:szCs w:val="24"/>
        </w:rPr>
        <w:t xml:space="preserve"> analytiques</w:t>
      </w:r>
      <w:r w:rsidR="000A57F7">
        <w:rPr>
          <w:rFonts w:ascii="Times New Roman" w:hAnsi="Times New Roman" w:cs="Times New Roman"/>
          <w:sz w:val="24"/>
          <w:szCs w:val="24"/>
        </w:rPr>
        <w:t xml:space="preserve"> (</w:t>
      </w:r>
      <w:r w:rsidR="000A57F7">
        <w:rPr>
          <w:rFonts w:ascii="Times New Roman" w:hAnsi="Times New Roman" w:cs="Times New Roman"/>
          <w:i/>
          <w:iCs/>
          <w:sz w:val="24"/>
          <w:szCs w:val="24"/>
        </w:rPr>
        <w:t xml:space="preserve">analytical frameworks) </w:t>
      </w:r>
      <w:r w:rsidRPr="000A57F7">
        <w:rPr>
          <w:rFonts w:ascii="Times New Roman" w:hAnsi="Times New Roman" w:cs="Times New Roman"/>
          <w:sz w:val="24"/>
          <w:szCs w:val="24"/>
        </w:rPr>
        <w:t>pour la cybersécurité et les aspects connexes.</w:t>
      </w:r>
    </w:p>
    <w:p w14:paraId="2390DA31" w14:textId="77777777" w:rsidR="00F409D0" w:rsidRPr="000A57F7" w:rsidRDefault="00F409D0" w:rsidP="00F409D0">
      <w:pPr>
        <w:pStyle w:val="ListParagraph"/>
        <w:numPr>
          <w:ilvl w:val="0"/>
          <w:numId w:val="32"/>
        </w:numPr>
        <w:spacing w:after="160" w:line="259" w:lineRule="auto"/>
        <w:rPr>
          <w:rFonts w:ascii="Times New Roman" w:hAnsi="Times New Roman" w:cs="Times New Roman"/>
          <w:sz w:val="24"/>
          <w:szCs w:val="24"/>
        </w:rPr>
      </w:pPr>
      <w:r w:rsidRPr="000A57F7">
        <w:rPr>
          <w:rFonts w:ascii="Times New Roman" w:hAnsi="Times New Roman" w:cs="Times New Roman"/>
          <w:sz w:val="24"/>
          <w:szCs w:val="24"/>
        </w:rPr>
        <w:t>Contribuer à l'élaboration de politiques et de procédures, y compris les flux de travail numériques internes pertinents, pour l'application interne du règlement sur l'IA.</w:t>
      </w:r>
    </w:p>
    <w:p w14:paraId="070F59FA" w14:textId="4F0F81A5" w:rsidR="00F409D0" w:rsidRPr="000A57F7" w:rsidRDefault="00F409D0" w:rsidP="00F409D0">
      <w:pPr>
        <w:pStyle w:val="ListParagraph"/>
        <w:numPr>
          <w:ilvl w:val="0"/>
          <w:numId w:val="32"/>
        </w:numPr>
        <w:spacing w:after="160" w:line="259" w:lineRule="auto"/>
        <w:rPr>
          <w:rFonts w:ascii="Times New Roman" w:hAnsi="Times New Roman" w:cs="Times New Roman"/>
          <w:sz w:val="24"/>
          <w:szCs w:val="24"/>
        </w:rPr>
      </w:pPr>
      <w:r w:rsidRPr="000A57F7">
        <w:rPr>
          <w:rFonts w:ascii="Times New Roman" w:hAnsi="Times New Roman" w:cs="Times New Roman"/>
          <w:sz w:val="24"/>
          <w:szCs w:val="24"/>
        </w:rPr>
        <w:t>Engager le dialogue avec les parties prenantes concernées</w:t>
      </w:r>
      <w:r w:rsidR="000A57F7" w:rsidRPr="000A57F7">
        <w:rPr>
          <w:rFonts w:ascii="Times New Roman" w:hAnsi="Times New Roman" w:cs="Times New Roman"/>
          <w:sz w:val="24"/>
          <w:szCs w:val="24"/>
        </w:rPr>
        <w:t xml:space="preserve"> pour apporter des solutions à leurs problèmes.</w:t>
      </w:r>
    </w:p>
    <w:p w14:paraId="72FB8CEE" w14:textId="77777777" w:rsidR="00F409D0" w:rsidRPr="000A57F7" w:rsidRDefault="00F409D0" w:rsidP="00F409D0">
      <w:pPr>
        <w:pStyle w:val="ListParagraph"/>
        <w:numPr>
          <w:ilvl w:val="0"/>
          <w:numId w:val="32"/>
        </w:numPr>
        <w:spacing w:after="160" w:line="259" w:lineRule="auto"/>
        <w:rPr>
          <w:rFonts w:ascii="Times New Roman" w:hAnsi="Times New Roman" w:cs="Times New Roman"/>
          <w:sz w:val="24"/>
          <w:szCs w:val="24"/>
        </w:rPr>
      </w:pPr>
      <w:r w:rsidRPr="000A57F7">
        <w:rPr>
          <w:rFonts w:ascii="Times New Roman" w:hAnsi="Times New Roman" w:cs="Times New Roman"/>
          <w:sz w:val="24"/>
          <w:szCs w:val="24"/>
        </w:rPr>
        <w:t>Suivre les services numériques internes, les produits du marché et les tendances technologiques pour soutenir les services de politique de l'IA.</w:t>
      </w:r>
    </w:p>
    <w:p w14:paraId="375A80BF" w14:textId="77777777" w:rsidR="00F409D0" w:rsidRPr="000A57F7" w:rsidRDefault="00F409D0" w:rsidP="00F409D0">
      <w:pPr>
        <w:pStyle w:val="ListParagraph"/>
        <w:numPr>
          <w:ilvl w:val="0"/>
          <w:numId w:val="32"/>
        </w:numPr>
        <w:spacing w:after="160" w:line="259" w:lineRule="auto"/>
        <w:rPr>
          <w:rFonts w:ascii="Times New Roman" w:hAnsi="Times New Roman" w:cs="Times New Roman"/>
          <w:sz w:val="24"/>
          <w:szCs w:val="24"/>
        </w:rPr>
      </w:pPr>
      <w:r w:rsidRPr="000A57F7">
        <w:rPr>
          <w:rFonts w:ascii="Times New Roman" w:hAnsi="Times New Roman" w:cs="Times New Roman"/>
          <w:sz w:val="24"/>
          <w:szCs w:val="24"/>
        </w:rPr>
        <w:t>Effectuer des activités de contrôle et de surveillance. Soutenir l'évaluation de la cybersécurité et d'autres éléments des projets informatiques internes utilisant des éléments d'IA.</w:t>
      </w:r>
    </w:p>
    <w:p w14:paraId="7E409EA7" w14:textId="754CDE6A" w:rsidR="001A0074" w:rsidRPr="000A57F7" w:rsidRDefault="00F409D0" w:rsidP="000A57F7">
      <w:pPr>
        <w:pStyle w:val="ListParagraph"/>
        <w:numPr>
          <w:ilvl w:val="0"/>
          <w:numId w:val="32"/>
        </w:numPr>
        <w:spacing w:after="160" w:line="259" w:lineRule="auto"/>
        <w:rPr>
          <w:rFonts w:ascii="Times New Roman" w:hAnsi="Times New Roman" w:cs="Times New Roman"/>
          <w:sz w:val="24"/>
          <w:szCs w:val="24"/>
        </w:rPr>
      </w:pPr>
      <w:r w:rsidRPr="000A57F7">
        <w:rPr>
          <w:rFonts w:ascii="Times New Roman" w:hAnsi="Times New Roman" w:cs="Times New Roman"/>
          <w:sz w:val="24"/>
          <w:szCs w:val="24"/>
        </w:rPr>
        <w:t xml:space="preserve">Rédiger et examiner les annexes techniques </w:t>
      </w:r>
      <w:r w:rsidR="000A57F7" w:rsidRPr="000A57F7">
        <w:rPr>
          <w:rFonts w:ascii="Times New Roman" w:hAnsi="Times New Roman" w:cs="Times New Roman"/>
          <w:sz w:val="24"/>
          <w:szCs w:val="24"/>
        </w:rPr>
        <w:t>dans le cadre de procédures acquisitions (</w:t>
      </w:r>
      <w:r w:rsidR="000A57F7" w:rsidRPr="000A57F7">
        <w:rPr>
          <w:rFonts w:ascii="Times New Roman" w:hAnsi="Times New Roman" w:cs="Times New Roman"/>
          <w:i/>
          <w:iCs/>
          <w:sz w:val="24"/>
          <w:szCs w:val="24"/>
        </w:rPr>
        <w:t>procurement procedures</w:t>
      </w:r>
      <w:r w:rsidR="000A57F7" w:rsidRPr="000A57F7">
        <w:rPr>
          <w:rFonts w:ascii="Times New Roman" w:hAnsi="Times New Roman" w:cs="Times New Roman"/>
          <w:sz w:val="24"/>
          <w:szCs w:val="24"/>
        </w:rPr>
        <w:t>).</w:t>
      </w:r>
      <w:bookmarkEnd w:id="0"/>
    </w:p>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w:t>
      </w:r>
      <w:r w:rsidRPr="001D3EEC">
        <w:rPr>
          <w:lang w:val="fr-BE" w:eastAsia="en-GB"/>
        </w:rPr>
        <w:lastRenderedPageBreak/>
        <w:t>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 xml:space="preserve">La Commission européenne veillera à ce que les données à caractère personnel des candidats soient traitées dans le plein respect du règlement (UE) 2018/1725 du Parlement </w:t>
      </w:r>
      <w:r w:rsidRPr="001D3EEC">
        <w:rPr>
          <w:lang w:val="fr-BE"/>
        </w:rPr>
        <w:lastRenderedPageBreak/>
        <w:t>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E04CA1E"/>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C01EFAF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806856"/>
    <w:multiLevelType w:val="hybridMultilevel"/>
    <w:tmpl w:val="F6E66850"/>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4"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9F73FB6"/>
    <w:multiLevelType w:val="hybridMultilevel"/>
    <w:tmpl w:val="C5F4B0E2"/>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1"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93D31FC"/>
    <w:multiLevelType w:val="hybridMultilevel"/>
    <w:tmpl w:val="508448C2"/>
    <w:lvl w:ilvl="0" w:tplc="18090001">
      <w:start w:val="30"/>
      <w:numFmt w:val="bullet"/>
      <w:lvlText w:val=""/>
      <w:lvlJc w:val="left"/>
      <w:pPr>
        <w:ind w:left="720" w:hanging="360"/>
      </w:pPr>
      <w:rPr>
        <w:rFonts w:ascii="Symbol" w:eastAsia="Times New Roman" w:hAnsi="Symbol"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5"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6" w15:restartNumberingAfterBreak="0">
    <w:nsid w:val="5A402520"/>
    <w:multiLevelType w:val="hybridMultilevel"/>
    <w:tmpl w:val="E32C960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7" w15:restartNumberingAfterBreak="0">
    <w:nsid w:val="65C803D4"/>
    <w:multiLevelType w:val="hybridMultilevel"/>
    <w:tmpl w:val="3076691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8"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9" w15:restartNumberingAfterBreak="0">
    <w:nsid w:val="72463948"/>
    <w:multiLevelType w:val="hybridMultilevel"/>
    <w:tmpl w:val="79EE28E2"/>
    <w:lvl w:ilvl="0" w:tplc="13702A1A">
      <w:numFmt w:val="bullet"/>
      <w:lvlText w:val="•"/>
      <w:lvlJc w:val="left"/>
      <w:pPr>
        <w:ind w:left="1080" w:hanging="72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0"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31"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32"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7FB92144"/>
    <w:multiLevelType w:val="hybridMultilevel"/>
    <w:tmpl w:val="F1EA57C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755901044">
    <w:abstractNumId w:val="2"/>
  </w:num>
  <w:num w:numId="2" w16cid:durableId="1948195848">
    <w:abstractNumId w:val="16"/>
  </w:num>
  <w:num w:numId="3" w16cid:durableId="1283655466">
    <w:abstractNumId w:val="11"/>
  </w:num>
  <w:num w:numId="4" w16cid:durableId="627203124">
    <w:abstractNumId w:val="17"/>
  </w:num>
  <w:num w:numId="5" w16cid:durableId="1682463701">
    <w:abstractNumId w:val="22"/>
  </w:num>
  <w:num w:numId="6" w16cid:durableId="181284729">
    <w:abstractNumId w:val="28"/>
  </w:num>
  <w:num w:numId="7" w16cid:durableId="1703705955">
    <w:abstractNumId w:val="4"/>
  </w:num>
  <w:num w:numId="8" w16cid:durableId="1191845979">
    <w:abstractNumId w:val="9"/>
  </w:num>
  <w:num w:numId="9" w16cid:durableId="317001864">
    <w:abstractNumId w:val="19"/>
  </w:num>
  <w:num w:numId="10" w16cid:durableId="1149245481">
    <w:abstractNumId w:val="5"/>
  </w:num>
  <w:num w:numId="11" w16cid:durableId="1423138251">
    <w:abstractNumId w:val="7"/>
  </w:num>
  <w:num w:numId="12" w16cid:durableId="1835801341">
    <w:abstractNumId w:val="8"/>
  </w:num>
  <w:num w:numId="13" w16cid:durableId="773790429">
    <w:abstractNumId w:val="13"/>
  </w:num>
  <w:num w:numId="14" w16cid:durableId="440151463">
    <w:abstractNumId w:val="18"/>
  </w:num>
  <w:num w:numId="15" w16cid:durableId="1021391429">
    <w:abstractNumId w:val="21"/>
  </w:num>
  <w:num w:numId="16" w16cid:durableId="1891763309">
    <w:abstractNumId w:val="30"/>
  </w:num>
  <w:num w:numId="17" w16cid:durableId="359092911">
    <w:abstractNumId w:val="14"/>
  </w:num>
  <w:num w:numId="18" w16cid:durableId="308289900">
    <w:abstractNumId w:val="15"/>
  </w:num>
  <w:num w:numId="19" w16cid:durableId="1964581914">
    <w:abstractNumId w:val="31"/>
  </w:num>
  <w:num w:numId="20" w16cid:durableId="263345260">
    <w:abstractNumId w:val="20"/>
  </w:num>
  <w:num w:numId="21" w16cid:durableId="710300249">
    <w:abstractNumId w:val="23"/>
  </w:num>
  <w:num w:numId="22" w16cid:durableId="1059403124">
    <w:abstractNumId w:val="6"/>
  </w:num>
  <w:num w:numId="23" w16cid:durableId="482745588">
    <w:abstractNumId w:val="24"/>
  </w:num>
  <w:num w:numId="24" w16cid:durableId="1895769187">
    <w:abstractNumId w:val="25"/>
  </w:num>
  <w:num w:numId="25" w16cid:durableId="681978231">
    <w:abstractNumId w:val="32"/>
  </w:num>
  <w:num w:numId="26" w16cid:durableId="304316259">
    <w:abstractNumId w:val="26"/>
  </w:num>
  <w:num w:numId="27" w16cid:durableId="929243857">
    <w:abstractNumId w:val="1"/>
  </w:num>
  <w:num w:numId="28" w16cid:durableId="1533618035">
    <w:abstractNumId w:val="0"/>
  </w:num>
  <w:num w:numId="29" w16cid:durableId="1079450792">
    <w:abstractNumId w:val="33"/>
  </w:num>
  <w:num w:numId="30" w16cid:durableId="1894384085">
    <w:abstractNumId w:val="29"/>
  </w:num>
  <w:num w:numId="31" w16cid:durableId="1545213189">
    <w:abstractNumId w:val="12"/>
  </w:num>
  <w:num w:numId="32" w16cid:durableId="171992860">
    <w:abstractNumId w:val="27"/>
  </w:num>
  <w:num w:numId="33" w16cid:durableId="1600019221">
    <w:abstractNumId w:val="3"/>
  </w:num>
  <w:num w:numId="34" w16cid:durableId="165170766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US"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0A57F7"/>
    <w:rsid w:val="000C1479"/>
    <w:rsid w:val="001A0074"/>
    <w:rsid w:val="001D3EEC"/>
    <w:rsid w:val="00215A56"/>
    <w:rsid w:val="0028413D"/>
    <w:rsid w:val="002841B7"/>
    <w:rsid w:val="002A6E30"/>
    <w:rsid w:val="002B37EB"/>
    <w:rsid w:val="00301CA3"/>
    <w:rsid w:val="00377580"/>
    <w:rsid w:val="00394581"/>
    <w:rsid w:val="00443957"/>
    <w:rsid w:val="00462268"/>
    <w:rsid w:val="004A4BB7"/>
    <w:rsid w:val="004D3B51"/>
    <w:rsid w:val="004E11C6"/>
    <w:rsid w:val="0053405E"/>
    <w:rsid w:val="00556CBD"/>
    <w:rsid w:val="00574805"/>
    <w:rsid w:val="00692AD7"/>
    <w:rsid w:val="006A1CB2"/>
    <w:rsid w:val="006B47B6"/>
    <w:rsid w:val="006F23BA"/>
    <w:rsid w:val="0074301E"/>
    <w:rsid w:val="007A10AA"/>
    <w:rsid w:val="007A1396"/>
    <w:rsid w:val="007B5FAE"/>
    <w:rsid w:val="007E131B"/>
    <w:rsid w:val="007E4F35"/>
    <w:rsid w:val="008241B0"/>
    <w:rsid w:val="008315CD"/>
    <w:rsid w:val="00866E7F"/>
    <w:rsid w:val="008A0FF3"/>
    <w:rsid w:val="0092295D"/>
    <w:rsid w:val="00A65B97"/>
    <w:rsid w:val="00A86261"/>
    <w:rsid w:val="00A917BE"/>
    <w:rsid w:val="00B31DC8"/>
    <w:rsid w:val="00B320B4"/>
    <w:rsid w:val="00B566C1"/>
    <w:rsid w:val="00B970D8"/>
    <w:rsid w:val="00BF389A"/>
    <w:rsid w:val="00C518F5"/>
    <w:rsid w:val="00D00379"/>
    <w:rsid w:val="00D703FC"/>
    <w:rsid w:val="00D82B48"/>
    <w:rsid w:val="00DC5C83"/>
    <w:rsid w:val="00E0579E"/>
    <w:rsid w:val="00E5708E"/>
    <w:rsid w:val="00E850B7"/>
    <w:rsid w:val="00E927FE"/>
    <w:rsid w:val="00F409D0"/>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uiPriority w:val="34"/>
    <w:qFormat/>
    <w:locked/>
    <w:rsid w:val="00692AD7"/>
    <w:pPr>
      <w:spacing w:after="200" w:line="276" w:lineRule="auto"/>
      <w:ind w:left="720"/>
      <w:contextualSpacing/>
      <w:jc w:val="left"/>
    </w:pPr>
    <w:rPr>
      <w:rFonts w:asciiTheme="minorHAnsi" w:eastAsiaTheme="minorHAnsi" w:hAnsiTheme="minorHAnsi" w:cstheme="minorBidi"/>
      <w:sz w:val="22"/>
      <w:szCs w:val="22"/>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671642EA0E0D44FD927E439661D4740F"/>
        <w:category>
          <w:name w:val="General"/>
          <w:gallery w:val="placeholder"/>
        </w:category>
        <w:types>
          <w:type w:val="bbPlcHdr"/>
        </w:types>
        <w:behaviors>
          <w:behavior w:val="content"/>
        </w:behaviors>
        <w:guid w:val="{337C3D64-2048-44F3-AD81-9F6E73E94445}"/>
      </w:docPartPr>
      <w:docPartBody>
        <w:p w:rsidR="002804FA" w:rsidRDefault="002804FA" w:rsidP="002804FA">
          <w:pPr>
            <w:pStyle w:val="671642EA0E0D44FD927E439661D4740F"/>
          </w:pPr>
          <w:r w:rsidRPr="0007110E">
            <w:rPr>
              <w:rStyle w:val="PlaceholderText"/>
              <w:bCs/>
            </w:rPr>
            <w:t>Click or tap here to enter text.</w:t>
          </w:r>
        </w:p>
      </w:docPartBody>
    </w:docPart>
    <w:docPart>
      <w:docPartPr>
        <w:name w:val="D002A04B4A0446AA9D0C8009B18CF165"/>
        <w:category>
          <w:name w:val="General"/>
          <w:gallery w:val="placeholder"/>
        </w:category>
        <w:types>
          <w:type w:val="bbPlcHdr"/>
        </w:types>
        <w:behaviors>
          <w:behavior w:val="content"/>
        </w:behaviors>
        <w:guid w:val="{566A974D-D264-41C9-854F-E2EA5FED4172}"/>
      </w:docPartPr>
      <w:docPartBody>
        <w:p w:rsidR="002804FA" w:rsidRDefault="002804FA" w:rsidP="002804FA">
          <w:pPr>
            <w:pStyle w:val="D002A04B4A0446AA9D0C8009B18CF165"/>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0327CAE"/>
    <w:multiLevelType w:val="multilevel"/>
    <w:tmpl w:val="C60402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44200075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2804FA"/>
    <w:rsid w:val="00534FB6"/>
    <w:rsid w:val="007818B4"/>
    <w:rsid w:val="008F2A96"/>
    <w:rsid w:val="00983F83"/>
    <w:rsid w:val="00B2074B"/>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2804FA"/>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71642EA0E0D44FD927E439661D4740F">
    <w:name w:val="671642EA0E0D44FD927E439661D4740F"/>
    <w:rsid w:val="002804FA"/>
    <w:pPr>
      <w:spacing w:line="278" w:lineRule="auto"/>
    </w:pPr>
    <w:rPr>
      <w:kern w:val="2"/>
      <w:sz w:val="24"/>
      <w:szCs w:val="24"/>
      <w14:ligatures w14:val="standardContextual"/>
    </w:rPr>
  </w:style>
  <w:style w:type="paragraph" w:customStyle="1" w:styleId="D002A04B4A0446AA9D0C8009B18CF165">
    <w:name w:val="D002A04B4A0446AA9D0C8009B18CF165"/>
    <w:rsid w:val="002804FA"/>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B9998F76B226B408389BD24B25049DA" ma:contentTypeVersion="6" ma:contentTypeDescription="Create a new document." ma:contentTypeScope="" ma:versionID="398574ba5d51fb78833149ce3d9df3a7">
  <xsd:schema xmlns:xsd="http://www.w3.org/2001/XMLSchema" xmlns:xs="http://www.w3.org/2001/XMLSchema" xmlns:p="http://schemas.microsoft.com/office/2006/metadata/properties" xmlns:ns2="0404e7c2-8d3a-4ada-a8b4-f0c307b12f88" xmlns:ns3="3d773fd8-5df6-4e26-b464-76be9c5c7a6f" targetNamespace="http://schemas.microsoft.com/office/2006/metadata/properties" ma:root="true" ma:fieldsID="ab7461111ce9ea2e660c0a6839e4beb3" ns2:_="" ns3:_="">
    <xsd:import namespace="0404e7c2-8d3a-4ada-a8b4-f0c307b12f88"/>
    <xsd:import namespace="3d773fd8-5df6-4e26-b464-76be9c5c7a6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04e7c2-8d3a-4ada-a8b4-f0c307b12f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d773fd8-5df6-4e26-b464-76be9c5c7a6f"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EEDFE845-4F79-4431-BD2F-75D6A474DC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04e7c2-8d3a-4ada-a8b4-f0c307b12f88"/>
    <ds:schemaRef ds:uri="3d773fd8-5df6-4e26-b464-76be9c5c7a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0FE24155-2102-4D0B-801C-6C578ADF1CE6}">
  <ds:schemaRefs>
    <ds:schemaRef ds:uri="http://purl.org/dc/dcmitype/"/>
    <ds:schemaRef ds:uri="http://schemas.microsoft.com/office/2006/metadata/properties"/>
    <ds:schemaRef ds:uri="http://purl.org/dc/terms/"/>
    <ds:schemaRef ds:uri="http://purl.org/dc/elements/1.1/"/>
    <ds:schemaRef ds:uri="3d773fd8-5df6-4e26-b464-76be9c5c7a6f"/>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 ds:uri="0404e7c2-8d3a-4ada-a8b4-f0c307b12f88"/>
  </ds:schemaRefs>
</ds:datastoreItem>
</file>

<file path=docProps/app.xml><?xml version="1.0" encoding="utf-8"?>
<Properties xmlns="http://schemas.openxmlformats.org/officeDocument/2006/extended-properties" xmlns:vt="http://schemas.openxmlformats.org/officeDocument/2006/docPropsVTypes">
  <Template>Eurolook.dotm</Template>
  <TotalTime>3</TotalTime>
  <Pages>5</Pages>
  <Words>1493</Words>
  <Characters>8512</Characters>
  <Application>Microsoft Office Word</Application>
  <DocSecurity>0</DocSecurity>
  <PresentationFormat>Microsoft Word 14.0</PresentationFormat>
  <Lines>70</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SARIGIANNIDIS Spyros (DIGIT)</cp:lastModifiedBy>
  <cp:revision>4</cp:revision>
  <cp:lastPrinted>2023-04-18T07:01:00Z</cp:lastPrinted>
  <dcterms:created xsi:type="dcterms:W3CDTF">2024-06-07T09:23:00Z</dcterms:created>
  <dcterms:modified xsi:type="dcterms:W3CDTF">2024-06-07T09:28:00Z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0x0101009B9998F76B226B408389BD24B25049DA</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