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disposées en cercle et encadrées par deux éléments graphiques gris clair représentant le bâtiment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475D092" w:rsidR="00F6462F" w:rsidRDefault="00C940B5">
                <w:pPr>
                  <w:pStyle w:val="ZCom"/>
                </w:pPr>
                <w:sdt>
                  <w:sdtPr>
                    <w:id w:val="1852987933"/>
                    <w:dataBinding w:xpath="/Texts/OrgaRoot" w:storeItemID="{4EF90DE6-88B6-4264-9629-4D8DFDFE87D2}"/>
                    <w:text w:multiLine="1"/>
                  </w:sdtPr>
                  <w:sdtEndPr/>
                  <w:sdtContent>
                    <w:r w:rsidR="000636B7">
                      <w:t>COMMISSION EUROPEENNE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0636B7" w:rsidRDefault="000A4668" w:rsidP="008D02B7">
      <w:pPr>
        <w:pStyle w:val="NoteHead"/>
        <w:spacing w:before="600" w:after="600"/>
        <w:rPr>
          <w:lang w:val="fr-BE"/>
        </w:rPr>
      </w:pPr>
      <w:r w:rsidRPr="000636B7">
        <w:rPr>
          <w:lang w:val="fr-BE"/>
        </w:rPr>
        <w:t>AVIS DE VACANCE D'UN POSTE D'EXPERT NATIONAL DÉTACHÉ</w:t>
      </w:r>
    </w:p>
    <w:p w14:paraId="5A14E81F" w14:textId="38A50681" w:rsidR="00FD5D6F" w:rsidRPr="000636B7" w:rsidRDefault="00FD5D6F" w:rsidP="008D02B7">
      <w:pPr>
        <w:pStyle w:val="NoteHead"/>
        <w:spacing w:before="600" w:after="600"/>
        <w:rPr>
          <w:lang w:val="fr-BE"/>
        </w:rPr>
      </w:pPr>
      <w:r w:rsidRPr="000636B7">
        <w:rPr>
          <w:lang w:val="fr-BE"/>
        </w:rPr>
        <w:t xml:space="preserve">PLATEFORME </w:t>
      </w:r>
      <w:r w:rsidR="000636B7">
        <w:rPr>
          <w:lang w:val="fr-BE"/>
        </w:rPr>
        <w:t>« </w:t>
      </w:r>
      <w:r w:rsidRPr="000636B7">
        <w:rPr>
          <w:lang w:val="fr-BE"/>
        </w:rPr>
        <w:t>TECHNOLOGIES STRATÉGIQUES POUR L'EUROPE</w:t>
      </w:r>
      <w:r w:rsidR="000636B7">
        <w:rPr>
          <w:lang w:val="fr-BE"/>
        </w:rPr>
        <w:t> »</w:t>
      </w:r>
      <w:r w:rsidRPr="000636B7">
        <w:rPr>
          <w:lang w:val="fr-BE"/>
        </w:rPr>
        <w:t xml:space="preserve"> (STEP) et PROCHAIN CADRE FINANCIER PLURIANNUEL (CFP)</w:t>
      </w:r>
    </w:p>
    <w:tbl>
      <w:tblPr>
        <w:tblStyle w:val="TableGrid"/>
        <w:tblW w:w="0" w:type="auto"/>
        <w:tblLayout w:type="fixed"/>
        <w:tblLook w:val="04A0" w:firstRow="1" w:lastRow="0" w:firstColumn="1" w:lastColumn="0" w:noHBand="0" w:noVBand="1"/>
      </w:tblPr>
      <w:tblGrid>
        <w:gridCol w:w="3111"/>
        <w:gridCol w:w="5491"/>
      </w:tblGrid>
      <w:tr w:rsidR="00B65513" w:rsidRPr="000636B7"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eastAsia="en-GB"/>
              </w:rPr>
              <w:t>DG – Direction – Unité</w:t>
            </w:r>
          </w:p>
        </w:tc>
        <w:sdt>
          <w:sdtPr>
            <w:rPr>
              <w:bCs/>
              <w:lang w:val="en-IE" w:eastAsia="en-GB"/>
            </w:rPr>
            <w:id w:val="-1729989648"/>
            <w:placeholder>
              <w:docPart w:val="70AAD37E9A1F4B5EA5C1270588299908"/>
            </w:placeholder>
          </w:sdtPr>
          <w:sdtEndPr/>
          <w:sdtContent>
            <w:tc>
              <w:tcPr>
                <w:tcW w:w="5491" w:type="dxa"/>
              </w:tcPr>
              <w:p w14:paraId="786241CD" w14:textId="5BB97D3A" w:rsidR="00B65513" w:rsidRPr="000636B7" w:rsidRDefault="007A47DA" w:rsidP="00E82667">
                <w:pPr>
                  <w:tabs>
                    <w:tab w:val="left" w:pos="426"/>
                  </w:tabs>
                  <w:spacing w:before="120"/>
                  <w:rPr>
                    <w:bCs/>
                    <w:lang w:val="en-IE" w:eastAsia="en-GB"/>
                  </w:rPr>
                </w:pPr>
                <w:r w:rsidRPr="000636B7">
                  <w:rPr>
                    <w:bCs/>
                    <w:lang w:val="en-IE" w:eastAsia="en-GB"/>
                  </w:rPr>
                  <w:t xml:space="preserve">DG BUDG – </w:t>
                </w:r>
                <w:r w:rsidR="000636B7" w:rsidRPr="000636B7">
                  <w:rPr>
                    <w:bCs/>
                    <w:lang w:val="en-IE" w:eastAsia="en-GB"/>
                  </w:rPr>
                  <w:t>Task Force</w:t>
                </w:r>
                <w:r w:rsidRPr="000636B7">
                  <w:rPr>
                    <w:bCs/>
                    <w:lang w:val="en-IE" w:eastAsia="en-GB"/>
                  </w:rPr>
                  <w:t xml:space="preserve"> STEP </w:t>
                </w:r>
              </w:p>
            </w:tc>
          </w:sdtContent>
        </w:sdt>
      </w:tr>
      <w:tr w:rsidR="00D96984" w:rsidRPr="00AF417C" w14:paraId="4B8EFB62" w14:textId="77777777" w:rsidTr="0007110E">
        <w:tc>
          <w:tcPr>
            <w:tcW w:w="3111" w:type="dxa"/>
          </w:tcPr>
          <w:p w14:paraId="51EA5B20" w14:textId="30D9C7F2" w:rsidR="00D96984" w:rsidRPr="000636B7" w:rsidRDefault="00D96984" w:rsidP="00E82667">
            <w:pPr>
              <w:tabs>
                <w:tab w:val="left" w:pos="426"/>
              </w:tabs>
              <w:spacing w:before="120"/>
              <w:rPr>
                <w:bCs/>
                <w:lang w:val="fr-BE" w:eastAsia="en-GB"/>
              </w:rPr>
            </w:pPr>
            <w:r w:rsidRPr="000636B7">
              <w:rPr>
                <w:bCs/>
                <w:lang w:val="fr-BE" w:eastAsia="en-GB"/>
              </w:rPr>
              <w:t>Numéro de poste dans sysper :</w:t>
            </w:r>
          </w:p>
        </w:tc>
        <w:sdt>
          <w:sdtPr>
            <w:rPr>
              <w:bCs/>
              <w:lang w:val="en-IE" w:eastAsia="en-GB"/>
            </w:rPr>
            <w:id w:val="-686597872"/>
            <w:placeholder>
              <w:docPart w:val="722A130BB2FD42CB99AF58537814D26D"/>
            </w:placeholder>
          </w:sdtPr>
          <w:sdtEndPr/>
          <w:sdtContent>
            <w:tc>
              <w:tcPr>
                <w:tcW w:w="5491" w:type="dxa"/>
              </w:tcPr>
              <w:p w14:paraId="26B6BD75" w14:textId="25351308" w:rsidR="00D96984" w:rsidRPr="0007110E" w:rsidRDefault="00C940B5" w:rsidP="00E82667">
                <w:pPr>
                  <w:tabs>
                    <w:tab w:val="left" w:pos="426"/>
                  </w:tabs>
                  <w:spacing w:before="120"/>
                  <w:rPr>
                    <w:bCs/>
                    <w:lang w:val="en-IE" w:eastAsia="en-GB"/>
                  </w:rPr>
                </w:pPr>
                <w:hyperlink r:id="rId15" w:history="1">
                  <w:r w:rsidR="00962510">
                    <w:rPr>
                      <w:rStyle w:val="Hyperlink"/>
                      <w:rFonts w:ascii="Arial" w:hAnsi="Arial" w:cs="Arial"/>
                      <w:color w:val="006699"/>
                      <w:sz w:val="17"/>
                      <w:szCs w:val="17"/>
                      <w:bdr w:val="none" w:sz="0" w:space="0" w:color="auto" w:frame="1"/>
                    </w:rPr>
                    <w:t>427030</w:t>
                  </w:r>
                </w:hyperlink>
              </w:p>
            </w:tc>
          </w:sdtContent>
        </w:sdt>
      </w:tr>
      <w:tr w:rsidR="00E21DBD" w:rsidRPr="00C940B5" w14:paraId="4E8359D5" w14:textId="77777777" w:rsidTr="0007110E">
        <w:tc>
          <w:tcPr>
            <w:tcW w:w="3111" w:type="dxa"/>
          </w:tcPr>
          <w:p w14:paraId="72A7A894" w14:textId="22DABB33" w:rsidR="00E21DBD" w:rsidRPr="000636B7" w:rsidRDefault="00B65513" w:rsidP="00E82667">
            <w:pPr>
              <w:tabs>
                <w:tab w:val="left" w:pos="1697"/>
              </w:tabs>
              <w:spacing w:before="120"/>
              <w:ind w:right="-1741"/>
              <w:rPr>
                <w:bCs/>
                <w:szCs w:val="24"/>
                <w:lang w:val="fr-BE" w:eastAsia="en-GB"/>
              </w:rPr>
            </w:pPr>
            <w:r w:rsidRPr="000636B7">
              <w:rPr>
                <w:bCs/>
                <w:szCs w:val="24"/>
                <w:lang w:val="fr-BE" w:eastAsia="en-GB"/>
              </w:rPr>
              <w:t xml:space="preserve">Personne </w:t>
            </w:r>
            <w:r w:rsidR="000636B7">
              <w:rPr>
                <w:bCs/>
                <w:szCs w:val="24"/>
                <w:lang w:val="fr-BE" w:eastAsia="en-GB"/>
              </w:rPr>
              <w:t>à</w:t>
            </w:r>
            <w:r w:rsidRPr="000636B7">
              <w:rPr>
                <w:bCs/>
                <w:szCs w:val="24"/>
                <w:lang w:val="fr-BE" w:eastAsia="en-GB"/>
              </w:rPr>
              <w:t xml:space="preserve"> contact</w:t>
            </w:r>
            <w:r w:rsidR="000636B7">
              <w:rPr>
                <w:bCs/>
                <w:szCs w:val="24"/>
                <w:lang w:val="fr-BE" w:eastAsia="en-GB"/>
              </w:rPr>
              <w:t>er</w:t>
            </w:r>
            <w:r w:rsidRPr="000636B7">
              <w:rPr>
                <w:bCs/>
                <w:szCs w:val="24"/>
                <w:lang w:val="fr-BE" w:eastAsia="en-GB"/>
              </w:rPr>
              <w:t xml:space="preserve"> :</w:t>
            </w:r>
          </w:p>
          <w:p w14:paraId="1BD76B84" w14:textId="2ED3769A" w:rsidR="00E21DBD" w:rsidRPr="000636B7" w:rsidRDefault="00C75BA4" w:rsidP="00E82667">
            <w:pPr>
              <w:tabs>
                <w:tab w:val="left" w:pos="1697"/>
              </w:tabs>
              <w:ind w:right="-1739"/>
              <w:contextualSpacing/>
              <w:rPr>
                <w:bCs/>
                <w:szCs w:val="24"/>
                <w:lang w:val="fr-BE" w:eastAsia="en-GB"/>
              </w:rPr>
            </w:pPr>
            <w:r w:rsidRPr="000636B7">
              <w:rPr>
                <w:bCs/>
                <w:szCs w:val="24"/>
                <w:lang w:val="fr-BE" w:eastAsia="en-GB"/>
              </w:rPr>
              <w:t>Date de début prévisionnelle :</w:t>
            </w:r>
          </w:p>
          <w:p w14:paraId="324479C0" w14:textId="6E052826" w:rsidR="00E21DBD" w:rsidRPr="000636B7" w:rsidRDefault="00C75BA4" w:rsidP="00E82667">
            <w:pPr>
              <w:tabs>
                <w:tab w:val="left" w:pos="1697"/>
              </w:tabs>
              <w:ind w:right="-1739"/>
              <w:contextualSpacing/>
              <w:rPr>
                <w:bCs/>
                <w:szCs w:val="24"/>
                <w:lang w:val="fr-BE" w:eastAsia="en-GB"/>
              </w:rPr>
            </w:pPr>
            <w:r w:rsidRPr="000636B7">
              <w:rPr>
                <w:bCs/>
                <w:szCs w:val="24"/>
                <w:lang w:val="fr-BE" w:eastAsia="en-GB"/>
              </w:rPr>
              <w:t>Durée initiale :</w:t>
            </w:r>
          </w:p>
          <w:p w14:paraId="07FF8994" w14:textId="77777777" w:rsidR="00E21DBD" w:rsidRPr="000636B7" w:rsidRDefault="00E21DBD" w:rsidP="00E82667">
            <w:pPr>
              <w:tabs>
                <w:tab w:val="left" w:pos="426"/>
              </w:tabs>
              <w:spacing w:after="0"/>
              <w:contextualSpacing/>
              <w:rPr>
                <w:bCs/>
                <w:lang w:val="fr-BE" w:eastAsia="en-GB"/>
              </w:rPr>
            </w:pPr>
            <w:r w:rsidRPr="000636B7">
              <w:rPr>
                <w:bCs/>
                <w:szCs w:val="24"/>
                <w:lang w:val="fr-BE" w:eastAsia="en-GB"/>
              </w:rPr>
              <w:t>Lieu de détachement :</w:t>
            </w:r>
          </w:p>
        </w:tc>
        <w:tc>
          <w:tcPr>
            <w:tcW w:w="5491" w:type="dxa"/>
          </w:tcPr>
          <w:sdt>
            <w:sdtPr>
              <w:rPr>
                <w:bCs/>
                <w:lang w:val="en-IE" w:eastAsia="en-GB"/>
              </w:rPr>
              <w:id w:val="226507670"/>
              <w:placeholder>
                <w:docPart w:val="E4139A8A81AD41B0A456F71CC855670B"/>
              </w:placeholder>
            </w:sdtPr>
            <w:sdtEndPr/>
            <w:sdtContent>
              <w:p w14:paraId="132C4A69" w14:textId="60ECC07F" w:rsidR="007A47DA" w:rsidRPr="000636B7" w:rsidRDefault="007A47DA" w:rsidP="00E82667">
                <w:pPr>
                  <w:tabs>
                    <w:tab w:val="left" w:pos="426"/>
                  </w:tabs>
                  <w:spacing w:before="120"/>
                  <w:rPr>
                    <w:bCs/>
                    <w:lang w:val="fr-BE" w:eastAsia="en-GB"/>
                  </w:rPr>
                </w:pPr>
                <w:r w:rsidRPr="000636B7">
                  <w:rPr>
                    <w:bCs/>
                    <w:lang w:val="fr-BE" w:eastAsia="en-GB"/>
                  </w:rPr>
                  <w:t xml:space="preserve">C. Vandierendonck, </w:t>
                </w:r>
                <w:r w:rsidR="000636B7">
                  <w:rPr>
                    <w:bCs/>
                    <w:lang w:val="fr-BE" w:eastAsia="en-GB"/>
                  </w:rPr>
                  <w:t>C</w:t>
                </w:r>
                <w:r w:rsidRPr="000636B7">
                  <w:rPr>
                    <w:bCs/>
                    <w:lang w:val="fr-BE" w:eastAsia="en-GB"/>
                  </w:rPr>
                  <w:t xml:space="preserve">hef de la </w:t>
                </w:r>
                <w:r w:rsidR="000636B7">
                  <w:rPr>
                    <w:bCs/>
                    <w:lang w:val="fr-BE" w:eastAsia="en-GB"/>
                  </w:rPr>
                  <w:t>T</w:t>
                </w:r>
                <w:r w:rsidRPr="000636B7">
                  <w:rPr>
                    <w:bCs/>
                    <w:lang w:val="fr-BE" w:eastAsia="en-GB"/>
                  </w:rPr>
                  <w:t>ask</w:t>
                </w:r>
                <w:r w:rsidR="000636B7">
                  <w:rPr>
                    <w:bCs/>
                    <w:lang w:val="fr-BE" w:eastAsia="en-GB"/>
                  </w:rPr>
                  <w:t xml:space="preserve"> F</w:t>
                </w:r>
                <w:r w:rsidRPr="000636B7">
                  <w:rPr>
                    <w:bCs/>
                    <w:lang w:val="fr-BE" w:eastAsia="en-GB"/>
                  </w:rPr>
                  <w:t xml:space="preserve">orce/ </w:t>
                </w:r>
                <w:hyperlink r:id="rId16" w:history="1">
                  <w:r w:rsidRPr="000636B7">
                    <w:rPr>
                      <w:rStyle w:val="Hyperlink"/>
                      <w:bCs/>
                      <w:lang w:val="fr-BE" w:eastAsia="en-GB"/>
                    </w:rPr>
                    <w:t>caroline.vandierendonck@ec.europa.eu</w:t>
                  </w:r>
                </w:hyperlink>
              </w:p>
            </w:sdtContent>
          </w:sdt>
          <w:p w14:paraId="34CF737A" w14:textId="017814C8" w:rsidR="00E21DBD" w:rsidRPr="000636B7" w:rsidRDefault="00C940B5"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91403C" w:rsidRPr="000636B7">
                  <w:rPr>
                    <w:bCs/>
                    <w:lang w:val="fr-BE"/>
                  </w:rPr>
                  <w:t xml:space="preserve">   3 </w:t>
                </w:r>
                <w:r w:rsidR="0091403C" w:rsidRPr="000636B7">
                  <w:rPr>
                    <w:bCs/>
                    <w:vertAlign w:val="superscript"/>
                    <w:lang w:val="fr-BE"/>
                  </w:rPr>
                  <w:t xml:space="preserve">   Rd </w:t>
                </w:r>
              </w:sdtContent>
            </w:sdt>
            <w:r w:rsidR="00E21DBD" w:rsidRPr="000636B7">
              <w:rPr>
                <w:bCs/>
                <w:lang w:val="fr-BE"/>
              </w:rPr>
              <w:t xml:space="preserve"> quartier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sidRPr="000636B7">
                  <w:rPr>
                    <w:bCs/>
                    <w:lang w:val="fr-BE"/>
                  </w:rPr>
                  <w:t>2024</w:t>
                </w:r>
              </w:sdtContent>
            </w:sdt>
          </w:p>
          <w:p w14:paraId="158DD156" w14:textId="15CA4728" w:rsidR="00E21DBD" w:rsidRPr="000636B7" w:rsidRDefault="00C940B5" w:rsidP="00E82667">
            <w:pPr>
              <w:tabs>
                <w:tab w:val="left" w:pos="426"/>
              </w:tabs>
              <w:contextualSpacing/>
              <w:jc w:val="left"/>
              <w:rPr>
                <w:bCs/>
                <w:szCs w:val="24"/>
                <w:lang w:val="fr-BE" w:eastAsia="en-GB"/>
              </w:rPr>
            </w:pPr>
            <w:sdt>
              <w:sdtPr>
                <w:rPr>
                  <w:bCs/>
                  <w:lang w:val="en-IE" w:eastAsia="en-GB"/>
                </w:rPr>
                <w:id w:val="202528730"/>
                <w:placeholder>
                  <w:docPart w:val="DefaultPlaceholder_-1854013440"/>
                </w:placeholder>
              </w:sdtPr>
              <w:sdtEndPr/>
              <w:sdtContent>
                <w:r w:rsidR="007A47DA" w:rsidRPr="000636B7">
                  <w:rPr>
                    <w:bCs/>
                    <w:lang w:val="fr-BE" w:eastAsia="en-GB"/>
                  </w:rPr>
                  <w:t xml:space="preserve">   2 </w:t>
                </w:r>
              </w:sdtContent>
            </w:sdt>
            <w:r w:rsidR="00E21DBD" w:rsidRPr="000636B7">
              <w:rPr>
                <w:bCs/>
                <w:lang w:val="fr-BE" w:eastAsia="en-GB"/>
              </w:rPr>
              <w:t xml:space="preserve"> années</w:t>
            </w:r>
            <w:r w:rsidR="00E21DBD" w:rsidRPr="000636B7">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A47DA" w:rsidRPr="000636B7">
                  <w:rPr>
                    <w:rFonts w:ascii="MS Gothic" w:eastAsia="MS Gothic" w:hAnsi="MS Gothic" w:hint="eastAsia"/>
                    <w:bCs/>
                    <w:szCs w:val="24"/>
                    <w:lang w:val="fr-BE" w:eastAsia="en-GB"/>
                  </w:rPr>
                  <w:t xml:space="preserve">   ☒ </w:t>
                </w:r>
              </w:sdtContent>
            </w:sdt>
            <w:r w:rsidR="00E21DBD" w:rsidRPr="000636B7">
              <w:rPr>
                <w:bCs/>
                <w:lang w:val="fr-BE" w:eastAsia="en-GB"/>
              </w:rPr>
              <w:t xml:space="preserve"> Bruxelles  </w:t>
            </w:r>
            <w:sdt>
              <w:sdtPr>
                <w:rPr>
                  <w:bCs/>
                  <w:szCs w:val="24"/>
                  <w:lang w:val="fr-BE" w:eastAsia="en-GB"/>
                </w:rPr>
                <w:id w:val="1282158214"/>
                <w14:checkbox>
                  <w14:checked w14:val="0"/>
                  <w14:checkedState w14:val="2612" w14:font="MS Gothic"/>
                  <w14:uncheckedState w14:val="2610" w14:font="MS Gothic"/>
                </w14:checkbox>
              </w:sdtPr>
              <w:sdtEndPr/>
              <w:sdtContent>
                <w:r w:rsidR="007F02AC" w:rsidRPr="000636B7">
                  <w:rPr>
                    <w:rFonts w:ascii="MS Gothic" w:eastAsia="MS Gothic" w:hAnsi="MS Gothic" w:hint="eastAsia"/>
                    <w:bCs/>
                    <w:szCs w:val="24"/>
                    <w:lang w:val="fr-BE" w:eastAsia="en-GB"/>
                  </w:rPr>
                  <w:t xml:space="preserve">   ☐ </w:t>
                </w:r>
              </w:sdtContent>
            </w:sdt>
            <w:r w:rsidR="00E21DBD" w:rsidRPr="000636B7">
              <w:rPr>
                <w:bCs/>
                <w:szCs w:val="24"/>
                <w:lang w:val="fr-BE" w:eastAsia="en-GB"/>
              </w:rPr>
              <w:t xml:space="preserve"> Luxembourg Autre : </w:t>
            </w:r>
            <w:sdt>
              <w:sdtPr>
                <w:rPr>
                  <w:bCs/>
                  <w:szCs w:val="24"/>
                  <w:lang w:val="fr-BE" w:eastAsia="en-GB"/>
                </w:rPr>
                <w:id w:val="-432676822"/>
                <w14:checkbox>
                  <w14:checked w14:val="0"/>
                  <w14:checkedState w14:val="2612" w14:font="MS Gothic"/>
                  <w14:uncheckedState w14:val="2610" w14:font="MS Gothic"/>
                </w14:checkbox>
              </w:sdtPr>
              <w:sdtEndPr/>
              <w:sdtContent>
                <w:r w:rsidR="002109E6" w:rsidRPr="000636B7">
                  <w:rPr>
                    <w:rFonts w:ascii="MS Gothic" w:eastAsia="MS Gothic" w:hAnsi="MS Gothic" w:hint="eastAsia"/>
                    <w:bCs/>
                    <w:szCs w:val="24"/>
                    <w:lang w:val="fr-BE" w:eastAsia="en-GB"/>
                  </w:rPr>
                  <w:t xml:space="preserve">   ☐ </w:t>
                </w:r>
              </w:sdtContent>
            </w:sdt>
            <w:sdt>
              <w:sdtPr>
                <w:rPr>
                  <w:bCs/>
                  <w:szCs w:val="24"/>
                  <w:lang w:eastAsia="en-GB"/>
                </w:rPr>
                <w:id w:val="-186994276"/>
                <w:placeholder>
                  <w:docPart w:val="42CE55A0461841A39534A5E777539A67"/>
                </w:placeholder>
                <w:showingPlcHdr/>
              </w:sdtPr>
              <w:sdtEndPr/>
              <w:sdtContent>
                <w:r w:rsidR="007A47DA" w:rsidRPr="000636B7">
                  <w:rPr>
                    <w:rStyle w:val="PlaceholderText"/>
                    <w:lang w:val="fr-BE"/>
                  </w:rPr>
                  <w:t xml:space="preserve">   Cliquez ou appuyez ici pour saisir du texte. </w:t>
                </w:r>
              </w:sdtContent>
            </w:sdt>
          </w:p>
          <w:p w14:paraId="7CA484B0" w14:textId="77777777" w:rsidR="00E21DBD" w:rsidRPr="000636B7"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eastAsia="en-GB"/>
              </w:rPr>
              <w:t>Type de détachement</w:t>
            </w:r>
          </w:p>
        </w:tc>
        <w:tc>
          <w:tcPr>
            <w:tcW w:w="5491" w:type="dxa"/>
          </w:tcPr>
          <w:p w14:paraId="6B14399A" w14:textId="698935D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7" o:title=""/>
                </v:shape>
                <w:control r:id="rId18" w:name="OptionButton6" w:shapeid="_x0000_i1037"/>
              </w:object>
            </w:r>
            <w:r>
              <w:rPr>
                <w:bCs/>
                <w:szCs w:val="24"/>
                <w:lang w:eastAsia="en-GB"/>
              </w:rPr>
              <w:object w:dxaOrig="225" w:dyaOrig="225" w14:anchorId="1B1CECAE">
                <v:shape id="_x0000_i1039" type="#_x0000_t75" style="width:108pt;height:21.75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636B7" w:rsidRDefault="00E21DBD" w:rsidP="00E82667">
            <w:pPr>
              <w:tabs>
                <w:tab w:val="left" w:pos="426"/>
              </w:tabs>
              <w:spacing w:before="120"/>
              <w:rPr>
                <w:bCs/>
                <w:lang w:val="fr-BE" w:eastAsia="en-GB"/>
              </w:rPr>
            </w:pPr>
            <w:r w:rsidRPr="000636B7">
              <w:rPr>
                <w:bCs/>
                <w:lang w:val="fr-BE" w:eastAsia="en-GB"/>
              </w:rPr>
              <w:t>Cet avis de vacance est ouvert aux :</w:t>
            </w:r>
          </w:p>
          <w:p w14:paraId="4446CE69" w14:textId="4D1001F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1" o:title=""/>
                </v:shape>
                <w:control r:id="rId22" w:name="OptionButton4" w:shapeid="_x0000_i1041"/>
              </w:object>
            </w:r>
          </w:p>
          <w:p w14:paraId="41B550FE" w14:textId="59EA556E" w:rsidR="0040388A" w:rsidRPr="000636B7" w:rsidRDefault="0040388A" w:rsidP="002C49D0">
            <w:pPr>
              <w:tabs>
                <w:tab w:val="left" w:pos="426"/>
              </w:tabs>
              <w:spacing w:after="120"/>
              <w:ind w:left="567"/>
              <w:rPr>
                <w:bCs/>
                <w:szCs w:val="24"/>
                <w:lang w:val="fr-BE" w:eastAsia="en-GB"/>
              </w:rPr>
            </w:pPr>
            <w:r w:rsidRPr="000636B7">
              <w:rPr>
                <w:bCs/>
                <w:szCs w:val="24"/>
                <w:lang w:val="fr-BE"/>
              </w:rPr>
              <w:t>ainsi que</w:t>
            </w:r>
          </w:p>
          <w:p w14:paraId="48418475" w14:textId="6331CDD6" w:rsidR="0040388A" w:rsidRPr="000636B7" w:rsidRDefault="00C940B5" w:rsidP="002C49D0">
            <w:pPr>
              <w:tabs>
                <w:tab w:val="left" w:pos="426"/>
              </w:tabs>
              <w:ind w:left="567"/>
              <w:contextualSpacing/>
              <w:rPr>
                <w:bCs/>
                <w:szCs w:val="24"/>
                <w:lang w:val="fr-BE" w:eastAsia="en-GB"/>
              </w:rPr>
            </w:pPr>
            <w:sdt>
              <w:sdtPr>
                <w:rPr>
                  <w:bCs/>
                  <w:szCs w:val="24"/>
                  <w:lang w:val="fr-BE" w:eastAsia="en-GB"/>
                </w:rPr>
                <w:id w:val="663369292"/>
                <w14:checkbox>
                  <w14:checked w14:val="0"/>
                  <w14:checkedState w14:val="2612" w14:font="MS Gothic"/>
                  <w14:uncheckedState w14:val="2610" w14:font="MS Gothic"/>
                </w14:checkbox>
              </w:sdtPr>
              <w:sdtEndPr/>
              <w:sdtContent>
                <w:r w:rsidR="0040388A" w:rsidRPr="000636B7">
                  <w:rPr>
                    <w:rFonts w:ascii="MS Gothic" w:eastAsia="MS Gothic" w:hAnsi="MS Gothic" w:hint="eastAsia"/>
                    <w:bCs/>
                    <w:szCs w:val="24"/>
                    <w:lang w:val="fr-BE"/>
                  </w:rPr>
                  <w:t xml:space="preserve">   ☐ </w:t>
                </w:r>
              </w:sdtContent>
            </w:sdt>
            <w:r w:rsidR="0040388A" w:rsidRPr="000636B7">
              <w:rPr>
                <w:bCs/>
                <w:szCs w:val="24"/>
                <w:lang w:val="fr-BE"/>
              </w:rPr>
              <w:t xml:space="preserve"> Les pays de l'AELE suivants :</w:t>
            </w:r>
          </w:p>
          <w:p w14:paraId="14835B5E" w14:textId="77777777" w:rsidR="0040388A" w:rsidRPr="000636B7" w:rsidRDefault="0040388A" w:rsidP="002C49D0">
            <w:pPr>
              <w:tabs>
                <w:tab w:val="left" w:pos="426"/>
              </w:tabs>
              <w:ind w:left="1134"/>
              <w:contextualSpacing/>
              <w:rPr>
                <w:bCs/>
                <w:szCs w:val="24"/>
                <w:lang w:val="fr-BE" w:eastAsia="en-GB"/>
              </w:rPr>
            </w:pPr>
            <w:r w:rsidRPr="000636B7">
              <w:rPr>
                <w:bCs/>
                <w:szCs w:val="24"/>
                <w:lang w:val="fr-BE"/>
              </w:rPr>
              <w:tab/>
            </w:r>
            <w:sdt>
              <w:sdtPr>
                <w:rPr>
                  <w:bCs/>
                  <w:szCs w:val="24"/>
                  <w:lang w:val="fr-BE" w:eastAsia="en-GB"/>
                </w:rPr>
                <w:id w:val="1342279711"/>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r w:rsidRPr="000636B7">
              <w:rPr>
                <w:bCs/>
                <w:szCs w:val="24"/>
                <w:lang w:val="fr-BE"/>
              </w:rPr>
              <w:t xml:space="preserve"> Islande Liechtenstein Norvège Suisse</w:t>
            </w:r>
            <w:sdt>
              <w:sdtPr>
                <w:rPr>
                  <w:bCs/>
                  <w:szCs w:val="24"/>
                  <w:lang w:val="fr-BE" w:eastAsia="en-GB"/>
                </w:rPr>
                <w:id w:val="1150098653"/>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sdt>
              <w:sdtPr>
                <w:rPr>
                  <w:bCs/>
                  <w:szCs w:val="24"/>
                  <w:lang w:val="fr-BE" w:eastAsia="en-GB"/>
                </w:rPr>
                <w:id w:val="-1678417129"/>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sdt>
              <w:sdtPr>
                <w:rPr>
                  <w:bCs/>
                  <w:szCs w:val="24"/>
                  <w:lang w:val="fr-BE" w:eastAsia="en-GB"/>
                </w:rPr>
                <w:id w:val="-1364357881"/>
                <w14:checkbox>
                  <w14:checked w14:val="0"/>
                  <w14:checkedState w14:val="2612" w14:font="MS Gothic"/>
                  <w14:uncheckedState w14:val="2610" w14:font="MS Gothic"/>
                </w14:checkbox>
              </w:sdtPr>
              <w:sdtEndPr/>
              <w:sdtContent>
                <w:r w:rsidRPr="000636B7">
                  <w:rPr>
                    <w:rFonts w:ascii="MS Gothic" w:eastAsia="MS Gothic" w:hAnsi="MS Gothic" w:hint="eastAsia"/>
                    <w:bCs/>
                    <w:szCs w:val="24"/>
                    <w:lang w:val="fr-BE"/>
                  </w:rPr>
                  <w:t xml:space="preserve">   ☐ </w:t>
                </w:r>
              </w:sdtContent>
            </w:sdt>
          </w:p>
          <w:p w14:paraId="0E54D6FB" w14:textId="4EF3712C" w:rsidR="0040388A" w:rsidRPr="000636B7" w:rsidRDefault="00C940B5" w:rsidP="002C49D0">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0040388A" w:rsidRPr="000636B7">
                  <w:rPr>
                    <w:rFonts w:ascii="MS Gothic" w:eastAsia="MS Gothic" w:hAnsi="MS Gothic" w:hint="eastAsia"/>
                    <w:bCs/>
                    <w:szCs w:val="24"/>
                    <w:lang w:val="fr-BE"/>
                  </w:rPr>
                  <w:t xml:space="preserve">   ☐ </w:t>
                </w:r>
              </w:sdtContent>
            </w:sdt>
            <w:r w:rsidR="0040388A" w:rsidRPr="000636B7">
              <w:rPr>
                <w:bCs/>
                <w:szCs w:val="24"/>
                <w:lang w:val="fr-BE"/>
              </w:rPr>
              <w:t xml:space="preserve"> Les pays tiers suivants :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00431778" w:rsidRPr="0007110E">
                  <w:rPr>
                    <w:rStyle w:val="PlaceholderText"/>
                    <w:bCs/>
                  </w:rPr>
                  <w:t xml:space="preserve">    </w:t>
                </w:r>
              </w:sdtContent>
            </w:sdt>
          </w:p>
          <w:p w14:paraId="265CD5A1" w14:textId="0FD11D7C" w:rsidR="0040388A" w:rsidRDefault="00C940B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 xml:space="preserve">   ☐ </w:t>
                </w:r>
              </w:sdtContent>
            </w:sdt>
            <w:r w:rsidR="0040388A">
              <w:rPr>
                <w:bCs/>
                <w:szCs w:val="24"/>
                <w:lang w:eastAsia="en-GB"/>
              </w:rPr>
              <w:t xml:space="preserve"> Les organisations intergouvernementales suivantes :</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8A690B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636B7" w:rsidRDefault="00DF1E49" w:rsidP="002C49D0">
            <w:pPr>
              <w:tabs>
                <w:tab w:val="left" w:pos="426"/>
              </w:tabs>
              <w:spacing w:before="180"/>
              <w:rPr>
                <w:bCs/>
                <w:lang w:val="fr-BE" w:eastAsia="en-GB"/>
              </w:rPr>
            </w:pPr>
            <w:r w:rsidRPr="000636B7">
              <w:rPr>
                <w:bCs/>
                <w:lang w:val="fr-BE" w:eastAsia="en-GB"/>
              </w:rPr>
              <w:t>Date limite de dépôt des candidatures</w:t>
            </w:r>
          </w:p>
        </w:tc>
        <w:tc>
          <w:tcPr>
            <w:tcW w:w="5491" w:type="dxa"/>
          </w:tcPr>
          <w:p w14:paraId="240262F4" w14:textId="71E8502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5" o:title=""/>
                </v:shape>
                <w:control r:id="rId26" w:name="OptionButton2" w:shapeid="_x0000_i1045"/>
              </w:object>
            </w:r>
            <w:r>
              <w:rPr>
                <w:bCs/>
                <w:szCs w:val="24"/>
                <w:lang w:eastAsia="en-GB"/>
              </w:rPr>
              <w:object w:dxaOrig="225" w:dyaOrig="225" w14:anchorId="0992615F">
                <v:shape id="_x0000_i1047" type="#_x0000_t75" style="width:108pt;height:21.75pt" o:ole="">
                  <v:imagedata r:id="rId27" o:title=""/>
                </v:shape>
                <w:control r:id="rId28" w:name="OptionButton3" w:shapeid="_x0000_i1047"/>
              </w:object>
            </w:r>
          </w:p>
          <w:p w14:paraId="42C9AD79" w14:textId="2F83BA57" w:rsidR="002C13C3" w:rsidRPr="0007110E" w:rsidRDefault="002C13C3" w:rsidP="00E82667">
            <w:pPr>
              <w:tabs>
                <w:tab w:val="left" w:pos="426"/>
              </w:tabs>
              <w:spacing w:before="120" w:after="120"/>
              <w:rPr>
                <w:bCs/>
                <w:lang w:val="en-IE" w:eastAsia="en-GB"/>
              </w:rPr>
            </w:pPr>
            <w:r>
              <w:rPr>
                <w:bCs/>
                <w:szCs w:val="24"/>
                <w:lang w:eastAsia="en-GB"/>
              </w:rPr>
              <w:t xml:space="preserve">Date limite de candidature :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597E71">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636B7" w:rsidRDefault="003E50A4" w:rsidP="00994062">
      <w:pPr>
        <w:pStyle w:val="ListNumber"/>
        <w:numPr>
          <w:ilvl w:val="0"/>
          <w:numId w:val="0"/>
        </w:numPr>
        <w:ind w:left="709" w:hanging="709"/>
        <w:rPr>
          <w:lang w:val="fr-BE" w:eastAsia="en-GB"/>
        </w:rPr>
      </w:pPr>
      <w:bookmarkStart w:id="2" w:name="_Hlk132129090"/>
      <w:r w:rsidRPr="000636B7">
        <w:rPr>
          <w:b/>
          <w:bCs/>
          <w:lang w:val="fr-BE" w:eastAsia="en-GB"/>
        </w:rPr>
        <w:t>Présentation de l'entité (Nous sommes)</w:t>
      </w:r>
    </w:p>
    <w:bookmarkStart w:id="3" w:name="_Hlk168323995" w:displacedByCustomXml="next"/>
    <w:sdt>
      <w:sdtPr>
        <w:rPr>
          <w:szCs w:val="24"/>
          <w:lang w:val="en-US" w:eastAsia="en-GB"/>
        </w:rPr>
        <w:id w:val="1822233941"/>
        <w:placeholder>
          <w:docPart w:val="A1D7C4E93E5D41968C9784C962AACA55"/>
        </w:placeholder>
      </w:sdtPr>
      <w:sdtEndPr/>
      <w:sdtContent>
        <w:p w14:paraId="0644C512" w14:textId="65B5B19E" w:rsidR="00831761" w:rsidRPr="000636B7" w:rsidRDefault="00831761" w:rsidP="00831761">
          <w:pPr>
            <w:spacing w:after="0"/>
            <w:ind w:left="426"/>
            <w:rPr>
              <w:szCs w:val="24"/>
              <w:lang w:val="fr-BE" w:eastAsia="en-GB"/>
            </w:rPr>
          </w:pPr>
          <w:r w:rsidRPr="000636B7">
            <w:rPr>
              <w:szCs w:val="24"/>
              <w:lang w:val="fr-BE" w:eastAsia="en-GB"/>
            </w:rPr>
            <w:t xml:space="preserve">La Commission a créé 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 xml:space="preserve">orce STEP chargée de superviser la mise en œuvre du règlement établissant la plateforme « Technologies stratégiques pour l'Europe » (STEP). </w:t>
          </w:r>
          <w:r w:rsidR="000636B7">
            <w:rPr>
              <w:szCs w:val="24"/>
              <w:lang w:val="fr-BE" w:eastAsia="en-GB"/>
            </w:rPr>
            <w:t>Cette plateforme</w:t>
          </w:r>
          <w:r w:rsidRPr="000636B7">
            <w:rPr>
              <w:szCs w:val="24"/>
              <w:lang w:val="fr-BE" w:eastAsia="en-GB"/>
            </w:rPr>
            <w:t xml:space="preserve"> vise à accroître le soutien financier mobilisé par </w:t>
          </w:r>
          <w:r w:rsidR="000636B7">
            <w:rPr>
              <w:szCs w:val="24"/>
              <w:lang w:val="fr-BE" w:eastAsia="en-GB"/>
            </w:rPr>
            <w:t xml:space="preserve">le </w:t>
          </w:r>
          <w:r w:rsidRPr="000636B7">
            <w:rPr>
              <w:szCs w:val="24"/>
              <w:lang w:val="fr-BE" w:eastAsia="en-GB"/>
            </w:rPr>
            <w:t xml:space="preserve">budget </w:t>
          </w:r>
          <w:r w:rsidRPr="000636B7">
            <w:rPr>
              <w:szCs w:val="24"/>
              <w:lang w:val="fr-BE" w:eastAsia="en-GB"/>
            </w:rPr>
            <w:lastRenderedPageBreak/>
            <w:t xml:space="preserve">de l'UE pour les technologies critiques dans trois secteurs d'une grande importance stratégique pour l'UE, à savoir les </w:t>
          </w:r>
          <w:r w:rsidR="000636B7">
            <w:rPr>
              <w:szCs w:val="24"/>
              <w:lang w:val="fr-BE" w:eastAsia="en-GB"/>
            </w:rPr>
            <w:t xml:space="preserve">deep </w:t>
          </w:r>
          <w:r w:rsidRPr="000636B7">
            <w:rPr>
              <w:szCs w:val="24"/>
              <w:lang w:val="fr-BE" w:eastAsia="en-GB"/>
            </w:rPr>
            <w:t xml:space="preserve">technologies et </w:t>
          </w:r>
          <w:r w:rsidR="000636B7">
            <w:rPr>
              <w:szCs w:val="24"/>
              <w:lang w:val="fr-BE" w:eastAsia="en-GB"/>
            </w:rPr>
            <w:t xml:space="preserve">les technologies </w:t>
          </w:r>
          <w:r w:rsidRPr="000636B7">
            <w:rPr>
              <w:szCs w:val="24"/>
              <w:lang w:val="fr-BE" w:eastAsia="en-GB"/>
            </w:rPr>
            <w:t xml:space="preserve">numériques, les technologies propres et économes en ressources, et les biotechnologies. </w:t>
          </w:r>
        </w:p>
        <w:p w14:paraId="4FFC456B" w14:textId="77777777" w:rsidR="00831761" w:rsidRPr="000636B7" w:rsidRDefault="00831761" w:rsidP="00831761">
          <w:pPr>
            <w:spacing w:after="0"/>
            <w:ind w:left="426"/>
            <w:rPr>
              <w:szCs w:val="24"/>
              <w:lang w:val="fr-BE" w:eastAsia="en-GB"/>
            </w:rPr>
          </w:pPr>
        </w:p>
        <w:p w14:paraId="174903D5" w14:textId="77777777" w:rsidR="00831761" w:rsidRPr="000636B7" w:rsidRDefault="00831761" w:rsidP="00831761">
          <w:pPr>
            <w:spacing w:after="0"/>
            <w:ind w:left="426"/>
            <w:rPr>
              <w:szCs w:val="24"/>
              <w:lang w:val="fr-BE" w:eastAsia="en-GB"/>
            </w:rPr>
          </w:pPr>
          <w:r w:rsidRPr="000636B7">
            <w:rPr>
              <w:szCs w:val="24"/>
              <w:lang w:val="fr-BE" w:eastAsia="en-GB"/>
            </w:rPr>
            <w:t xml:space="preserve">L'objectif ultime est de renforcer la compétitivité et la capacité d'innovation de l'Europe, de préserver le marché unique et de contribuer à faire en sorte que l'UE puisse poursuivre de manière fiable ses transitions numérique et écologique sans être trop dépendante des pays tiers. </w:t>
          </w:r>
        </w:p>
        <w:p w14:paraId="6724B002" w14:textId="5FDDEE6C" w:rsidR="00831761" w:rsidRPr="000636B7" w:rsidRDefault="00831761" w:rsidP="00831761">
          <w:pPr>
            <w:spacing w:after="0"/>
            <w:ind w:left="426"/>
            <w:rPr>
              <w:szCs w:val="24"/>
              <w:lang w:val="fr-BE" w:eastAsia="en-GB"/>
            </w:rPr>
          </w:pPr>
          <w:r w:rsidRPr="000636B7">
            <w:rPr>
              <w:szCs w:val="24"/>
              <w:lang w:val="fr-BE" w:eastAsia="en-GB"/>
            </w:rPr>
            <w:t xml:space="preserve">Sur le plan administratif, 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 xml:space="preserve">orce STEP est une unité de la </w:t>
          </w:r>
          <w:r w:rsidR="000636B7">
            <w:rPr>
              <w:szCs w:val="24"/>
              <w:lang w:val="fr-BE" w:eastAsia="en-GB"/>
            </w:rPr>
            <w:t>D</w:t>
          </w:r>
          <w:r w:rsidRPr="000636B7">
            <w:rPr>
              <w:szCs w:val="24"/>
              <w:lang w:val="fr-BE" w:eastAsia="en-GB"/>
            </w:rPr>
            <w:t xml:space="preserve">irection </w:t>
          </w:r>
          <w:r w:rsidR="000636B7">
            <w:rPr>
              <w:szCs w:val="24"/>
              <w:lang w:val="fr-BE" w:eastAsia="en-GB"/>
            </w:rPr>
            <w:t>G</w:t>
          </w:r>
          <w:r w:rsidRPr="000636B7">
            <w:rPr>
              <w:szCs w:val="24"/>
              <w:lang w:val="fr-BE" w:eastAsia="en-GB"/>
            </w:rPr>
            <w:t xml:space="preserve">énérale du budget de la Commission (DG BUDG). Conformément à son importance stratégique pour la DG, l'unité est directement rattachée au directeur général de la DG BUDG. </w:t>
          </w:r>
        </w:p>
        <w:p w14:paraId="05812E52" w14:textId="77777777" w:rsidR="00831761" w:rsidRPr="000636B7" w:rsidRDefault="00831761" w:rsidP="00831761">
          <w:pPr>
            <w:spacing w:after="0"/>
            <w:ind w:left="426"/>
            <w:rPr>
              <w:szCs w:val="24"/>
              <w:lang w:val="fr-BE" w:eastAsia="en-GB"/>
            </w:rPr>
          </w:pPr>
        </w:p>
        <w:p w14:paraId="47DAC15A" w14:textId="13D562BE" w:rsidR="00831761" w:rsidRPr="000636B7" w:rsidRDefault="00831761" w:rsidP="00831761">
          <w:pPr>
            <w:spacing w:after="0"/>
            <w:ind w:left="426"/>
            <w:rPr>
              <w:szCs w:val="24"/>
              <w:lang w:val="fr-BE" w:eastAsia="en-GB"/>
            </w:rPr>
          </w:pPr>
          <w:r w:rsidRPr="000636B7">
            <w:rPr>
              <w:szCs w:val="24"/>
              <w:lang w:val="fr-BE" w:eastAsia="en-GB"/>
            </w:rPr>
            <w:t xml:space="preserve">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orce encouragera l'inclusion des priorités STEP dans la mise en œuvre des programmes de dépenses de l'UE</w:t>
          </w:r>
          <w:r w:rsidR="000636B7">
            <w:rPr>
              <w:szCs w:val="24"/>
              <w:lang w:val="fr-BE" w:eastAsia="en-GB"/>
            </w:rPr>
            <w:t xml:space="preserve">, </w:t>
          </w:r>
          <w:r w:rsidRPr="000636B7">
            <w:rPr>
              <w:szCs w:val="24"/>
              <w:lang w:val="fr-BE" w:eastAsia="en-GB"/>
            </w:rPr>
            <w:t>gérés directement et indirectement</w:t>
          </w:r>
          <w:r w:rsidR="000636B7">
            <w:rPr>
              <w:szCs w:val="24"/>
              <w:lang w:val="fr-BE" w:eastAsia="en-GB"/>
            </w:rPr>
            <w:t xml:space="preserve">, </w:t>
          </w:r>
          <w:r w:rsidRPr="000636B7">
            <w:rPr>
              <w:szCs w:val="24"/>
              <w:lang w:val="fr-BE" w:eastAsia="en-GB"/>
            </w:rPr>
            <w:t xml:space="preserve">et soutiendra la reprogrammation </w:t>
          </w:r>
          <w:r w:rsidR="000636B7" w:rsidRPr="000636B7">
            <w:rPr>
              <w:szCs w:val="24"/>
              <w:lang w:val="fr-BE" w:eastAsia="en-GB"/>
            </w:rPr>
            <w:t xml:space="preserve">des fonds de la politique de cohésion </w:t>
          </w:r>
          <w:r w:rsidRPr="000636B7">
            <w:rPr>
              <w:szCs w:val="24"/>
              <w:lang w:val="fr-BE" w:eastAsia="en-GB"/>
            </w:rPr>
            <w:t xml:space="preserve">vers les objectifs STEP par les États membres. </w:t>
          </w:r>
        </w:p>
        <w:p w14:paraId="5D43FFFA" w14:textId="77777777" w:rsidR="00831761" w:rsidRPr="000636B7" w:rsidRDefault="00831761" w:rsidP="00831761">
          <w:pPr>
            <w:spacing w:after="0"/>
            <w:ind w:left="426"/>
            <w:rPr>
              <w:szCs w:val="24"/>
              <w:lang w:val="fr-BE" w:eastAsia="en-GB"/>
            </w:rPr>
          </w:pPr>
        </w:p>
        <w:p w14:paraId="2E387110" w14:textId="3034149A" w:rsidR="00831761" w:rsidRPr="000636B7" w:rsidRDefault="00831761" w:rsidP="00831761">
          <w:pPr>
            <w:spacing w:after="0"/>
            <w:ind w:left="426"/>
            <w:rPr>
              <w:szCs w:val="24"/>
              <w:lang w:val="fr-BE" w:eastAsia="en-GB"/>
            </w:rPr>
          </w:pPr>
          <w:r w:rsidRPr="000636B7">
            <w:rPr>
              <w:szCs w:val="24"/>
              <w:lang w:val="fr-BE" w:eastAsia="en-GB"/>
            </w:rPr>
            <w:t xml:space="preserve">En outre, la </w:t>
          </w:r>
          <w:r w:rsidR="000636B7">
            <w:rPr>
              <w:szCs w:val="24"/>
              <w:lang w:val="fr-BE" w:eastAsia="en-GB"/>
            </w:rPr>
            <w:t>T</w:t>
          </w:r>
          <w:r w:rsidRPr="000636B7">
            <w:rPr>
              <w:szCs w:val="24"/>
              <w:lang w:val="fr-BE" w:eastAsia="en-GB"/>
            </w:rPr>
            <w:t>ask</w:t>
          </w:r>
          <w:r w:rsidR="000636B7">
            <w:rPr>
              <w:szCs w:val="24"/>
              <w:lang w:val="fr-BE" w:eastAsia="en-GB"/>
            </w:rPr>
            <w:t xml:space="preserve"> F</w:t>
          </w:r>
          <w:r w:rsidRPr="000636B7">
            <w:rPr>
              <w:szCs w:val="24"/>
              <w:lang w:val="fr-BE" w:eastAsia="en-GB"/>
            </w:rPr>
            <w:t xml:space="preserve">orce servira d'interface avec les </w:t>
          </w:r>
          <w:r w:rsidR="000636B7">
            <w:rPr>
              <w:szCs w:val="24"/>
              <w:lang w:val="fr-BE" w:eastAsia="en-GB"/>
            </w:rPr>
            <w:t>porteurs</w:t>
          </w:r>
          <w:r w:rsidRPr="000636B7">
            <w:rPr>
              <w:szCs w:val="24"/>
              <w:lang w:val="fr-BE" w:eastAsia="en-GB"/>
            </w:rPr>
            <w:t xml:space="preserve"> de projets qui souhaitent obtenir des conseils sur les financements de l'UE disponibles pour investir en Europe. </w:t>
          </w:r>
          <w:r w:rsidR="000636B7">
            <w:rPr>
              <w:szCs w:val="24"/>
              <w:lang w:val="fr-BE" w:eastAsia="en-GB"/>
            </w:rPr>
            <w:t>Elle</w:t>
          </w:r>
          <w:r w:rsidRPr="000636B7">
            <w:rPr>
              <w:szCs w:val="24"/>
              <w:lang w:val="fr-BE" w:eastAsia="en-GB"/>
            </w:rPr>
            <w:t xml:space="preserve"> couvrira toutes les formes de financement : subventions, fonds propres, dette ou garanties qui peuvent être fournis dans le cadre des différents programmes de l'UE, y compris par le biais d'instruments financiers mis en œuvre par les partenaires. </w:t>
          </w:r>
          <w:r w:rsidR="00374C8E">
            <w:rPr>
              <w:szCs w:val="24"/>
              <w:lang w:val="fr-BE" w:eastAsia="en-GB"/>
            </w:rPr>
            <w:t>STEP</w:t>
          </w:r>
          <w:r w:rsidRPr="000636B7">
            <w:rPr>
              <w:szCs w:val="24"/>
              <w:lang w:val="fr-BE" w:eastAsia="en-GB"/>
            </w:rPr>
            <w:t xml:space="preserve"> constituer</w:t>
          </w:r>
          <w:r w:rsidR="00374C8E">
            <w:rPr>
              <w:szCs w:val="24"/>
              <w:lang w:val="fr-BE" w:eastAsia="en-GB"/>
            </w:rPr>
            <w:t>a</w:t>
          </w:r>
          <w:r w:rsidRPr="000636B7">
            <w:rPr>
              <w:szCs w:val="24"/>
              <w:lang w:val="fr-BE" w:eastAsia="en-GB"/>
            </w:rPr>
            <w:t xml:space="preserve"> un lieu central pour promouvoir les possibilités de financement de l'UE et attirer les investissements industriels en Europe.</w:t>
          </w:r>
        </w:p>
        <w:p w14:paraId="465644B6" w14:textId="77777777" w:rsidR="00831761" w:rsidRPr="000636B7" w:rsidRDefault="00831761" w:rsidP="00831761">
          <w:pPr>
            <w:spacing w:after="0"/>
            <w:ind w:left="426"/>
            <w:rPr>
              <w:szCs w:val="24"/>
              <w:lang w:val="fr-BE" w:eastAsia="en-GB"/>
            </w:rPr>
          </w:pPr>
        </w:p>
        <w:p w14:paraId="47C33D80" w14:textId="777426D4" w:rsidR="0024148B" w:rsidRPr="000636B7" w:rsidRDefault="00831761" w:rsidP="00831761">
          <w:pPr>
            <w:spacing w:after="0"/>
            <w:ind w:left="426"/>
            <w:rPr>
              <w:sz w:val="22"/>
              <w:szCs w:val="22"/>
              <w:lang w:val="fr-BE"/>
            </w:rPr>
          </w:pPr>
          <w:r w:rsidRPr="000636B7">
            <w:rPr>
              <w:szCs w:val="24"/>
              <w:lang w:val="fr-BE" w:eastAsia="en-GB"/>
            </w:rPr>
            <w:t xml:space="preserve">La </w:t>
          </w:r>
          <w:r w:rsidR="00374C8E">
            <w:rPr>
              <w:szCs w:val="24"/>
              <w:lang w:val="fr-BE" w:eastAsia="en-GB"/>
            </w:rPr>
            <w:t>T</w:t>
          </w:r>
          <w:r w:rsidRPr="000636B7">
            <w:rPr>
              <w:szCs w:val="24"/>
              <w:lang w:val="fr-BE" w:eastAsia="en-GB"/>
            </w:rPr>
            <w:t>ask</w:t>
          </w:r>
          <w:r w:rsidR="00374C8E">
            <w:rPr>
              <w:szCs w:val="24"/>
              <w:lang w:val="fr-BE" w:eastAsia="en-GB"/>
            </w:rPr>
            <w:t xml:space="preserve"> F</w:t>
          </w:r>
          <w:r w:rsidRPr="000636B7">
            <w:rPr>
              <w:szCs w:val="24"/>
              <w:lang w:val="fr-BE" w:eastAsia="en-GB"/>
            </w:rPr>
            <w:t xml:space="preserve">orce participe également activement à la préparation du prochain cadre financier pluriannuel (CFP), c'est-à-dire le budget pluriannuel de l'UE qui succédera au CFP actuel lorsque celui-ci prendra fin en 2027. La </w:t>
          </w:r>
          <w:r w:rsidR="00374C8E">
            <w:rPr>
              <w:szCs w:val="24"/>
              <w:lang w:val="fr-BE" w:eastAsia="en-GB"/>
            </w:rPr>
            <w:t>T</w:t>
          </w:r>
          <w:r w:rsidRPr="000636B7">
            <w:rPr>
              <w:szCs w:val="24"/>
              <w:lang w:val="fr-BE" w:eastAsia="en-GB"/>
            </w:rPr>
            <w:t>ask</w:t>
          </w:r>
          <w:r w:rsidR="00374C8E">
            <w:rPr>
              <w:szCs w:val="24"/>
              <w:lang w:val="fr-BE" w:eastAsia="en-GB"/>
            </w:rPr>
            <w:t xml:space="preserve"> F</w:t>
          </w:r>
          <w:r w:rsidRPr="000636B7">
            <w:rPr>
              <w:szCs w:val="24"/>
              <w:lang w:val="fr-BE" w:eastAsia="en-GB"/>
            </w:rPr>
            <w:t xml:space="preserve">orce se concentrera en particulier sur l'architecture budgétaire du soutien financier à la compétitivité de l'UE. La </w:t>
          </w:r>
          <w:r w:rsidR="00374C8E">
            <w:rPr>
              <w:szCs w:val="24"/>
              <w:lang w:val="fr-BE" w:eastAsia="en-GB"/>
            </w:rPr>
            <w:t>T</w:t>
          </w:r>
          <w:r w:rsidRPr="000636B7">
            <w:rPr>
              <w:szCs w:val="24"/>
              <w:lang w:val="fr-BE" w:eastAsia="en-GB"/>
            </w:rPr>
            <w:t>ask</w:t>
          </w:r>
          <w:r w:rsidR="00374C8E">
            <w:rPr>
              <w:szCs w:val="24"/>
              <w:lang w:val="fr-BE" w:eastAsia="en-GB"/>
            </w:rPr>
            <w:t xml:space="preserve"> F</w:t>
          </w:r>
          <w:r w:rsidRPr="000636B7">
            <w:rPr>
              <w:szCs w:val="24"/>
              <w:lang w:val="fr-BE" w:eastAsia="en-GB"/>
            </w:rPr>
            <w:t xml:space="preserve">orce apportera à ces discussions les enseignements tirés de la mise en œuvre de STEP, en particulier en ce qui concerne le développement et l'exploitation des synergies entre les programmes de financement, </w:t>
          </w:r>
          <w:r w:rsidR="00374C8E">
            <w:rPr>
              <w:szCs w:val="24"/>
              <w:lang w:val="fr-BE" w:eastAsia="en-GB"/>
            </w:rPr>
            <w:t>un accès simplifié</w:t>
          </w:r>
          <w:r w:rsidRPr="000636B7">
            <w:rPr>
              <w:szCs w:val="24"/>
              <w:lang w:val="fr-BE" w:eastAsia="en-GB"/>
            </w:rPr>
            <w:t xml:space="preserve"> </w:t>
          </w:r>
          <w:r w:rsidR="00374C8E" w:rsidRPr="000636B7">
            <w:rPr>
              <w:szCs w:val="24"/>
              <w:lang w:val="fr-BE" w:eastAsia="en-GB"/>
            </w:rPr>
            <w:t xml:space="preserve">aux informations sur les financements de l'UE </w:t>
          </w:r>
          <w:r w:rsidR="00374C8E">
            <w:rPr>
              <w:szCs w:val="24"/>
              <w:lang w:val="fr-BE" w:eastAsia="en-GB"/>
            </w:rPr>
            <w:t>pour les</w:t>
          </w:r>
          <w:r w:rsidRPr="000636B7">
            <w:rPr>
              <w:szCs w:val="24"/>
              <w:lang w:val="fr-BE" w:eastAsia="en-GB"/>
            </w:rPr>
            <w:t xml:space="preserve"> bénéficiaires et, plus généralement, la poursuite des priorités de l'UE par </w:t>
          </w:r>
          <w:r w:rsidR="00374C8E">
            <w:rPr>
              <w:szCs w:val="24"/>
              <w:lang w:val="fr-BE" w:eastAsia="en-GB"/>
            </w:rPr>
            <w:t xml:space="preserve">son </w:t>
          </w:r>
          <w:r w:rsidRPr="000636B7">
            <w:rPr>
              <w:szCs w:val="24"/>
              <w:lang w:val="fr-BE" w:eastAsia="en-GB"/>
            </w:rPr>
            <w:t>budget de la manière la plus efficace et efficiente possible.</w:t>
          </w:r>
        </w:p>
        <w:p w14:paraId="59DD0438" w14:textId="281B2594" w:rsidR="00E21DBD" w:rsidRDefault="00C940B5" w:rsidP="0024148B">
          <w:pPr>
            <w:pStyle w:val="BodyText"/>
            <w:ind w:left="168"/>
            <w:jc w:val="both"/>
            <w:rPr>
              <w:lang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636B7" w:rsidRDefault="00E21DBD" w:rsidP="00994062">
      <w:pPr>
        <w:pStyle w:val="ListNumber"/>
        <w:numPr>
          <w:ilvl w:val="0"/>
          <w:numId w:val="0"/>
        </w:numPr>
        <w:ind w:left="709" w:hanging="709"/>
        <w:rPr>
          <w:lang w:val="fr-BE" w:eastAsia="en-GB"/>
        </w:rPr>
      </w:pPr>
      <w:r w:rsidRPr="000636B7">
        <w:rPr>
          <w:b/>
          <w:bCs/>
          <w:lang w:val="fr-BE" w:eastAsia="en-GB"/>
        </w:rPr>
        <w:t>Présentation de l'emploi (Nous proposons)</w:t>
      </w:r>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bookmarkStart w:id="4" w:name="_Hlk168324045" w:displacedByCustomXml="prev"/>
        <w:p w14:paraId="33D4635C" w14:textId="40217607" w:rsidR="00831761" w:rsidRPr="000636B7" w:rsidRDefault="00831761" w:rsidP="00831761">
          <w:pPr>
            <w:spacing w:after="0"/>
            <w:ind w:left="426"/>
            <w:rPr>
              <w:szCs w:val="24"/>
              <w:lang w:val="fr-BE"/>
            </w:rPr>
          </w:pPr>
          <w:r w:rsidRPr="000636B7">
            <w:rPr>
              <w:szCs w:val="24"/>
              <w:lang w:val="fr-BE"/>
            </w:rPr>
            <w:t xml:space="preserve">Nous proposons deux postes, pour deux experts provenant de deux États membres différents. </w:t>
          </w:r>
        </w:p>
        <w:p w14:paraId="75F48487" w14:textId="77777777" w:rsidR="00831761" w:rsidRPr="000636B7" w:rsidRDefault="00831761" w:rsidP="00831761">
          <w:pPr>
            <w:pStyle w:val="p1"/>
            <w:ind w:left="426"/>
            <w:rPr>
              <w:rFonts w:ascii="Times New Roman" w:hAnsi="Times New Roman"/>
              <w:sz w:val="24"/>
              <w:szCs w:val="24"/>
            </w:rPr>
          </w:pPr>
        </w:p>
        <w:p w14:paraId="408D3384" w14:textId="302EE20E"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Chaque poste est destiné à un expert national ayant une expérience de la mise en œuvre des programmes de dépenses de l'UE et d'autres priorités politiques liées aux transitions écologique et numérique. Compte tenu de la place centrale de la </w:t>
          </w:r>
          <w:r w:rsidR="00374C8E">
            <w:rPr>
              <w:rFonts w:ascii="Times New Roman" w:hAnsi="Times New Roman"/>
              <w:sz w:val="24"/>
              <w:szCs w:val="24"/>
            </w:rPr>
            <w:t>T</w:t>
          </w:r>
          <w:r w:rsidRPr="00FD5D6F">
            <w:rPr>
              <w:rFonts w:ascii="Times New Roman" w:hAnsi="Times New Roman"/>
              <w:sz w:val="24"/>
              <w:szCs w:val="24"/>
            </w:rPr>
            <w:t>ask</w:t>
          </w:r>
          <w:r w:rsidR="00374C8E">
            <w:rPr>
              <w:rFonts w:ascii="Times New Roman" w:hAnsi="Times New Roman"/>
              <w:sz w:val="24"/>
              <w:szCs w:val="24"/>
            </w:rPr>
            <w:t xml:space="preserve"> F</w:t>
          </w:r>
          <w:r w:rsidRPr="00FD5D6F">
            <w:rPr>
              <w:rFonts w:ascii="Times New Roman" w:hAnsi="Times New Roman"/>
              <w:sz w:val="24"/>
              <w:szCs w:val="24"/>
            </w:rPr>
            <w:t xml:space="preserve">orce dans la gestion des fonds de l'UE, ce poste permettra aux experts nationaux d'acquérir une connaissance unique du fonctionnement du budget de l'UE et de nombreux </w:t>
          </w:r>
          <w:r w:rsidR="00374C8E">
            <w:rPr>
              <w:rFonts w:ascii="Times New Roman" w:hAnsi="Times New Roman"/>
              <w:sz w:val="24"/>
              <w:szCs w:val="24"/>
            </w:rPr>
            <w:t xml:space="preserve">de ses </w:t>
          </w:r>
          <w:r w:rsidRPr="00FD5D6F">
            <w:rPr>
              <w:rFonts w:ascii="Times New Roman" w:hAnsi="Times New Roman"/>
              <w:sz w:val="24"/>
              <w:szCs w:val="24"/>
            </w:rPr>
            <w:t>programmes de financement</w:t>
          </w:r>
          <w:r w:rsidR="00374C8E">
            <w:rPr>
              <w:rFonts w:ascii="Times New Roman" w:hAnsi="Times New Roman"/>
              <w:sz w:val="24"/>
              <w:szCs w:val="24"/>
            </w:rPr>
            <w:t>, ainsi que</w:t>
          </w:r>
          <w:r w:rsidRPr="00FD5D6F">
            <w:rPr>
              <w:rFonts w:ascii="Times New Roman" w:hAnsi="Times New Roman"/>
              <w:sz w:val="24"/>
              <w:szCs w:val="24"/>
            </w:rPr>
            <w:t xml:space="preserve"> des directions générales de la Commission (DG, à l'instar des ministères ou services des administrations nationales) responsables</w:t>
          </w:r>
          <w:r w:rsidR="00374C8E">
            <w:rPr>
              <w:rFonts w:ascii="Times New Roman" w:hAnsi="Times New Roman"/>
              <w:sz w:val="24"/>
              <w:szCs w:val="24"/>
            </w:rPr>
            <w:t xml:space="preserve">. Ce poste permettra également de </w:t>
          </w:r>
          <w:r w:rsidRPr="00FD5D6F">
            <w:rPr>
              <w:rFonts w:ascii="Times New Roman" w:hAnsi="Times New Roman"/>
              <w:sz w:val="24"/>
              <w:szCs w:val="24"/>
            </w:rPr>
            <w:t xml:space="preserve">contribuer à l'élaboration </w:t>
          </w:r>
          <w:r w:rsidRPr="00FD5D6F">
            <w:rPr>
              <w:rFonts w:ascii="Times New Roman" w:hAnsi="Times New Roman"/>
              <w:sz w:val="24"/>
              <w:szCs w:val="24"/>
            </w:rPr>
            <w:lastRenderedPageBreak/>
            <w:t>du prochain cadre financier pluriannuel (la Commission doit faire une proposition d'ici mi-2025).</w:t>
          </w:r>
        </w:p>
        <w:p w14:paraId="18A9CA06" w14:textId="77777777" w:rsidR="00831761" w:rsidRPr="000636B7" w:rsidRDefault="00831761" w:rsidP="00831761">
          <w:pPr>
            <w:pStyle w:val="p1"/>
            <w:ind w:left="426"/>
            <w:rPr>
              <w:rFonts w:ascii="Times New Roman" w:hAnsi="Times New Roman"/>
              <w:sz w:val="24"/>
              <w:szCs w:val="24"/>
            </w:rPr>
          </w:pPr>
        </w:p>
        <w:p w14:paraId="03FE2E31" w14:textId="16C73475"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En tant que membre du groupe de travail, vous aurez également de nombreuses occasions de rencontrer des entreprises </w:t>
          </w:r>
          <w:r w:rsidR="00374C8E">
            <w:rPr>
              <w:rFonts w:ascii="Times New Roman" w:hAnsi="Times New Roman"/>
              <w:sz w:val="24"/>
              <w:szCs w:val="24"/>
            </w:rPr>
            <w:t>qui repoussent les</w:t>
          </w:r>
          <w:r w:rsidRPr="00FD5D6F">
            <w:rPr>
              <w:rFonts w:ascii="Times New Roman" w:hAnsi="Times New Roman"/>
              <w:sz w:val="24"/>
              <w:szCs w:val="24"/>
            </w:rPr>
            <w:t xml:space="preserve"> frontière</w:t>
          </w:r>
          <w:r w:rsidR="00374C8E">
            <w:rPr>
              <w:rFonts w:ascii="Times New Roman" w:hAnsi="Times New Roman"/>
              <w:sz w:val="24"/>
              <w:szCs w:val="24"/>
            </w:rPr>
            <w:t>s</w:t>
          </w:r>
          <w:r w:rsidRPr="00FD5D6F">
            <w:rPr>
              <w:rFonts w:ascii="Times New Roman" w:hAnsi="Times New Roman"/>
              <w:sz w:val="24"/>
              <w:szCs w:val="24"/>
            </w:rPr>
            <w:t xml:space="preserve"> technologique</w:t>
          </w:r>
          <w:r w:rsidR="00374C8E">
            <w:rPr>
              <w:rFonts w:ascii="Times New Roman" w:hAnsi="Times New Roman"/>
              <w:sz w:val="24"/>
              <w:szCs w:val="24"/>
            </w:rPr>
            <w:t>s,</w:t>
          </w:r>
          <w:r w:rsidRPr="00FD5D6F">
            <w:rPr>
              <w:rFonts w:ascii="Times New Roman" w:hAnsi="Times New Roman"/>
              <w:sz w:val="24"/>
              <w:szCs w:val="24"/>
            </w:rPr>
            <w:t xml:space="preserve"> et d'en apprendre davantage sur une variété de questions politiques et technologiques.</w:t>
          </w:r>
        </w:p>
        <w:p w14:paraId="64EFE327" w14:textId="77777777" w:rsidR="00831761" w:rsidRPr="000636B7" w:rsidRDefault="00831761" w:rsidP="00831761">
          <w:pPr>
            <w:pStyle w:val="p1"/>
            <w:ind w:left="426"/>
            <w:rPr>
              <w:rFonts w:ascii="Times New Roman" w:hAnsi="Times New Roman"/>
              <w:sz w:val="24"/>
              <w:szCs w:val="24"/>
            </w:rPr>
          </w:pPr>
        </w:p>
        <w:p w14:paraId="493EBC1B" w14:textId="77777777"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En particulier, les experts nationaux seront sélectionnés en vue de :</w:t>
          </w:r>
        </w:p>
        <w:p w14:paraId="72EB7897" w14:textId="77777777" w:rsidR="00831761" w:rsidRPr="000636B7" w:rsidRDefault="00831761" w:rsidP="00831761">
          <w:pPr>
            <w:pStyle w:val="p1"/>
            <w:ind w:left="426"/>
            <w:rPr>
              <w:rFonts w:ascii="Times New Roman" w:hAnsi="Times New Roman"/>
              <w:sz w:val="24"/>
              <w:szCs w:val="24"/>
            </w:rPr>
          </w:pPr>
        </w:p>
        <w:p w14:paraId="06C33B64" w14:textId="3079C057"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contribuer à coordonner la mise en œuvre de STEP au sein de la Commission et avec les États membres, fournir des conseils stratégiques au niveau politique et à la direction, collaborer avec les principaux partenaires européens chargés de la mise en œuvre</w:t>
          </w:r>
          <w:r w:rsidR="00374C8E">
            <w:rPr>
              <w:rFonts w:ascii="Times New Roman" w:hAnsi="Times New Roman"/>
              <w:sz w:val="24"/>
              <w:szCs w:val="24"/>
            </w:rPr>
            <w:t>,</w:t>
          </w:r>
          <w:r w:rsidRPr="00FD5D6F">
            <w:rPr>
              <w:rFonts w:ascii="Times New Roman" w:hAnsi="Times New Roman"/>
              <w:sz w:val="24"/>
              <w:szCs w:val="24"/>
            </w:rPr>
            <w:t xml:space="preserve"> et coopérer étroitement avec les autres unités de la DG BUDG et de nombreuses autres DG de la Commission</w:t>
          </w:r>
        </w:p>
        <w:p w14:paraId="581B4BC1" w14:textId="77777777" w:rsidR="00831761" w:rsidRPr="000636B7" w:rsidRDefault="00831761" w:rsidP="00831761">
          <w:pPr>
            <w:pStyle w:val="p1"/>
            <w:ind w:left="426"/>
            <w:rPr>
              <w:rFonts w:ascii="Times New Roman" w:hAnsi="Times New Roman"/>
              <w:sz w:val="24"/>
              <w:szCs w:val="24"/>
            </w:rPr>
          </w:pPr>
        </w:p>
        <w:p w14:paraId="0ACA2E2B" w14:textId="77777777"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Contribuer aux travaux internes sur le financement de la compétitivité dans le cadre du prochain CFP</w:t>
          </w:r>
        </w:p>
        <w:p w14:paraId="434A25EA" w14:textId="77777777" w:rsidR="00831761" w:rsidRPr="000636B7" w:rsidRDefault="00831761" w:rsidP="00FD5D6F">
          <w:pPr>
            <w:pStyle w:val="p1"/>
            <w:ind w:left="1145" w:hanging="720"/>
            <w:rPr>
              <w:rFonts w:ascii="Times New Roman" w:hAnsi="Times New Roman"/>
              <w:sz w:val="24"/>
              <w:szCs w:val="24"/>
            </w:rPr>
          </w:pPr>
        </w:p>
        <w:p w14:paraId="0959DC00" w14:textId="21CF0212"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aider à répondre aux questions des États membres relatives à la reprogrammation de leurs fonds de la politique de cohésion en vue de la réalisation des objectifs STEP</w:t>
          </w:r>
        </w:p>
        <w:p w14:paraId="4868C804" w14:textId="77777777" w:rsidR="00831761" w:rsidRPr="000636B7" w:rsidRDefault="00831761" w:rsidP="00FD5D6F">
          <w:pPr>
            <w:pStyle w:val="p1"/>
            <w:ind w:left="1145" w:hanging="720"/>
            <w:rPr>
              <w:rFonts w:ascii="Times New Roman" w:hAnsi="Times New Roman"/>
              <w:sz w:val="24"/>
              <w:szCs w:val="24"/>
            </w:rPr>
          </w:pPr>
        </w:p>
        <w:p w14:paraId="57599E33" w14:textId="6138BEE5" w:rsidR="00831761" w:rsidRPr="000636B7" w:rsidRDefault="00831761" w:rsidP="00FD5D6F">
          <w:pPr>
            <w:pStyle w:val="p1"/>
            <w:ind w:left="1145" w:hanging="720"/>
            <w:rPr>
              <w:rFonts w:ascii="Times New Roman" w:hAnsi="Times New Roman"/>
              <w:sz w:val="24"/>
              <w:szCs w:val="24"/>
            </w:rPr>
          </w:pPr>
          <w:r w:rsidRPr="00FD5D6F">
            <w:rPr>
              <w:rFonts w:ascii="Times New Roman" w:hAnsi="Times New Roman"/>
              <w:sz w:val="24"/>
              <w:szCs w:val="24"/>
            </w:rPr>
            <w:t>•</w:t>
          </w:r>
          <w:r w:rsidRPr="00FD5D6F">
            <w:rPr>
              <w:rFonts w:ascii="Times New Roman" w:hAnsi="Times New Roman"/>
              <w:sz w:val="24"/>
              <w:szCs w:val="24"/>
            </w:rPr>
            <w:tab/>
            <w:t xml:space="preserve">Fournir des conseils aux </w:t>
          </w:r>
          <w:r w:rsidR="00374C8E">
            <w:rPr>
              <w:rFonts w:ascii="Times New Roman" w:hAnsi="Times New Roman"/>
              <w:sz w:val="24"/>
              <w:szCs w:val="24"/>
            </w:rPr>
            <w:t>porteurs</w:t>
          </w:r>
          <w:r w:rsidRPr="00FD5D6F">
            <w:rPr>
              <w:rFonts w:ascii="Times New Roman" w:hAnsi="Times New Roman"/>
              <w:sz w:val="24"/>
              <w:szCs w:val="24"/>
            </w:rPr>
            <w:t xml:space="preserve"> de projets pertinents pour STEP sur les possibilités de financement disponibles dans l'UE</w:t>
          </w:r>
          <w:r w:rsidR="00374C8E">
            <w:rPr>
              <w:rFonts w:ascii="Times New Roman" w:hAnsi="Times New Roman"/>
              <w:sz w:val="24"/>
              <w:szCs w:val="24"/>
            </w:rPr>
            <w:t xml:space="preserve">, </w:t>
          </w:r>
          <w:r w:rsidRPr="00FD5D6F">
            <w:rPr>
              <w:rFonts w:ascii="Times New Roman" w:hAnsi="Times New Roman"/>
              <w:sz w:val="24"/>
              <w:szCs w:val="24"/>
            </w:rPr>
            <w:t xml:space="preserve">et promouvoir la combinaison de financements provenant de divers instruments pour aider à financer les secteurs industriels. </w:t>
          </w:r>
          <w:r w:rsidR="00374C8E">
            <w:rPr>
              <w:rFonts w:ascii="Times New Roman" w:hAnsi="Times New Roman"/>
              <w:sz w:val="24"/>
              <w:szCs w:val="24"/>
            </w:rPr>
            <w:t>Ces financements</w:t>
          </w:r>
          <w:r w:rsidRPr="00FD5D6F">
            <w:rPr>
              <w:rFonts w:ascii="Times New Roman" w:hAnsi="Times New Roman"/>
              <w:sz w:val="24"/>
              <w:szCs w:val="24"/>
            </w:rPr>
            <w:t xml:space="preserve"> couvrir</w:t>
          </w:r>
          <w:r w:rsidR="00374C8E">
            <w:rPr>
              <w:rFonts w:ascii="Times New Roman" w:hAnsi="Times New Roman"/>
              <w:sz w:val="24"/>
              <w:szCs w:val="24"/>
            </w:rPr>
            <w:t>ont</w:t>
          </w:r>
          <w:r w:rsidRPr="00FD5D6F">
            <w:rPr>
              <w:rFonts w:ascii="Times New Roman" w:hAnsi="Times New Roman"/>
              <w:sz w:val="24"/>
              <w:szCs w:val="24"/>
            </w:rPr>
            <w:t xml:space="preserve"> toutes les formes de soutien découlant des différents programmes de l'UE, y compris par le biais d'instruments financiers mis en œuvre avec des partenaires tels que la BEI ou les banques nationales de développement. </w:t>
          </w:r>
        </w:p>
        <w:p w14:paraId="2416FF31" w14:textId="691BC233" w:rsidR="00831761" w:rsidRPr="000636B7" w:rsidRDefault="00831761" w:rsidP="00FD5D6F">
          <w:pPr>
            <w:pStyle w:val="p1"/>
            <w:ind w:left="1145" w:hanging="720"/>
            <w:rPr>
              <w:rFonts w:ascii="Times New Roman" w:hAnsi="Times New Roman"/>
              <w:sz w:val="24"/>
              <w:szCs w:val="24"/>
            </w:rPr>
          </w:pPr>
        </w:p>
        <w:p w14:paraId="42D816B2" w14:textId="7E51470B"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Les experts nationaux jouiront d'une autonomie considérable et d'une marge d'initiative pour atteindre les objectifs convenus, tout en étant pleinement intégrés et en travaillant au sein de la structure organisationnelle et de </w:t>
          </w:r>
          <w:r w:rsidR="00374C8E">
            <w:rPr>
              <w:rFonts w:ascii="Times New Roman" w:hAnsi="Times New Roman"/>
              <w:sz w:val="24"/>
              <w:szCs w:val="24"/>
            </w:rPr>
            <w:t>management</w:t>
          </w:r>
          <w:r w:rsidRPr="00FD5D6F">
            <w:rPr>
              <w:rFonts w:ascii="Times New Roman" w:hAnsi="Times New Roman"/>
              <w:sz w:val="24"/>
              <w:szCs w:val="24"/>
            </w:rPr>
            <w:t xml:space="preserve"> de </w:t>
          </w:r>
          <w:r w:rsidR="00374C8E">
            <w:rPr>
              <w:rFonts w:ascii="Times New Roman" w:hAnsi="Times New Roman"/>
              <w:sz w:val="24"/>
              <w:szCs w:val="24"/>
            </w:rPr>
            <w:t>la Task Force</w:t>
          </w:r>
          <w:r w:rsidRPr="00FD5D6F">
            <w:rPr>
              <w:rFonts w:ascii="Times New Roman" w:hAnsi="Times New Roman"/>
              <w:sz w:val="24"/>
              <w:szCs w:val="24"/>
            </w:rPr>
            <w:t xml:space="preserve"> et du Directeur général.</w:t>
          </w:r>
        </w:p>
        <w:p w14:paraId="2148CD86" w14:textId="68F61031" w:rsidR="00831761" w:rsidRPr="000636B7" w:rsidRDefault="00831761" w:rsidP="00831761">
          <w:pPr>
            <w:pStyle w:val="p1"/>
            <w:ind w:left="426"/>
            <w:rPr>
              <w:rFonts w:ascii="Times New Roman" w:hAnsi="Times New Roman"/>
              <w:sz w:val="24"/>
              <w:szCs w:val="24"/>
            </w:rPr>
          </w:pPr>
          <w:r w:rsidRPr="00FD5D6F">
            <w:rPr>
              <w:rFonts w:ascii="Times New Roman" w:hAnsi="Times New Roman"/>
              <w:sz w:val="24"/>
              <w:szCs w:val="24"/>
            </w:rPr>
            <w:t xml:space="preserve"> </w:t>
          </w:r>
        </w:p>
        <w:p w14:paraId="46EE3E07" w14:textId="3D5A7BEE" w:rsidR="00E21DBD" w:rsidRPr="000636B7" w:rsidRDefault="00831761" w:rsidP="00831761">
          <w:pPr>
            <w:pStyle w:val="p1"/>
            <w:ind w:left="426"/>
            <w:jc w:val="both"/>
            <w:rPr>
              <w:sz w:val="24"/>
              <w:szCs w:val="24"/>
              <w:lang w:eastAsia="en-GB"/>
            </w:rPr>
          </w:pPr>
          <w:r w:rsidRPr="00FD5D6F">
            <w:rPr>
              <w:rFonts w:ascii="Times New Roman" w:hAnsi="Times New Roman"/>
              <w:sz w:val="24"/>
              <w:szCs w:val="24"/>
            </w:rPr>
            <w:t>L</w:t>
          </w:r>
          <w:r w:rsidR="00374C8E">
            <w:rPr>
              <w:rFonts w:ascii="Times New Roman" w:hAnsi="Times New Roman"/>
              <w:sz w:val="24"/>
              <w:szCs w:val="24"/>
            </w:rPr>
            <w:t xml:space="preserve">a Task Force </w:t>
          </w:r>
          <w:r w:rsidRPr="00FD5D6F">
            <w:rPr>
              <w:rFonts w:ascii="Times New Roman" w:hAnsi="Times New Roman"/>
              <w:sz w:val="24"/>
              <w:szCs w:val="24"/>
            </w:rPr>
            <w:t xml:space="preserve">est une équipe amicale, sociable et dynamique, qui rassemble une variété </w:t>
          </w:r>
          <w:r w:rsidR="00374C8E">
            <w:rPr>
              <w:rFonts w:ascii="Times New Roman" w:hAnsi="Times New Roman"/>
              <w:sz w:val="24"/>
              <w:szCs w:val="24"/>
            </w:rPr>
            <w:t>de profils</w:t>
          </w:r>
          <w:r w:rsidRPr="00FD5D6F">
            <w:rPr>
              <w:rFonts w:ascii="Times New Roman" w:hAnsi="Times New Roman"/>
              <w:sz w:val="24"/>
              <w:szCs w:val="24"/>
            </w:rPr>
            <w:t xml:space="preserve"> et d'expertises. Le partage d'informations et la coopération entre les membres de l'équipe sont fortement encouragés et appréciés. L'organisation de l'équipe est telle que chaque membre est responsable de </w:t>
          </w:r>
          <w:r w:rsidR="007F3817">
            <w:rPr>
              <w:rFonts w:ascii="Times New Roman" w:hAnsi="Times New Roman"/>
              <w:sz w:val="24"/>
              <w:szCs w:val="24"/>
            </w:rPr>
            <w:t>plusieurs</w:t>
          </w:r>
          <w:r w:rsidRPr="00FD5D6F">
            <w:rPr>
              <w:rFonts w:ascii="Times New Roman" w:hAnsi="Times New Roman"/>
              <w:sz w:val="24"/>
              <w:szCs w:val="24"/>
            </w:rPr>
            <w:t xml:space="preserve"> dossiers, mais s'appuie sur tous les autres </w:t>
          </w:r>
          <w:r w:rsidR="007F3817">
            <w:rPr>
              <w:rFonts w:ascii="Times New Roman" w:hAnsi="Times New Roman"/>
              <w:sz w:val="24"/>
              <w:szCs w:val="24"/>
            </w:rPr>
            <w:t xml:space="preserve">collègues </w:t>
          </w:r>
          <w:r w:rsidRPr="00FD5D6F">
            <w:rPr>
              <w:rFonts w:ascii="Times New Roman" w:hAnsi="Times New Roman"/>
              <w:sz w:val="24"/>
              <w:szCs w:val="24"/>
            </w:rPr>
            <w:t>par le biais de discussions formelles et informelles.</w:t>
          </w:r>
        </w:p>
      </w:sdtContent>
    </w:sdt>
    <w:bookmarkEnd w:id="4" w:displacedByCustomXml="prev"/>
    <w:p w14:paraId="433AC71A" w14:textId="77777777" w:rsidR="002B3CBF" w:rsidRPr="000636B7" w:rsidRDefault="002B3CBF" w:rsidP="00994062">
      <w:pPr>
        <w:pStyle w:val="ListNumber"/>
        <w:numPr>
          <w:ilvl w:val="0"/>
          <w:numId w:val="0"/>
        </w:numPr>
        <w:ind w:left="709" w:hanging="709"/>
        <w:rPr>
          <w:b/>
          <w:bCs/>
          <w:lang w:val="fr-BE" w:eastAsia="en-GB"/>
        </w:rPr>
      </w:pPr>
    </w:p>
    <w:p w14:paraId="58E0FD96" w14:textId="2D5F7C92" w:rsidR="00E21DBD" w:rsidRPr="000636B7" w:rsidRDefault="00E21DBD" w:rsidP="00994062">
      <w:pPr>
        <w:pStyle w:val="ListNumber"/>
        <w:numPr>
          <w:ilvl w:val="0"/>
          <w:numId w:val="0"/>
        </w:numPr>
        <w:ind w:left="709" w:hanging="709"/>
        <w:rPr>
          <w:lang w:val="fr-BE" w:eastAsia="en-GB"/>
        </w:rPr>
      </w:pPr>
      <w:r w:rsidRPr="000636B7">
        <w:rPr>
          <w:b/>
          <w:bCs/>
          <w:lang w:val="fr-BE" w:eastAsia="en-GB"/>
        </w:rPr>
        <w:t>Profil du titulaire du poste (Nous recherchons)</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77777777" w:rsidR="00831761" w:rsidRPr="000636B7" w:rsidRDefault="00831761" w:rsidP="00831761">
          <w:pPr>
            <w:tabs>
              <w:tab w:val="left" w:pos="709"/>
            </w:tabs>
            <w:spacing w:after="0"/>
            <w:ind w:left="709" w:right="60"/>
            <w:rPr>
              <w:lang w:val="fr-BE" w:eastAsia="en-GB"/>
            </w:rPr>
          </w:pPr>
          <w:bookmarkStart w:id="5" w:name="_Hlk168324093"/>
          <w:r w:rsidRPr="000636B7">
            <w:rPr>
              <w:lang w:val="fr-BE" w:eastAsia="en-GB"/>
            </w:rPr>
            <w:t>Nous recherchons 2 collègues dynamiques avec le profil suivant :</w:t>
          </w:r>
        </w:p>
        <w:p w14:paraId="45BD10A7" w14:textId="77777777" w:rsidR="00831761" w:rsidRPr="000636B7" w:rsidRDefault="00831761" w:rsidP="00831761">
          <w:pPr>
            <w:tabs>
              <w:tab w:val="left" w:pos="709"/>
            </w:tabs>
            <w:spacing w:after="0"/>
            <w:ind w:left="709" w:right="60"/>
            <w:rPr>
              <w:lang w:val="fr-BE" w:eastAsia="en-GB"/>
            </w:rPr>
          </w:pPr>
        </w:p>
        <w:p w14:paraId="0134BF92" w14:textId="5351304D" w:rsidR="00831761" w:rsidRPr="000636B7" w:rsidRDefault="00831761" w:rsidP="00831761">
          <w:pPr>
            <w:tabs>
              <w:tab w:val="left" w:pos="709"/>
            </w:tabs>
            <w:spacing w:after="0"/>
            <w:ind w:left="709" w:right="60"/>
            <w:rPr>
              <w:u w:val="single"/>
              <w:lang w:val="fr-BE" w:eastAsia="en-GB"/>
            </w:rPr>
          </w:pPr>
          <w:r w:rsidRPr="000636B7">
            <w:rPr>
              <w:u w:val="single"/>
              <w:lang w:val="fr-BE" w:eastAsia="en-GB"/>
            </w:rPr>
            <w:t>Diplôme</w:t>
          </w:r>
          <w:r w:rsidR="007F3817">
            <w:rPr>
              <w:u w:val="single"/>
              <w:lang w:val="fr-BE" w:eastAsia="en-GB"/>
            </w:rPr>
            <w:t xml:space="preserve"> </w:t>
          </w:r>
          <w:r w:rsidRPr="000636B7">
            <w:rPr>
              <w:u w:val="single"/>
              <w:lang w:val="fr-BE" w:eastAsia="en-GB"/>
            </w:rPr>
            <w:t xml:space="preserve">: </w:t>
          </w:r>
        </w:p>
        <w:p w14:paraId="5FA602E7" w14:textId="77777777" w:rsidR="00831761" w:rsidRPr="000636B7" w:rsidRDefault="00831761" w:rsidP="00831761">
          <w:pPr>
            <w:tabs>
              <w:tab w:val="left" w:pos="709"/>
            </w:tabs>
            <w:spacing w:after="0"/>
            <w:ind w:left="709" w:right="60"/>
            <w:rPr>
              <w:lang w:val="fr-BE" w:eastAsia="en-GB"/>
            </w:rPr>
          </w:pPr>
          <w:r w:rsidRPr="000636B7">
            <w:rPr>
              <w:lang w:val="fr-BE" w:eastAsia="en-GB"/>
            </w:rPr>
            <w:lastRenderedPageBreak/>
            <w:t>Diplôme universitaire ou formation professionnelle ou expérience professionnelle de niveau équivalent dans le(s) domaine(s) : économie, affaires juridiques, finance ou sciences</w:t>
          </w:r>
        </w:p>
        <w:p w14:paraId="7ECA40F7" w14:textId="77777777" w:rsidR="00831761" w:rsidRPr="000636B7" w:rsidRDefault="00831761" w:rsidP="00831761">
          <w:pPr>
            <w:tabs>
              <w:tab w:val="left" w:pos="709"/>
            </w:tabs>
            <w:spacing w:after="0"/>
            <w:ind w:left="709" w:right="60"/>
            <w:rPr>
              <w:lang w:val="fr-BE" w:eastAsia="en-GB"/>
            </w:rPr>
          </w:pPr>
        </w:p>
        <w:p w14:paraId="302B425C" w14:textId="77777777" w:rsidR="00831761" w:rsidRPr="000636B7" w:rsidRDefault="00831761" w:rsidP="00831761">
          <w:pPr>
            <w:tabs>
              <w:tab w:val="left" w:pos="709"/>
            </w:tabs>
            <w:spacing w:after="0"/>
            <w:ind w:left="709" w:right="60"/>
            <w:rPr>
              <w:u w:val="single"/>
              <w:lang w:val="fr-BE" w:eastAsia="en-GB"/>
            </w:rPr>
          </w:pPr>
          <w:r w:rsidRPr="000636B7">
            <w:rPr>
              <w:u w:val="single"/>
              <w:lang w:val="fr-BE" w:eastAsia="en-GB"/>
            </w:rPr>
            <w:t>Expérience professionnelle</w:t>
          </w:r>
        </w:p>
        <w:p w14:paraId="069D9C5E" w14:textId="77777777" w:rsidR="00831761" w:rsidRPr="000636B7" w:rsidRDefault="00831761" w:rsidP="00831761">
          <w:pPr>
            <w:tabs>
              <w:tab w:val="left" w:pos="709"/>
            </w:tabs>
            <w:spacing w:after="0"/>
            <w:ind w:left="709" w:right="60"/>
            <w:rPr>
              <w:lang w:val="fr-BE" w:eastAsia="en-GB"/>
            </w:rPr>
          </w:pPr>
          <w:r w:rsidRPr="000636B7">
            <w:rPr>
              <w:lang w:val="fr-BE" w:eastAsia="en-GB"/>
            </w:rPr>
            <w:t>Expérience dans un ou plusieurs des domaines suivants :</w:t>
          </w:r>
        </w:p>
        <w:p w14:paraId="67846690"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Mise en œuvre des programmes de l'UE, par exemple les fonds de la politique de cohésion ou la facilité pour la reprise et la résilience</w:t>
          </w:r>
        </w:p>
        <w:p w14:paraId="5D5F86CA"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Mise en place et mise en œuvre d'instruments financiers, soit avec des institutions financières internationales, soit avec des banques nationales de développement. Gestion du financement de projets par le biais de combinaisons de fonds propres, de dette ou de mezzanine</w:t>
          </w:r>
        </w:p>
        <w:p w14:paraId="34C2E37A" w14:textId="0D9109D1"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 xml:space="preserve">Programmes gérés directement par la Commission (par exemple, Fonds pour l'innovation, programme pour une Europe numérique, EU4Health, Horizon Europe/Conseil européen de l'innovation, Fonds </w:t>
          </w:r>
          <w:r w:rsidR="007F3817">
            <w:rPr>
              <w:lang w:val="fr-BE" w:eastAsia="en-GB"/>
            </w:rPr>
            <w:t>européen de la défense</w:t>
          </w:r>
          <w:r w:rsidRPr="000636B7">
            <w:rPr>
              <w:lang w:val="fr-BE" w:eastAsia="en-GB"/>
            </w:rPr>
            <w:t>)</w:t>
          </w:r>
        </w:p>
        <w:p w14:paraId="339D8EF8"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Mise en œuvre de programmes nationaux de financement apportant un soutien (sous forme de subventions ou d'autres soutiens financiers) aux entreprises</w:t>
          </w:r>
        </w:p>
        <w:p w14:paraId="3E829D28"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Traitement des notifications d'aides d'État</w:t>
          </w:r>
        </w:p>
        <w:p w14:paraId="33D3D1F0" w14:textId="77777777" w:rsidR="00831761" w:rsidRPr="000636B7" w:rsidRDefault="00831761" w:rsidP="00FD5D6F">
          <w:pPr>
            <w:tabs>
              <w:tab w:val="left" w:pos="709"/>
            </w:tabs>
            <w:spacing w:after="0"/>
            <w:ind w:left="1418" w:right="62" w:hanging="709"/>
            <w:rPr>
              <w:lang w:val="fr-BE" w:eastAsia="en-GB"/>
            </w:rPr>
          </w:pPr>
          <w:r w:rsidRPr="000636B7">
            <w:rPr>
              <w:lang w:val="fr-BE" w:eastAsia="en-GB"/>
            </w:rPr>
            <w:t>-</w:t>
          </w:r>
          <w:r w:rsidRPr="000636B7">
            <w:rPr>
              <w:lang w:val="fr-BE" w:eastAsia="en-GB"/>
            </w:rPr>
            <w:tab/>
            <w:t>Questions budgétaires européennes ou nationales</w:t>
          </w:r>
        </w:p>
        <w:p w14:paraId="6029A5D3" w14:textId="77777777" w:rsidR="00831761" w:rsidRPr="000636B7" w:rsidRDefault="00831761" w:rsidP="00831761">
          <w:pPr>
            <w:tabs>
              <w:tab w:val="left" w:pos="709"/>
            </w:tabs>
            <w:spacing w:after="0"/>
            <w:ind w:left="709" w:right="60"/>
            <w:rPr>
              <w:lang w:val="fr-BE" w:eastAsia="en-GB"/>
            </w:rPr>
          </w:pPr>
        </w:p>
        <w:p w14:paraId="38CB6DFD" w14:textId="7B387FD7" w:rsidR="00831761" w:rsidRPr="000636B7" w:rsidRDefault="00831761" w:rsidP="00831761">
          <w:pPr>
            <w:tabs>
              <w:tab w:val="left" w:pos="709"/>
            </w:tabs>
            <w:spacing w:after="0"/>
            <w:ind w:left="709" w:right="60"/>
            <w:rPr>
              <w:u w:val="single"/>
              <w:lang w:val="fr-BE" w:eastAsia="en-GB"/>
            </w:rPr>
          </w:pPr>
          <w:r w:rsidRPr="000636B7">
            <w:rPr>
              <w:u w:val="single"/>
              <w:lang w:val="fr-BE" w:eastAsia="en-GB"/>
            </w:rPr>
            <w:t>Langue(s) nécessaire(s) à l'exercice des fonctions :</w:t>
          </w:r>
        </w:p>
        <w:p w14:paraId="6DF79257" w14:textId="7A36D763" w:rsidR="00962510" w:rsidRPr="000636B7" w:rsidRDefault="00831761" w:rsidP="00831761">
          <w:pPr>
            <w:tabs>
              <w:tab w:val="left" w:pos="709"/>
            </w:tabs>
            <w:spacing w:after="0"/>
            <w:ind w:left="709" w:right="60"/>
            <w:rPr>
              <w:lang w:val="fr-BE" w:eastAsia="en-GB"/>
            </w:rPr>
          </w:pPr>
          <w:r w:rsidRPr="000636B7">
            <w:rPr>
              <w:lang w:val="fr-BE" w:eastAsia="en-GB"/>
            </w:rPr>
            <w:t xml:space="preserve">L'anglais est la principale langue de travail et la capacité </w:t>
          </w:r>
          <w:r w:rsidR="007F3817">
            <w:rPr>
              <w:lang w:val="fr-BE" w:eastAsia="en-GB"/>
            </w:rPr>
            <w:t>à</w:t>
          </w:r>
          <w:r w:rsidRPr="000636B7">
            <w:rPr>
              <w:lang w:val="fr-BE" w:eastAsia="en-GB"/>
            </w:rPr>
            <w:t xml:space="preserve"> communiquer et </w:t>
          </w:r>
          <w:r w:rsidR="007F3817">
            <w:rPr>
              <w:lang w:val="fr-BE" w:eastAsia="en-GB"/>
            </w:rPr>
            <w:t>à</w:t>
          </w:r>
          <w:r w:rsidRPr="000636B7">
            <w:rPr>
              <w:lang w:val="fr-BE" w:eastAsia="en-GB"/>
            </w:rPr>
            <w:t xml:space="preserve"> rédiger efficacement en anglais est indispensable.</w:t>
          </w:r>
        </w:p>
        <w:bookmarkEnd w:id="5"/>
        <w:p w14:paraId="0A034070" w14:textId="77777777" w:rsidR="00962510" w:rsidRPr="000636B7" w:rsidRDefault="00962510" w:rsidP="007A47DA">
          <w:pPr>
            <w:tabs>
              <w:tab w:val="left" w:pos="709"/>
            </w:tabs>
            <w:spacing w:after="0"/>
            <w:ind w:left="709" w:right="60"/>
            <w:rPr>
              <w:lang w:val="fr-BE" w:eastAsia="en-GB"/>
            </w:rPr>
          </w:pPr>
        </w:p>
        <w:p w14:paraId="51994EDB" w14:textId="2BF2E453" w:rsidR="002E40A9" w:rsidRPr="00AF7D78" w:rsidRDefault="00C940B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0636B7" w:rsidRDefault="00DF1E49" w:rsidP="00252050">
      <w:pPr>
        <w:pStyle w:val="ListNumber"/>
        <w:keepNext/>
        <w:numPr>
          <w:ilvl w:val="0"/>
          <w:numId w:val="0"/>
        </w:numPr>
        <w:ind w:left="709" w:hanging="709"/>
        <w:rPr>
          <w:b/>
          <w:bCs/>
          <w:u w:val="single"/>
          <w:lang w:val="fr-BE" w:eastAsia="en-GB"/>
        </w:rPr>
      </w:pPr>
      <w:r w:rsidRPr="000636B7">
        <w:rPr>
          <w:b/>
          <w:bCs/>
          <w:u w:val="single"/>
          <w:lang w:val="fr-BE" w:eastAsia="en-GB"/>
        </w:rPr>
        <w:t>Critères d'admissibilité</w:t>
      </w:r>
    </w:p>
    <w:p w14:paraId="4351CD9B" w14:textId="329965A0" w:rsidR="00E21DBD" w:rsidRPr="000636B7" w:rsidRDefault="00E21DBD" w:rsidP="00252050">
      <w:pPr>
        <w:keepNext/>
        <w:rPr>
          <w:szCs w:val="24"/>
          <w:lang w:val="fr-BE" w:eastAsia="en-GB"/>
        </w:rPr>
      </w:pPr>
      <w:r w:rsidRPr="000636B7">
        <w:rPr>
          <w:lang w:val="fr-BE" w:eastAsia="en-GB"/>
        </w:rPr>
        <w:t xml:space="preserve">Le détachement sera régi par la </w:t>
      </w:r>
      <w:r w:rsidRPr="000636B7">
        <w:rPr>
          <w:b/>
          <w:lang w:val="fr-BE" w:eastAsia="en-GB"/>
        </w:rPr>
        <w:t xml:space="preserve">décision C(2008) 6866  de la Commission </w:t>
      </w:r>
      <w:r w:rsidRPr="000636B7">
        <w:rPr>
          <w:bCs/>
          <w:lang w:val="fr-BE" w:eastAsia="en-GB"/>
        </w:rPr>
        <w:t xml:space="preserve">du 12/11/2008 </w:t>
      </w:r>
      <w:r w:rsidRPr="000636B7">
        <w:rPr>
          <w:lang w:val="fr-BE" w:eastAsia="en-GB"/>
        </w:rPr>
        <w:t>fixant les règles relatives au détachement auprès de la Commission d'experts nationaux et d'experts nationaux en formation professionnelle (décision ESN).</w:t>
      </w:r>
    </w:p>
    <w:p w14:paraId="34498A87" w14:textId="12420708" w:rsidR="00E21DBD" w:rsidRPr="000636B7" w:rsidRDefault="00E21DBD" w:rsidP="009A2F00">
      <w:pPr>
        <w:rPr>
          <w:lang w:val="fr-BE" w:eastAsia="en-GB"/>
        </w:rPr>
      </w:pPr>
      <w:r w:rsidRPr="000636B7">
        <w:rPr>
          <w:lang w:val="fr-BE" w:eastAsia="en-GB"/>
        </w:rPr>
        <w:t xml:space="preserve">Aux termes de la décision ESN, vous devez remplir les critères d'éligibilité suivants à </w:t>
      </w:r>
      <w:r w:rsidRPr="000636B7">
        <w:rPr>
          <w:b/>
          <w:bCs/>
          <w:lang w:val="fr-BE" w:eastAsia="en-GB"/>
        </w:rPr>
        <w:t>la date de début</w:t>
      </w:r>
      <w:r w:rsidRPr="000636B7">
        <w:rPr>
          <w:lang w:val="fr-BE" w:eastAsia="en-GB"/>
        </w:rPr>
        <w:t xml:space="preserve"> du détachement :</w:t>
      </w:r>
    </w:p>
    <w:p w14:paraId="2A82F38A" w14:textId="4F2D910B" w:rsidR="00E21DBD" w:rsidRPr="000636B7" w:rsidRDefault="00E21DBD" w:rsidP="00B73F08">
      <w:pPr>
        <w:pStyle w:val="ListBullet"/>
        <w:rPr>
          <w:lang w:val="fr-BE" w:eastAsia="en-GB"/>
        </w:rPr>
      </w:pPr>
      <w:r w:rsidRPr="000636B7">
        <w:rPr>
          <w:u w:val="single"/>
          <w:lang w:val="fr-BE" w:eastAsia="en-GB"/>
        </w:rPr>
        <w:t>Expérience professionnelle :</w:t>
      </w:r>
      <w:r w:rsidRPr="000636B7">
        <w:rPr>
          <w:lang w:val="fr-BE" w:eastAsia="en-GB"/>
        </w:rPr>
        <w:t xml:space="preserve"> au moins trois ans d'expérience professionnelle dans des fonctions administratives, juridiques, scientifiques, techniques, de conseil ou de supervision équivalentes à celles du groupe de fonctions AD.</w:t>
      </w:r>
    </w:p>
    <w:p w14:paraId="47ED62CE" w14:textId="0A148AC9" w:rsidR="00E21DBD" w:rsidRPr="000636B7" w:rsidRDefault="00E21DBD" w:rsidP="00B73F08">
      <w:pPr>
        <w:pStyle w:val="ListBullet"/>
        <w:rPr>
          <w:lang w:val="fr-BE" w:eastAsia="en-GB"/>
        </w:rPr>
      </w:pPr>
      <w:r w:rsidRPr="000636B7">
        <w:rPr>
          <w:u w:val="single"/>
          <w:lang w:val="fr-BE" w:eastAsia="en-GB"/>
        </w:rPr>
        <w:t>Ancienneté :</w:t>
      </w:r>
      <w:r w:rsidRPr="000636B7">
        <w:rPr>
          <w:lang w:val="fr-BE" w:eastAsia="en-GB"/>
        </w:rPr>
        <w:t xml:space="preserve"> avoir travaillé pendant au moins une année complète (12 mois) chez votre employeur actuel sur une base permanente ou contractuelle.</w:t>
      </w:r>
    </w:p>
    <w:p w14:paraId="52986B8D" w14:textId="511D026E" w:rsidR="00E21DBD" w:rsidRPr="000636B7" w:rsidRDefault="00E21DBD" w:rsidP="00B73F08">
      <w:pPr>
        <w:pStyle w:val="ListBullet"/>
        <w:rPr>
          <w:lang w:val="fr-BE" w:eastAsia="en-GB"/>
        </w:rPr>
      </w:pPr>
      <w:r w:rsidRPr="000636B7">
        <w:rPr>
          <w:u w:val="single"/>
          <w:lang w:val="fr-BE" w:eastAsia="en-GB"/>
        </w:rPr>
        <w:t>Employeur :</w:t>
      </w:r>
      <w:r w:rsidRPr="000636B7">
        <w:rPr>
          <w:lang w:val="fr-BE" w:eastAsia="en-GB"/>
        </w:rPr>
        <w:t xml:space="preserve"> doit être une administration nationale, régionale ou locale ou une organisation publique intergouvernementale (OIG) ;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E21DBD" w:rsidRPr="000636B7" w:rsidRDefault="00E21DBD" w:rsidP="00B73F08">
      <w:pPr>
        <w:pStyle w:val="ListBullet"/>
        <w:rPr>
          <w:lang w:val="fr-BE" w:eastAsia="en-GB"/>
        </w:rPr>
      </w:pPr>
      <w:r w:rsidRPr="000636B7">
        <w:rPr>
          <w:u w:val="single"/>
          <w:lang w:val="fr-BE" w:eastAsia="en-GB"/>
        </w:rPr>
        <w:lastRenderedPageBreak/>
        <w:t>Compétences linguistiques :</w:t>
      </w:r>
      <w:r w:rsidRPr="000636B7">
        <w:rPr>
          <w:lang w:val="fr-BE" w:eastAsia="en-GB"/>
        </w:rPr>
        <w:t xml:space="preserve"> connaissance approfondie de l'une des langues de l'UE et connaissance satisfaisante d'une autre langue de l'UE dans la mesure nécessaire à l'exercice des fonctions. Si vous venez d'un pays tiers, vous devez justifier d'une connaissance approfondie de la langue de l'UE nécessaire à l'exercice de ses fonctions.</w:t>
      </w:r>
    </w:p>
    <w:p w14:paraId="50737F3B" w14:textId="79E4DE89" w:rsidR="00DF1E49" w:rsidRPr="000636B7" w:rsidRDefault="00DF1E49" w:rsidP="009A2F00">
      <w:pPr>
        <w:rPr>
          <w:lang w:val="fr-BE" w:eastAsia="en-GB"/>
        </w:rPr>
      </w:pPr>
    </w:p>
    <w:p w14:paraId="5C3A2162" w14:textId="789CE808" w:rsidR="00DF1E49" w:rsidRPr="000636B7" w:rsidRDefault="00DF1E49" w:rsidP="00252050">
      <w:pPr>
        <w:pStyle w:val="ListNumber"/>
        <w:keepNext/>
        <w:numPr>
          <w:ilvl w:val="0"/>
          <w:numId w:val="0"/>
        </w:numPr>
        <w:ind w:left="709" w:hanging="709"/>
        <w:rPr>
          <w:b/>
          <w:bCs/>
          <w:u w:val="single"/>
          <w:lang w:val="fr-BE" w:eastAsia="en-GB"/>
        </w:rPr>
      </w:pPr>
      <w:r w:rsidRPr="000636B7">
        <w:rPr>
          <w:b/>
          <w:bCs/>
          <w:u w:val="single"/>
          <w:lang w:val="fr-BE" w:eastAsia="en-GB"/>
        </w:rPr>
        <w:t>Conditions de détachement</w:t>
      </w:r>
    </w:p>
    <w:p w14:paraId="42ECB69D" w14:textId="49CFA327" w:rsidR="00E21DBD" w:rsidRPr="000636B7" w:rsidRDefault="00D96984" w:rsidP="00252050">
      <w:pPr>
        <w:keepNext/>
        <w:rPr>
          <w:lang w:val="fr-BE" w:eastAsia="en-GB"/>
        </w:rPr>
      </w:pPr>
      <w:r w:rsidRPr="000636B7">
        <w:rPr>
          <w:lang w:val="fr-BE" w:eastAsia="en-GB"/>
        </w:rPr>
        <w:t xml:space="preserve">Pendant toute la durée de votre détachement, vous devez rester employé et rémunéré par votre employeur et couvert par votre système de sécurité sociale (national). </w:t>
      </w:r>
    </w:p>
    <w:p w14:paraId="0A5C5740" w14:textId="54FC005C" w:rsidR="009A2F00" w:rsidRPr="000636B7" w:rsidRDefault="00B73F08" w:rsidP="009A2F00">
      <w:pPr>
        <w:rPr>
          <w:lang w:val="fr-BE" w:eastAsia="en-GB"/>
        </w:rPr>
      </w:pPr>
      <w:r w:rsidRPr="000636B7">
        <w:rPr>
          <w:lang w:val="fr-BE" w:eastAsia="en-GB"/>
        </w:rPr>
        <w:t>Vous exercez vos fonctions au sein de la Commission dans les conditions prévues par la décision SNE précitée et êtes soumis aux règles de confidentialité, de loyauté et d'absence de conflit d'intérêts telles qu'elles y sont définies.</w:t>
      </w:r>
    </w:p>
    <w:p w14:paraId="345CD839" w14:textId="70CE9630" w:rsidR="009A2F00" w:rsidRPr="000636B7" w:rsidRDefault="00B73F08" w:rsidP="009A2F00">
      <w:pPr>
        <w:rPr>
          <w:lang w:val="fr-BE" w:eastAsia="en-GB"/>
        </w:rPr>
      </w:pPr>
      <w:r w:rsidRPr="000636B7">
        <w:rPr>
          <w:lang w:val="fr-BE" w:eastAsia="en-GB"/>
        </w:rPr>
        <w:t xml:space="preserve">Si le poste est publié avec des indemnités, celles-ci ne peuvent être accordées que si vous remplissez les conditions prévues à l'article 17 de la décision ESN. </w:t>
      </w:r>
    </w:p>
    <w:p w14:paraId="58EAEF9C" w14:textId="2137133C" w:rsidR="00E21DBD" w:rsidRPr="000636B7" w:rsidRDefault="009A2F00" w:rsidP="009A2F00">
      <w:pPr>
        <w:rPr>
          <w:lang w:val="fr-BE" w:eastAsia="en-GB"/>
        </w:rPr>
      </w:pPr>
      <w:r w:rsidRPr="000636B7">
        <w:rPr>
          <w:lang w:val="fr-BE" w:eastAsia="en-GB"/>
        </w:rPr>
        <w:t xml:space="preserve">Le personnel affecté dans une </w:t>
      </w:r>
      <w:r w:rsidR="00E21DBD" w:rsidRPr="000636B7">
        <w:rPr>
          <w:bCs/>
          <w:lang w:val="fr-BE" w:eastAsia="en-GB"/>
        </w:rPr>
        <w:t>délégation de l'Union européenne</w:t>
      </w:r>
      <w:r w:rsidR="00E21DBD" w:rsidRPr="000636B7">
        <w:rPr>
          <w:lang w:val="fr-BE" w:eastAsia="en-GB"/>
        </w:rPr>
        <w:t xml:space="preserve"> est tenu de disposer d'une habilitation de sécurité (jusqu'au niveau SECRET UE/EU SECRET) conformément à </w:t>
      </w:r>
      <w:hyperlink r:id="rId29" w:history="1">
        <w:r w:rsidR="005168AD" w:rsidRPr="000636B7">
          <w:rPr>
            <w:rStyle w:val="Hyperlink"/>
            <w:lang w:val="fr-BE"/>
          </w:rPr>
          <w:t xml:space="preserve"> la décision (UE, Euratom) 2015/444 de la Commission du 13 mars 2015</w:t>
        </w:r>
      </w:hyperlink>
      <w:r w:rsidR="00E21DBD" w:rsidRPr="000636B7">
        <w:rPr>
          <w:lang w:val="fr-BE" w:eastAsia="en-GB"/>
        </w:rPr>
        <w:t>.  C'est à vous de lancer la procédure de vérification avant d'obtenir la confirmation de détachement.</w:t>
      </w:r>
    </w:p>
    <w:p w14:paraId="47F718AD" w14:textId="31125EBD" w:rsidR="00E21DBD" w:rsidRPr="000636B7" w:rsidRDefault="00E21DBD" w:rsidP="009A2F00">
      <w:pPr>
        <w:rPr>
          <w:lang w:val="fr-BE" w:eastAsia="en-GB"/>
        </w:rPr>
      </w:pPr>
    </w:p>
    <w:p w14:paraId="6D7A78FD" w14:textId="720F9762" w:rsidR="00E21DBD" w:rsidRPr="000636B7" w:rsidRDefault="00E21DBD" w:rsidP="00252050">
      <w:pPr>
        <w:pStyle w:val="ListNumber"/>
        <w:keepNext/>
        <w:numPr>
          <w:ilvl w:val="0"/>
          <w:numId w:val="0"/>
        </w:numPr>
        <w:ind w:left="709" w:hanging="709"/>
        <w:rPr>
          <w:b/>
          <w:bCs/>
          <w:u w:val="single"/>
          <w:lang w:val="fr-BE" w:eastAsia="en-GB"/>
        </w:rPr>
      </w:pPr>
      <w:r w:rsidRPr="000636B7">
        <w:rPr>
          <w:b/>
          <w:bCs/>
          <w:u w:val="single"/>
          <w:lang w:val="fr-BE" w:eastAsia="en-GB"/>
        </w:rPr>
        <w:t>Dépôt des candidatures et procédure de sélection</w:t>
      </w:r>
    </w:p>
    <w:p w14:paraId="737732DB" w14:textId="59C050A8" w:rsidR="00693BC6" w:rsidRPr="000636B7" w:rsidRDefault="00693BC6" w:rsidP="00693BC6">
      <w:pPr>
        <w:keepNext/>
        <w:rPr>
          <w:lang w:val="fr-BE" w:eastAsia="en-GB"/>
        </w:rPr>
      </w:pPr>
      <w:r w:rsidRPr="000636B7">
        <w:rPr>
          <w:lang w:val="fr-BE" w:eastAsia="en-GB"/>
        </w:rPr>
        <w:t xml:space="preserve">Si vous êtes intéressé, veuillez suivre les instructions données par votre employeur sur la façon de postuler. </w:t>
      </w:r>
    </w:p>
    <w:p w14:paraId="01FE2616" w14:textId="3EE6DFF7" w:rsidR="00693BC6" w:rsidRPr="000636B7" w:rsidRDefault="00693BC6" w:rsidP="00252050">
      <w:pPr>
        <w:keepNext/>
        <w:rPr>
          <w:lang w:val="fr-BE" w:eastAsia="en-GB"/>
        </w:rPr>
      </w:pPr>
      <w:r w:rsidRPr="000636B7">
        <w:rPr>
          <w:lang w:val="fr-BE" w:eastAsia="en-GB"/>
        </w:rPr>
        <w:t xml:space="preserve">La Commission européenne </w:t>
      </w:r>
      <w:r w:rsidRPr="000636B7">
        <w:rPr>
          <w:b/>
          <w:lang w:val="fr-BE" w:eastAsia="en-GB"/>
        </w:rPr>
        <w:t>n'accepte que les demandes qui ont été soumises par l'intermédiaire de la représentation permanente / mission diplomatique auprès de l'UE de votre pays, du secrétariat de l'AELE ou par le ou les canaux qu'elle a spécifiquement acceptés</w:t>
      </w:r>
      <w:r w:rsidRPr="000636B7">
        <w:rPr>
          <w:lang w:val="fr-BE" w:eastAsia="en-GB"/>
        </w:rPr>
        <w:t>. Les candidatures reçues directement de vous ou de votre employeur ne seront pas prises en considération.</w:t>
      </w:r>
    </w:p>
    <w:p w14:paraId="0F7E0F3E" w14:textId="42443FEA" w:rsidR="00B73F08" w:rsidRPr="000636B7" w:rsidRDefault="00693BC6" w:rsidP="00252050">
      <w:pPr>
        <w:keepNext/>
        <w:rPr>
          <w:lang w:val="fr-BE" w:eastAsia="en-GB"/>
        </w:rPr>
      </w:pPr>
      <w:r w:rsidRPr="000636B7">
        <w:rPr>
          <w:lang w:val="fr-BE" w:eastAsia="en-GB"/>
        </w:rPr>
        <w:t>Vous devez rédiger votre CV en anglais, français ou allemand en utilisant le</w:t>
      </w:r>
      <w:r w:rsidR="00E21DBD" w:rsidRPr="000636B7">
        <w:rPr>
          <w:b/>
          <w:lang w:val="fr-BE" w:eastAsia="en-GB"/>
        </w:rPr>
        <w:t xml:space="preserve"> format Europass </w:t>
      </w:r>
      <w:r w:rsidR="00E21DBD" w:rsidRPr="000636B7">
        <w:rPr>
          <w:lang w:val="fr-BE" w:eastAsia="en-GB"/>
        </w:rPr>
        <w:t>CV (</w:t>
      </w:r>
      <w:hyperlink r:id="rId30" w:history="1">
        <w:hyperlink r:id="rId31" w:history="1">
          <w:r w:rsidR="00E21DBD" w:rsidRPr="000636B7">
            <w:rPr>
              <w:rStyle w:val="Hyperlink"/>
              <w:szCs w:val="24"/>
              <w:lang w:val="fr-BE"/>
            </w:rPr>
            <w:t>Créer votre CV Europass | Europass</w:t>
          </w:r>
        </w:hyperlink>
      </w:hyperlink>
      <w:r w:rsidR="00E21DBD" w:rsidRPr="000636B7">
        <w:rPr>
          <w:lang w:val="fr-BE" w:eastAsia="en-GB"/>
        </w:rPr>
        <w:t>). Il doit mentionner votre nationalité.</w:t>
      </w:r>
    </w:p>
    <w:p w14:paraId="5D1B7045" w14:textId="53BEFD6E" w:rsidR="00E21DBD" w:rsidRPr="000636B7" w:rsidRDefault="00665583" w:rsidP="009A2F00">
      <w:pPr>
        <w:rPr>
          <w:lang w:val="fr-BE" w:eastAsia="en-GB"/>
        </w:rPr>
      </w:pPr>
      <w:r w:rsidRPr="000636B7">
        <w:rPr>
          <w:lang w:val="fr-BE" w:eastAsia="en-GB"/>
        </w:rPr>
        <w:t>Veuillez ne pas ajouter d'autres documents (tels qu'une copie du passeport, une copie des diplômes ou du certificat d'expérience professionnelle, etc.). Si nécessaire, ceux-ci seront demandés ultérieurement.</w:t>
      </w:r>
    </w:p>
    <w:p w14:paraId="00AF0134" w14:textId="77777777" w:rsidR="00E21DBD" w:rsidRPr="000636B7" w:rsidRDefault="00E21DBD" w:rsidP="009A2F00">
      <w:pPr>
        <w:rPr>
          <w:lang w:val="fr-BE" w:eastAsia="en-GB"/>
        </w:rPr>
      </w:pPr>
    </w:p>
    <w:p w14:paraId="54CDDE36" w14:textId="52364A78" w:rsidR="00E21DBD" w:rsidRPr="000636B7" w:rsidRDefault="00E21DBD" w:rsidP="00252050">
      <w:pPr>
        <w:pStyle w:val="ListNumber"/>
        <w:keepNext/>
        <w:numPr>
          <w:ilvl w:val="0"/>
          <w:numId w:val="0"/>
        </w:numPr>
        <w:ind w:left="709" w:hanging="709"/>
        <w:rPr>
          <w:b/>
          <w:bCs/>
          <w:u w:val="single"/>
          <w:lang w:val="fr-BE" w:eastAsia="en-GB"/>
        </w:rPr>
      </w:pPr>
      <w:r w:rsidRPr="000636B7">
        <w:rPr>
          <w:b/>
          <w:bCs/>
          <w:u w:val="single"/>
          <w:lang w:val="fr-BE" w:eastAsia="en-GB"/>
        </w:rPr>
        <w:t>Traitement des données personnelles</w:t>
      </w:r>
    </w:p>
    <w:p w14:paraId="0D144B0D" w14:textId="1B120317" w:rsidR="00F93413" w:rsidRPr="000636B7" w:rsidRDefault="00C75BA4" w:rsidP="007F02AC">
      <w:pPr>
        <w:keepNext/>
        <w:rPr>
          <w:lang w:val="fr-BE"/>
        </w:rPr>
      </w:pPr>
      <w:r w:rsidRPr="000636B7">
        <w:rPr>
          <w:lang w:val="fr-BE"/>
        </w:rPr>
        <w:t xml:space="preserve">La Commission veillera à ce que les données à caractère personnel des candidats soient traitées conformément au règlement (UE) 2018/1725 du Parlement européen et du Conseil </w:t>
      </w:r>
      <w:r w:rsidRPr="000636B7">
        <w:rPr>
          <w:lang w:val="fr-BE"/>
        </w:rPr>
        <w:lastRenderedPageBreak/>
        <w:t>(</w:t>
      </w:r>
      <w:r>
        <w:rPr>
          <w:rStyle w:val="FootnoteReference"/>
          <w:sz w:val="22"/>
          <w:szCs w:val="22"/>
        </w:rPr>
        <w:footnoteReference w:id="1"/>
      </w:r>
      <w:r w:rsidRPr="000636B7">
        <w:rPr>
          <w:lang w:val="fr-BE"/>
        </w:rPr>
        <w:t>). Cela s'applique en particulier à la confidentialité et à la sécurité de ces données. Avant de postuler, veuillez lire la déclaration de confidentialité ci-jointe.</w:t>
      </w:r>
      <w:bookmarkStart w:id="6" w:name="_Hlk132131276"/>
      <w:bookmarkEnd w:id="6"/>
    </w:p>
    <w:sectPr w:rsidR="00F93413" w:rsidRPr="000636B7">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0636B7" w:rsidRDefault="00C75BA4">
      <w:pPr>
        <w:pStyle w:val="FootnoteText"/>
        <w:rPr>
          <w:lang w:val="fr-BE"/>
        </w:rPr>
      </w:pPr>
      <w:r w:rsidRPr="000636B7">
        <w:rPr>
          <w:lang w:val="fr-BE"/>
        </w:rPr>
        <w:t>(</w:t>
      </w:r>
      <w:r>
        <w:rPr>
          <w:rStyle w:val="FootnoteReference"/>
        </w:rPr>
        <w:footnoteRef/>
      </w:r>
      <w:r w:rsidRPr="000636B7">
        <w:rPr>
          <w:lang w:val="fr-BE"/>
        </w:rPr>
        <w:t>)</w:t>
      </w:r>
      <w:r w:rsidRPr="000636B7">
        <w:rPr>
          <w:lang w:val="fr-BE"/>
        </w:rPr>
        <w:tab/>
      </w:r>
      <w:r w:rsidRPr="000636B7">
        <w:rPr>
          <w:sz w:val="16"/>
          <w:szCs w:val="16"/>
          <w:lang w:val="fr-BE"/>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 (JO L 295,  21.11.2018, p.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636B7"/>
    <w:rsid w:val="0007110E"/>
    <w:rsid w:val="0007544E"/>
    <w:rsid w:val="00092BCA"/>
    <w:rsid w:val="000A4668"/>
    <w:rsid w:val="000D129C"/>
    <w:rsid w:val="000F371B"/>
    <w:rsid w:val="000F4CD5"/>
    <w:rsid w:val="00111AB6"/>
    <w:rsid w:val="00167022"/>
    <w:rsid w:val="001D0A81"/>
    <w:rsid w:val="002109E6"/>
    <w:rsid w:val="0024148B"/>
    <w:rsid w:val="00252050"/>
    <w:rsid w:val="00281E0E"/>
    <w:rsid w:val="002B3CBF"/>
    <w:rsid w:val="002C13C3"/>
    <w:rsid w:val="002C49D0"/>
    <w:rsid w:val="002E40A9"/>
    <w:rsid w:val="003322B5"/>
    <w:rsid w:val="00374C8E"/>
    <w:rsid w:val="00394447"/>
    <w:rsid w:val="003D1BB9"/>
    <w:rsid w:val="003D48AA"/>
    <w:rsid w:val="003E50A4"/>
    <w:rsid w:val="0040388A"/>
    <w:rsid w:val="00431778"/>
    <w:rsid w:val="004519AC"/>
    <w:rsid w:val="00454CC7"/>
    <w:rsid w:val="00476034"/>
    <w:rsid w:val="005168AD"/>
    <w:rsid w:val="0058240F"/>
    <w:rsid w:val="00592CD5"/>
    <w:rsid w:val="00597E71"/>
    <w:rsid w:val="005D1B85"/>
    <w:rsid w:val="00665583"/>
    <w:rsid w:val="00693BC6"/>
    <w:rsid w:val="00696070"/>
    <w:rsid w:val="007A47DA"/>
    <w:rsid w:val="007E531E"/>
    <w:rsid w:val="007F02AC"/>
    <w:rsid w:val="007F3817"/>
    <w:rsid w:val="007F7012"/>
    <w:rsid w:val="00831761"/>
    <w:rsid w:val="008751E4"/>
    <w:rsid w:val="008D02B7"/>
    <w:rsid w:val="008F0B52"/>
    <w:rsid w:val="008F4BA9"/>
    <w:rsid w:val="0091403C"/>
    <w:rsid w:val="00927943"/>
    <w:rsid w:val="00930E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940B5"/>
    <w:rsid w:val="00CB5B61"/>
    <w:rsid w:val="00CD2C5A"/>
    <w:rsid w:val="00D0015C"/>
    <w:rsid w:val="00D03CF4"/>
    <w:rsid w:val="00D7090C"/>
    <w:rsid w:val="00D84D53"/>
    <w:rsid w:val="00D96984"/>
    <w:rsid w:val="00DD41ED"/>
    <w:rsid w:val="00DF1E49"/>
    <w:rsid w:val="00E21DBD"/>
    <w:rsid w:val="00E342CB"/>
    <w:rsid w:val="00E41704"/>
    <w:rsid w:val="00E44D7F"/>
    <w:rsid w:val="00E604B1"/>
    <w:rsid w:val="00E82667"/>
    <w:rsid w:val="00EA65D0"/>
    <w:rsid w:val="00EB3147"/>
    <w:rsid w:val="00F4683D"/>
    <w:rsid w:val="00F6462F"/>
    <w:rsid w:val="00F91B73"/>
    <w:rsid w:val="00F93413"/>
    <w:rsid w:val="00FD5D6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caroline.vandierendonck@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31ECA"/>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EUROPEENNE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f1abed2b-c1cd-4d88-9eca-ac530a520f89"/>
    <ds:schemaRef ds:uri="5e650eae-9cc8-4fae-9f41-32ac7863f005"/>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6</Pages>
  <Words>1872</Words>
  <Characters>10561</Characters>
  <Application>Microsoft Office Word</Application>
  <DocSecurity>0</DocSecurity>
  <PresentationFormat>Microsoft Word 14.0</PresentationFormat>
  <Lines>264</Lines>
  <Paragraphs>125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2024-06-07T09:11:00Z</dcterms:created>
  <dcterms:modified xsi:type="dcterms:W3CDTF">2024-06-12T14:16:00Z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