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C3CB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C3CBB">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C3CBB">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C3CBB">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C3CBB">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C3CB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48F45FA" w:rsidR="00377580" w:rsidRPr="00080A71" w:rsidRDefault="00C07091" w:rsidP="005F6927">
                <w:pPr>
                  <w:tabs>
                    <w:tab w:val="left" w:pos="426"/>
                  </w:tabs>
                  <w:rPr>
                    <w:bCs/>
                    <w:lang w:val="en-IE" w:eastAsia="en-GB"/>
                  </w:rPr>
                </w:pPr>
                <w:r>
                  <w:rPr>
                    <w:bCs/>
                    <w:lang w:val="fr-BE" w:eastAsia="en-GB"/>
                  </w:rPr>
                  <w:t>MARE.A.3</w:t>
                </w:r>
              </w:p>
            </w:tc>
          </w:sdtContent>
        </w:sdt>
      </w:tr>
      <w:tr w:rsidR="00377580" w:rsidRPr="00C0709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67ADD26" w:rsidR="00377580" w:rsidRPr="00080A71" w:rsidRDefault="00C07091" w:rsidP="005F6927">
                <w:pPr>
                  <w:tabs>
                    <w:tab w:val="left" w:pos="426"/>
                  </w:tabs>
                  <w:rPr>
                    <w:bCs/>
                    <w:lang w:val="en-IE" w:eastAsia="en-GB"/>
                  </w:rPr>
                </w:pPr>
                <w:r>
                  <w:rPr>
                    <w:bCs/>
                    <w:lang w:val="fr-BE" w:eastAsia="en-GB"/>
                  </w:rPr>
                  <w:t>111576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B64A08B" w:rsidR="00377580" w:rsidRPr="00080A71" w:rsidRDefault="00C07091" w:rsidP="005F6927">
                <w:pPr>
                  <w:tabs>
                    <w:tab w:val="left" w:pos="426"/>
                  </w:tabs>
                  <w:rPr>
                    <w:bCs/>
                    <w:lang w:val="en-IE" w:eastAsia="en-GB"/>
                  </w:rPr>
                </w:pPr>
                <w:r>
                  <w:rPr>
                    <w:bCs/>
                    <w:lang w:val="fr-BE" w:eastAsia="en-GB"/>
                  </w:rPr>
                  <w:t>Christos Economou</w:t>
                </w:r>
              </w:p>
            </w:sdtContent>
          </w:sdt>
          <w:p w14:paraId="32DD8032" w14:textId="0F9DDDFD" w:rsidR="00377580" w:rsidRPr="001D3EEC" w:rsidRDefault="00BC3CB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07091">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C07091">
                  <w:rPr>
                    <w:bCs/>
                    <w:lang w:val="fr-BE" w:eastAsia="en-GB"/>
                  </w:rPr>
                  <w:t>4</w:t>
                </w:r>
              </w:sdtContent>
            </w:sdt>
          </w:p>
          <w:p w14:paraId="768BBE26" w14:textId="4969716A" w:rsidR="00377580" w:rsidRPr="001D3EEC" w:rsidRDefault="00BC3CB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sidR="00C07091">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0709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0341B1AA" w:rsidR="00377580" w:rsidRPr="001D3EEC" w:rsidRDefault="00BC3CBB"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C07091">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3F142AC8" w:rsidR="00377580" w:rsidRPr="001D3EEC" w:rsidRDefault="00BC3CBB"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C07091">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BC3CBB"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BC3CBB"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BC3CBB"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BC3CBB"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55A8886A" w:rsidR="00377580" w:rsidRPr="001D3EEC" w:rsidRDefault="00BC3CBB"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C07091">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CF0A016" w14:textId="4D0A492D" w:rsidR="00C07091" w:rsidRPr="009D0ACC" w:rsidRDefault="00C07091" w:rsidP="00C07091">
          <w:pPr>
            <w:rPr>
              <w:sz w:val="22"/>
              <w:szCs w:val="22"/>
            </w:rPr>
          </w:pPr>
          <w:r w:rsidRPr="009D0ACC">
            <w:rPr>
              <w:sz w:val="22"/>
              <w:szCs w:val="22"/>
            </w:rPr>
            <w:t>La Direction générale des affaires maritimes et de la pêche (DG MARE) a pour but de développer le potentiel de l’économie maritime européenne et de garantir une pêche durable, un approvisionnement fiable en produits de la mer, des mers saines et des populations côtières prospères — pour les citoyens européens d’aujourd’hui et pour les générations futures. Notre mission consiste à formuler, développer et mettre en œuvre la politique commune de la pêche — la pierre angulaire de notre action en faveur d’une exploitation durable des ressources halieutiques; et la promotion d’une approche intégrée de toutes les questions maritimes. La DG compte environ 300 personnes, répartis sur 5 directions et 2</w:t>
          </w:r>
          <w:r w:rsidR="00B25CA9">
            <w:rPr>
              <w:sz w:val="22"/>
              <w:szCs w:val="22"/>
            </w:rPr>
            <w:t>1</w:t>
          </w:r>
          <w:r w:rsidRPr="009D0ACC">
            <w:rPr>
              <w:sz w:val="22"/>
              <w:szCs w:val="22"/>
            </w:rPr>
            <w:t xml:space="preserve"> unités.</w:t>
          </w:r>
        </w:p>
        <w:p w14:paraId="563A20BE" w14:textId="77777777" w:rsidR="00C07091" w:rsidRPr="009D0ACC" w:rsidRDefault="00C07091" w:rsidP="00C07091">
          <w:pPr>
            <w:rPr>
              <w:sz w:val="22"/>
              <w:szCs w:val="22"/>
            </w:rPr>
          </w:pPr>
        </w:p>
        <w:p w14:paraId="0F06EE12" w14:textId="77777777" w:rsidR="00C07091" w:rsidRPr="009D0ACC" w:rsidRDefault="00C07091" w:rsidP="00C07091">
          <w:pPr>
            <w:rPr>
              <w:sz w:val="22"/>
              <w:szCs w:val="22"/>
            </w:rPr>
          </w:pPr>
          <w:r w:rsidRPr="009D0ACC">
            <w:rPr>
              <w:sz w:val="22"/>
              <w:szCs w:val="22"/>
            </w:rPr>
            <w:lastRenderedPageBreak/>
            <w:t>La grande diversité des responsabilités crée un environnement de travail intéressant et stimulant. Les circuits hiérarchiques sont courts, et les efforts se traduisent par des résultats concrets ayant un impact direct sur le terrain et sur les parties prenantes.</w:t>
          </w:r>
        </w:p>
        <w:p w14:paraId="17E7E23D" w14:textId="77777777" w:rsidR="00C07091" w:rsidRPr="009D0ACC" w:rsidRDefault="00C07091" w:rsidP="00C07091">
          <w:pPr>
            <w:rPr>
              <w:sz w:val="22"/>
              <w:szCs w:val="22"/>
            </w:rPr>
          </w:pPr>
        </w:p>
        <w:p w14:paraId="18140A21" w14:textId="6F8C1E89" w:rsidR="001A0074" w:rsidRPr="00AF40DE" w:rsidRDefault="00C07091" w:rsidP="001A0074">
          <w:pPr>
            <w:rPr>
              <w:lang w:val="fr-BE" w:eastAsia="en-GB"/>
            </w:rPr>
          </w:pPr>
          <w:r w:rsidRPr="009D0ACC">
            <w:rPr>
              <w:color w:val="000000"/>
              <w:sz w:val="22"/>
              <w:szCs w:val="22"/>
              <w:shd w:val="clear" w:color="auto" w:fill="FAFAFA"/>
            </w:rPr>
            <w:t>L’Unité A3 est chargée de développer la politique maritime de l'UE en encourageant le dialogue et la coopération sur les questions maritimes et en développant des initiatives dans les bassins maritimes européens pour aider les communautés et régions côtières à diversifier et développer leur économie. Elle coordonne également la mise en œuvre de la stratégie de l'UE en matière de sûreté maritime, notamment en intégrant davantage les activités de surveillance maritime dans l'UE et en encourageant la coopération entre les autorités exerçant des fonctions de garde-côtes. L'unité fait partie de la direction A : "Politique maritime et économie bleue" et est composée d'une équipe dynamique et motivée de 14 personnes. La Direction encourage activement un esprit de collaboration au sein de ses quatre unités.</w:t>
          </w:r>
        </w:p>
      </w:sdtContent>
    </w:sdt>
    <w:p w14:paraId="30B422AA" w14:textId="77777777" w:rsidR="00301CA3" w:rsidRPr="00AF40DE"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53D9DDF" w14:textId="77777777" w:rsidR="00C07091" w:rsidRPr="009D0ACC" w:rsidRDefault="00C07091" w:rsidP="00C07091">
          <w:pPr>
            <w:rPr>
              <w:sz w:val="22"/>
              <w:szCs w:val="22"/>
            </w:rPr>
          </w:pPr>
          <w:r w:rsidRPr="009D0ACC">
            <w:rPr>
              <w:sz w:val="22"/>
              <w:szCs w:val="22"/>
            </w:rPr>
            <w:t xml:space="preserve">Nous proposons un poste stimulant de gestionnaire des politiques sur les questions relatives à la </w:t>
          </w:r>
          <w:r w:rsidRPr="009D0ACC">
            <w:rPr>
              <w:bCs/>
              <w:sz w:val="22"/>
              <w:szCs w:val="22"/>
            </w:rPr>
            <w:t>coopération régionale maritime, les initiatives bassin et la sureté maritime</w:t>
          </w:r>
          <w:r w:rsidRPr="009D0ACC">
            <w:rPr>
              <w:sz w:val="22"/>
              <w:szCs w:val="22"/>
            </w:rPr>
            <w:t xml:space="preserve"> Il s’agit notamment de:</w:t>
          </w:r>
        </w:p>
        <w:p w14:paraId="4709EE1C" w14:textId="77777777" w:rsidR="00C07091" w:rsidRPr="009D0ACC" w:rsidRDefault="00C07091" w:rsidP="00C07091">
          <w:pPr>
            <w:numPr>
              <w:ilvl w:val="0"/>
              <w:numId w:val="26"/>
            </w:numPr>
            <w:spacing w:after="0"/>
            <w:ind w:left="462" w:right="567"/>
            <w:rPr>
              <w:sz w:val="22"/>
              <w:szCs w:val="22"/>
            </w:rPr>
          </w:pPr>
          <w:r w:rsidRPr="009D0ACC">
            <w:rPr>
              <w:sz w:val="22"/>
              <w:szCs w:val="22"/>
            </w:rPr>
            <w:t>Fournir des orientations et un soutien pour le développement de la politique maritime dans certains bassins maritimes (par exemple l'Atlantique, la Méditerranée, y compris la Méditerranée occidentale et le bassin mer Adriatique et ionien, la mer Noire, la mer Baltique et la mer du Nord) et dans les régions ultrapériphériques;</w:t>
          </w:r>
        </w:p>
        <w:p w14:paraId="6300707A" w14:textId="77777777" w:rsidR="00C07091" w:rsidRPr="009D0ACC" w:rsidRDefault="00C07091" w:rsidP="00C07091">
          <w:pPr>
            <w:numPr>
              <w:ilvl w:val="0"/>
              <w:numId w:val="26"/>
            </w:numPr>
            <w:spacing w:after="0"/>
            <w:ind w:left="462" w:right="567"/>
            <w:rPr>
              <w:sz w:val="22"/>
              <w:szCs w:val="22"/>
            </w:rPr>
          </w:pPr>
          <w:r w:rsidRPr="009D0ACC">
            <w:rPr>
              <w:sz w:val="22"/>
              <w:szCs w:val="22"/>
            </w:rPr>
            <w:t>Promouvoir la coordination et la coopération en matière de politique maritime et d'économie bleue dans un ou plusieurs bassins maritimes avec les autorités maritimes des États membres et/ou des pays tiers, d'autres organisations et organismes tels que l'Union pour la Méditerranée, l'Organisation maritime internationale, la Banque européenne d'investissement et les autorités exerçant des fonctions maritimes et de garde-côtes;</w:t>
          </w:r>
        </w:p>
        <w:p w14:paraId="22E7DD07" w14:textId="77777777" w:rsidR="00C07091" w:rsidRPr="009D0ACC" w:rsidRDefault="00C07091" w:rsidP="00C07091">
          <w:pPr>
            <w:numPr>
              <w:ilvl w:val="0"/>
              <w:numId w:val="26"/>
            </w:numPr>
            <w:spacing w:after="0"/>
            <w:ind w:left="462" w:right="567"/>
            <w:rPr>
              <w:sz w:val="22"/>
              <w:szCs w:val="22"/>
            </w:rPr>
          </w:pPr>
          <w:r w:rsidRPr="009D0ACC">
            <w:rPr>
              <w:sz w:val="22"/>
              <w:szCs w:val="22"/>
            </w:rPr>
            <w:t xml:space="preserve">Contribuer </w:t>
          </w:r>
          <w:r>
            <w:rPr>
              <w:sz w:val="22"/>
              <w:szCs w:val="22"/>
            </w:rPr>
            <w:t>au travail de l’Unité concernant les sources de financement pour l’économie bleu durable</w:t>
          </w:r>
          <w:r w:rsidRPr="009D0ACC">
            <w:rPr>
              <w:sz w:val="22"/>
              <w:szCs w:val="22"/>
            </w:rPr>
            <w:t xml:space="preserve">, notamment le FEAMP, le FEDER, </w:t>
          </w:r>
          <w:r>
            <w:rPr>
              <w:sz w:val="22"/>
              <w:szCs w:val="22"/>
            </w:rPr>
            <w:t xml:space="preserve">Horizon Europe, </w:t>
          </w:r>
          <w:r w:rsidRPr="009D0ACC">
            <w:rPr>
              <w:sz w:val="22"/>
              <w:szCs w:val="22"/>
            </w:rPr>
            <w:t>le FSE, l’IVCDCI</w:t>
          </w:r>
          <w:r w:rsidRPr="009D0ACC">
            <w:rPr>
              <w:rStyle w:val="FootnoteReference"/>
              <w:sz w:val="22"/>
              <w:szCs w:val="22"/>
            </w:rPr>
            <w:footnoteReference w:id="1"/>
          </w:r>
          <w:r w:rsidRPr="009D0ACC">
            <w:rPr>
              <w:sz w:val="22"/>
              <w:szCs w:val="22"/>
            </w:rPr>
            <w:t>, visant à intégrer les priorités du bassin maritime dans les programmes régionaux, nationaux et de coopération pertinents, et assurer la liaison avec les autres services de la Commission à cette fin;</w:t>
          </w:r>
        </w:p>
        <w:p w14:paraId="34170DD1" w14:textId="77777777" w:rsidR="00C07091" w:rsidRPr="009D0ACC" w:rsidRDefault="00C07091" w:rsidP="00C07091">
          <w:pPr>
            <w:numPr>
              <w:ilvl w:val="0"/>
              <w:numId w:val="26"/>
            </w:numPr>
            <w:spacing w:after="0"/>
            <w:ind w:left="462" w:right="567"/>
            <w:rPr>
              <w:sz w:val="22"/>
              <w:szCs w:val="22"/>
            </w:rPr>
          </w:pPr>
          <w:r w:rsidRPr="009D0ACC">
            <w:rPr>
              <w:sz w:val="22"/>
              <w:szCs w:val="22"/>
            </w:rPr>
            <w:t>Apporter sa contribution et son expertise aux aspects transversaux et sectoriels de la politique maritime et contribuer, le cas échéant, à l'élaboration de projets spécifiques;</w:t>
          </w:r>
        </w:p>
        <w:p w14:paraId="7379CE35" w14:textId="77777777" w:rsidR="00C07091" w:rsidRPr="009D0ACC" w:rsidRDefault="00C07091" w:rsidP="00C07091">
          <w:pPr>
            <w:numPr>
              <w:ilvl w:val="0"/>
              <w:numId w:val="26"/>
            </w:numPr>
            <w:spacing w:after="0"/>
            <w:ind w:left="462" w:right="567"/>
            <w:rPr>
              <w:sz w:val="22"/>
              <w:szCs w:val="22"/>
            </w:rPr>
          </w:pPr>
          <w:r w:rsidRPr="009D0ACC">
            <w:rPr>
              <w:sz w:val="22"/>
              <w:szCs w:val="22"/>
            </w:rPr>
            <w:t>Contribuer aux processus d'élaboration des politiques de la DG MARE, y compris les contributions aux propositions, documents d'information, textes législatifs, briefings, réponses</w:t>
          </w:r>
          <w:r>
            <w:rPr>
              <w:sz w:val="22"/>
              <w:szCs w:val="22"/>
            </w:rPr>
            <w:t xml:space="preserve"> aux lettres et autres demandes</w:t>
          </w:r>
          <w:r w:rsidRPr="009D0ACC">
            <w:rPr>
              <w:sz w:val="22"/>
              <w:szCs w:val="22"/>
            </w:rPr>
            <w:t xml:space="preserve">; </w:t>
          </w:r>
        </w:p>
        <w:p w14:paraId="22E8CBCE" w14:textId="77777777" w:rsidR="00C07091" w:rsidRPr="00047499" w:rsidRDefault="00C07091" w:rsidP="00C07091">
          <w:pPr>
            <w:numPr>
              <w:ilvl w:val="0"/>
              <w:numId w:val="26"/>
            </w:numPr>
            <w:spacing w:after="0"/>
            <w:ind w:left="462" w:right="567"/>
            <w:rPr>
              <w:sz w:val="20"/>
            </w:rPr>
          </w:pPr>
          <w:r w:rsidRPr="009D0ACC">
            <w:rPr>
              <w:sz w:val="22"/>
              <w:szCs w:val="22"/>
            </w:rPr>
            <w:t>Préparation et participation aux réunions avec d'autres services de la Commission et des institutions européennes/internationales sur les questions maritimes et aux échanges d'informations avec les organismes publics et les parties prenantes dans les États membres de l'UE et les pays partenaires.</w:t>
          </w:r>
        </w:p>
        <w:p w14:paraId="3B1D2FA2" w14:textId="57DF5DC0" w:rsidR="001A0074" w:rsidRPr="00080A71" w:rsidRDefault="00BC3CBB"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sdt>
          <w:sdtPr>
            <w:rPr>
              <w:b/>
              <w:bCs/>
              <w:lang w:val="fr-BE" w:eastAsia="en-GB"/>
            </w:rPr>
            <w:id w:val="-645119834"/>
            <w:placeholder>
              <w:docPart w:val="A2847A55DA294BDF98D3345FED6D47EF"/>
            </w:placeholder>
          </w:sdtPr>
          <w:sdtEndPr/>
          <w:sdtContent>
            <w:p w14:paraId="427783D9" w14:textId="19A36B89" w:rsidR="007954D0" w:rsidRPr="00616A1B" w:rsidRDefault="007954D0" w:rsidP="007954D0">
              <w:pPr>
                <w:ind w:left="720"/>
                <w:rPr>
                  <w:b/>
                  <w:bCs/>
                  <w:lang w:val="fr-BE" w:eastAsia="en-GB"/>
                </w:rPr>
              </w:pPr>
              <w:r w:rsidRPr="00616A1B">
                <w:rPr>
                  <w:sz w:val="22"/>
                  <w:szCs w:val="22"/>
                  <w:lang w:val="fr-BE" w:eastAsia="en-US"/>
                </w:rPr>
                <w:t>Un candidat dynamique et bien organisé capable de travailler en équipe et de manière autonome. Le candidat doit avoir une connaissance et une expérience approfondies de la politique maritime et</w:t>
              </w:r>
              <w:r w:rsidR="00BC3CBB">
                <w:rPr>
                  <w:sz w:val="22"/>
                  <w:szCs w:val="22"/>
                  <w:lang w:val="fr-BE" w:eastAsia="en-US"/>
                </w:rPr>
                <w:t>/ou</w:t>
              </w:r>
              <w:r w:rsidRPr="00616A1B">
                <w:rPr>
                  <w:sz w:val="22"/>
                  <w:szCs w:val="22"/>
                  <w:lang w:val="fr-BE" w:eastAsia="en-US"/>
                </w:rPr>
                <w:t xml:space="preserve"> des politiques régionales/de voisinage. Les candidats doivent faire preuve d’un</w:t>
              </w:r>
              <w:r w:rsidRPr="00616A1B">
                <w:rPr>
                  <w:strike/>
                  <w:sz w:val="22"/>
                  <w:szCs w:val="22"/>
                  <w:lang w:val="fr-BE" w:eastAsia="en-US"/>
                </w:rPr>
                <w:t xml:space="preserve">e </w:t>
              </w:r>
              <w:r w:rsidRPr="00616A1B">
                <w:rPr>
                  <w:sz w:val="22"/>
                  <w:szCs w:val="22"/>
                  <w:lang w:val="fr-BE" w:eastAsia="en-US"/>
                </w:rPr>
                <w:t>fort esprit d’initiative et de responsabilité et posséder de très bonnes capacités d’analyse. Les candidats doivent faire preuve de discernement politique et posséder d’excellentes compétences organisationnelles et relationnelles, étant donné qu’une coopération et une coordination étroites avec les collègues chargés des dossiers connexes dans d’autres services de la Commission seront essentielles. Ce poste impliquera des contacts réguliers avec le personnel au sein et en dehors de la Direction Generale, avec les États membres et les fonctionnaires des pays tiers, l’industrie et d’autres parties prenantes, de sorte que l’orientation des services et de bonnes compétences en matière de communication sont très importantes. Le candidat doit pouvoir voyager à l’étranger 5 à 7 fois par an pour des périodes de 1 à 2 jours. Le candidat doit avoir une très bonne maîtrise de l’anglais et de très bonnes capacités rédactionnelles. La connaissance du français ou de l’espagnol serait un atout.</w:t>
              </w:r>
            </w:p>
          </w:sdtContent>
        </w:sdt>
        <w:p w14:paraId="7E409EA7" w14:textId="7E09EC00" w:rsidR="001A0074" w:rsidRPr="00080A71" w:rsidRDefault="00BC3CBB" w:rsidP="00AF40DE">
          <w:pPr>
            <w:ind w:left="720"/>
            <w:rPr>
              <w:b/>
              <w:bCs/>
              <w:lang w:val="en-IE" w:eastAsia="en-GB"/>
            </w:rPr>
          </w:pPr>
        </w:p>
      </w:sdtContent>
    </w:sdt>
    <w:p w14:paraId="5D76C15C" w14:textId="77777777" w:rsidR="00F65CC2" w:rsidRPr="00080A71"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lastRenderedPageBreak/>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2"/>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2F1C6645" w14:textId="77777777" w:rsidR="00C07091" w:rsidRDefault="00C07091" w:rsidP="00C07091">
      <w:pPr>
        <w:pStyle w:val="FootnoteText"/>
      </w:pPr>
      <w:r>
        <w:rPr>
          <w:rStyle w:val="FootnoteReference"/>
        </w:rPr>
        <w:footnoteRef/>
      </w:r>
      <w:r>
        <w:t xml:space="preserve"> Instrument de voisinage, de coopération au développement et de coopération internationale.</w:t>
      </w:r>
    </w:p>
  </w:footnote>
  <w:footnote w:id="2">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33C1E05"/>
    <w:multiLevelType w:val="hybridMultilevel"/>
    <w:tmpl w:val="B9464A64"/>
    <w:lvl w:ilvl="0" w:tplc="9948DF8A">
      <w:numFmt w:val="bullet"/>
      <w:lvlText w:val="-"/>
      <w:lvlJc w:val="left"/>
      <w:pPr>
        <w:ind w:left="740" w:hanging="360"/>
      </w:pPr>
      <w:rPr>
        <w:rFonts w:ascii="Times New Roman" w:eastAsia="Times New Roman" w:hAnsi="Times New Roman" w:cs="Times New Roman" w:hint="default"/>
      </w:rPr>
    </w:lvl>
    <w:lvl w:ilvl="1" w:tplc="08090003" w:tentative="1">
      <w:start w:val="1"/>
      <w:numFmt w:val="bullet"/>
      <w:lvlText w:val="o"/>
      <w:lvlJc w:val="left"/>
      <w:pPr>
        <w:ind w:left="1460" w:hanging="360"/>
      </w:pPr>
      <w:rPr>
        <w:rFonts w:ascii="Courier New" w:hAnsi="Courier New" w:cs="Courier New" w:hint="default"/>
      </w:rPr>
    </w:lvl>
    <w:lvl w:ilvl="2" w:tplc="08090005" w:tentative="1">
      <w:start w:val="1"/>
      <w:numFmt w:val="bullet"/>
      <w:lvlText w:val=""/>
      <w:lvlJc w:val="left"/>
      <w:pPr>
        <w:ind w:left="2180" w:hanging="360"/>
      </w:pPr>
      <w:rPr>
        <w:rFonts w:ascii="Wingdings" w:hAnsi="Wingdings" w:hint="default"/>
      </w:rPr>
    </w:lvl>
    <w:lvl w:ilvl="3" w:tplc="08090001" w:tentative="1">
      <w:start w:val="1"/>
      <w:numFmt w:val="bullet"/>
      <w:lvlText w:val=""/>
      <w:lvlJc w:val="left"/>
      <w:pPr>
        <w:ind w:left="2900" w:hanging="360"/>
      </w:pPr>
      <w:rPr>
        <w:rFonts w:ascii="Symbol" w:hAnsi="Symbol" w:hint="default"/>
      </w:rPr>
    </w:lvl>
    <w:lvl w:ilvl="4" w:tplc="08090003" w:tentative="1">
      <w:start w:val="1"/>
      <w:numFmt w:val="bullet"/>
      <w:lvlText w:val="o"/>
      <w:lvlJc w:val="left"/>
      <w:pPr>
        <w:ind w:left="3620" w:hanging="360"/>
      </w:pPr>
      <w:rPr>
        <w:rFonts w:ascii="Courier New" w:hAnsi="Courier New" w:cs="Courier New" w:hint="default"/>
      </w:rPr>
    </w:lvl>
    <w:lvl w:ilvl="5" w:tplc="08090005" w:tentative="1">
      <w:start w:val="1"/>
      <w:numFmt w:val="bullet"/>
      <w:lvlText w:val=""/>
      <w:lvlJc w:val="left"/>
      <w:pPr>
        <w:ind w:left="4340" w:hanging="360"/>
      </w:pPr>
      <w:rPr>
        <w:rFonts w:ascii="Wingdings" w:hAnsi="Wingdings" w:hint="default"/>
      </w:rPr>
    </w:lvl>
    <w:lvl w:ilvl="6" w:tplc="08090001" w:tentative="1">
      <w:start w:val="1"/>
      <w:numFmt w:val="bullet"/>
      <w:lvlText w:val=""/>
      <w:lvlJc w:val="left"/>
      <w:pPr>
        <w:ind w:left="5060" w:hanging="360"/>
      </w:pPr>
      <w:rPr>
        <w:rFonts w:ascii="Symbol" w:hAnsi="Symbol" w:hint="default"/>
      </w:rPr>
    </w:lvl>
    <w:lvl w:ilvl="7" w:tplc="08090003" w:tentative="1">
      <w:start w:val="1"/>
      <w:numFmt w:val="bullet"/>
      <w:lvlText w:val="o"/>
      <w:lvlJc w:val="left"/>
      <w:pPr>
        <w:ind w:left="5780" w:hanging="360"/>
      </w:pPr>
      <w:rPr>
        <w:rFonts w:ascii="Courier New" w:hAnsi="Courier New" w:cs="Courier New" w:hint="default"/>
      </w:rPr>
    </w:lvl>
    <w:lvl w:ilvl="8" w:tplc="08090005" w:tentative="1">
      <w:start w:val="1"/>
      <w:numFmt w:val="bullet"/>
      <w:lvlText w:val=""/>
      <w:lvlJc w:val="left"/>
      <w:pPr>
        <w:ind w:left="6500" w:hanging="360"/>
      </w:pPr>
      <w:rPr>
        <w:rFonts w:ascii="Wingdings" w:hAnsi="Wingdings" w:hint="default"/>
      </w:rPr>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7"/>
  </w:num>
  <w:num w:numId="9" w16cid:durableId="317001864">
    <w:abstractNumId w:val="15"/>
  </w:num>
  <w:num w:numId="10" w16cid:durableId="1149245481">
    <w:abstractNumId w:val="2"/>
  </w:num>
  <w:num w:numId="11" w16cid:durableId="1423138251">
    <w:abstractNumId w:val="4"/>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5985572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A6E30"/>
    <w:rsid w:val="002B37EB"/>
    <w:rsid w:val="00301CA3"/>
    <w:rsid w:val="00377580"/>
    <w:rsid w:val="00443957"/>
    <w:rsid w:val="00462268"/>
    <w:rsid w:val="004D3B51"/>
    <w:rsid w:val="006A1CB2"/>
    <w:rsid w:val="006F23BA"/>
    <w:rsid w:val="0074301E"/>
    <w:rsid w:val="007954D0"/>
    <w:rsid w:val="007A1396"/>
    <w:rsid w:val="007B5FAE"/>
    <w:rsid w:val="007E131B"/>
    <w:rsid w:val="008241B0"/>
    <w:rsid w:val="008315CD"/>
    <w:rsid w:val="0092295D"/>
    <w:rsid w:val="00A917BE"/>
    <w:rsid w:val="00AF40DE"/>
    <w:rsid w:val="00B25CA9"/>
    <w:rsid w:val="00B31DC8"/>
    <w:rsid w:val="00BC3CBB"/>
    <w:rsid w:val="00C07091"/>
    <w:rsid w:val="00C518F5"/>
    <w:rsid w:val="00C66071"/>
    <w:rsid w:val="00E0579E"/>
    <w:rsid w:val="00E55AEA"/>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5987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A2847A55DA294BDF98D3345FED6D47EF"/>
        <w:category>
          <w:name w:val="General"/>
          <w:gallery w:val="placeholder"/>
        </w:category>
        <w:types>
          <w:type w:val="bbPlcHdr"/>
        </w:types>
        <w:behaviors>
          <w:behavior w:val="content"/>
        </w:behaviors>
        <w:guid w:val="{36BA0666-4F24-412B-A2E8-44DBD2F497DC}"/>
      </w:docPartPr>
      <w:docPartBody>
        <w:p w:rsidR="00F20957" w:rsidRDefault="00F20957" w:rsidP="00F20957">
          <w:pPr>
            <w:pStyle w:val="A2847A55DA294BDF98D3345FED6D47EF"/>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F2095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20957"/>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A2847A55DA294BDF98D3345FED6D47EF">
    <w:name w:val="A2847A55DA294BDF98D3345FED6D47EF"/>
    <w:rsid w:val="00F2095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14</TotalTime>
  <Pages>4</Pages>
  <Words>1481</Words>
  <Characters>8447</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RASMUSSEN Gitte (MARE)</cp:lastModifiedBy>
  <cp:revision>7</cp:revision>
  <cp:lastPrinted>2023-04-18T07:01:00Z</cp:lastPrinted>
  <dcterms:created xsi:type="dcterms:W3CDTF">2024-06-06T10:12:00Z</dcterms:created>
  <dcterms:modified xsi:type="dcterms:W3CDTF">2024-06-07T09:23:00Z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