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A1D1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A1D1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A1D1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A1D1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A1D1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A1D1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270F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53AC8DE" w:rsidR="00546DB1" w:rsidRPr="00A270F0" w:rsidRDefault="00A270F0" w:rsidP="00AB56F9">
                <w:pPr>
                  <w:tabs>
                    <w:tab w:val="left" w:pos="426"/>
                  </w:tabs>
                  <w:spacing w:before="120"/>
                  <w:rPr>
                    <w:bCs/>
                    <w:lang w:eastAsia="en-GB"/>
                  </w:rPr>
                </w:pPr>
                <w:r w:rsidRPr="00A270F0">
                  <w:rPr>
                    <w:bCs/>
                    <w:lang w:eastAsia="en-GB"/>
                  </w:rPr>
                  <w:t>DIGIT-B-1 – Daten, künstliche Intelligenz und Web</w:t>
                </w:r>
              </w:p>
            </w:tc>
          </w:sdtContent>
        </w:sdt>
      </w:tr>
      <w:tr w:rsidR="00546DB1" w:rsidRPr="00222CD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90D57F6" w:rsidR="00546DB1" w:rsidRPr="003B2E38" w:rsidRDefault="00A270F0" w:rsidP="00AB56F9">
                <w:pPr>
                  <w:tabs>
                    <w:tab w:val="left" w:pos="426"/>
                  </w:tabs>
                  <w:spacing w:before="120"/>
                  <w:rPr>
                    <w:bCs/>
                    <w:lang w:val="en-IE" w:eastAsia="en-GB"/>
                  </w:rPr>
                </w:pPr>
                <w:r>
                  <w:rPr>
                    <w:bCs/>
                    <w:lang w:eastAsia="en-GB"/>
                  </w:rPr>
                  <w:t>288740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46DCC1B" w:rsidR="00546DB1" w:rsidRPr="00A270F0" w:rsidRDefault="00A270F0" w:rsidP="00AB56F9">
                <w:pPr>
                  <w:tabs>
                    <w:tab w:val="left" w:pos="426"/>
                  </w:tabs>
                  <w:spacing w:before="120"/>
                  <w:rPr>
                    <w:bCs/>
                    <w:lang w:val="fr-BE" w:eastAsia="en-GB"/>
                  </w:rPr>
                </w:pPr>
                <w:r w:rsidRPr="00A270F0">
                  <w:rPr>
                    <w:bCs/>
                    <w:lang w:val="fr-BE" w:eastAsia="en-GB"/>
                  </w:rPr>
                  <w:t>DIEZ PEREZ Esther</w:t>
                </w:r>
              </w:p>
            </w:sdtContent>
          </w:sdt>
          <w:p w14:paraId="227D6F6E" w14:textId="4D351602" w:rsidR="00546DB1" w:rsidRPr="00A270F0" w:rsidRDefault="007A1D17" w:rsidP="005F6927">
            <w:pPr>
              <w:tabs>
                <w:tab w:val="left" w:pos="426"/>
              </w:tabs>
              <w:contextualSpacing/>
              <w:rPr>
                <w:bCs/>
                <w:lang w:val="fr-BE" w:eastAsia="en-GB"/>
              </w:rPr>
            </w:pPr>
            <w:sdt>
              <w:sdtPr>
                <w:rPr>
                  <w:bCs/>
                  <w:lang w:eastAsia="en-GB"/>
                </w:rPr>
                <w:id w:val="1175461244"/>
                <w:placeholder>
                  <w:docPart w:val="5C55B5726F8E46C0ABC71DC35F2501E7"/>
                </w:placeholder>
              </w:sdtPr>
              <w:sdtEndPr/>
              <w:sdtContent>
                <w:r w:rsidR="00A270F0" w:rsidRPr="00A270F0">
                  <w:rPr>
                    <w:bCs/>
                    <w:lang w:val="fr-BE" w:eastAsia="en-GB"/>
                  </w:rPr>
                  <w:t>Q</w:t>
                </w:r>
                <w:r w:rsidR="00A270F0">
                  <w:rPr>
                    <w:bCs/>
                    <w:lang w:val="fr-BE" w:eastAsia="en-GB"/>
                  </w:rPr>
                  <w:t>3</w:t>
                </w:r>
              </w:sdtContent>
            </w:sdt>
            <w:r w:rsidR="00546DB1" w:rsidRPr="00A270F0">
              <w:rPr>
                <w:bCs/>
                <w:lang w:val="fr-BE" w:eastAsia="en-GB"/>
              </w:rPr>
              <w:t xml:space="preserve"> Quartal </w:t>
            </w:r>
            <w:sdt>
              <w:sdtPr>
                <w:rPr>
                  <w:bCs/>
                  <w:lang w:eastAsia="en-GB"/>
                </w:rPr>
                <w:id w:val="1463159910"/>
                <w:placeholder>
                  <w:docPart w:val="DefaultPlaceholder_-1854013440"/>
                </w:placeholder>
              </w:sdtPr>
              <w:sdtEndPr/>
              <w:sdtContent>
                <w:sdt>
                  <w:sdtPr>
                    <w:rPr>
                      <w:bCs/>
                      <w:lang w:val="fr-BE"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270F0">
                      <w:rPr>
                        <w:bCs/>
                        <w:lang w:val="fr-BE" w:eastAsia="en-GB"/>
                      </w:rPr>
                      <w:t>2024</w:t>
                    </w:r>
                  </w:sdtContent>
                </w:sdt>
              </w:sdtContent>
            </w:sdt>
          </w:p>
          <w:p w14:paraId="4128A55A" w14:textId="43A7D8DC" w:rsidR="00546DB1" w:rsidRPr="00546DB1" w:rsidRDefault="007A1D1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288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270F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0EE477A"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99pt;height:21.75pt" o:ole="">
                  <v:imagedata r:id="rId15" o:title=""/>
                </v:shape>
                <w:control r:id="rId16" w:name="OptionButton6" w:shapeid="_x0000_i1052"/>
              </w:object>
            </w:r>
            <w:r>
              <w:rPr>
                <w:bCs/>
                <w:lang w:val="en-GB" w:eastAsia="en-GB"/>
              </w:rPr>
              <w:object w:dxaOrig="225" w:dyaOrig="225" w14:anchorId="28F21F18">
                <v:shape id="_x0000_i1055" type="#_x0000_t75" style="width:159pt;height:21.75pt" o:ole="">
                  <v:imagedata r:id="rId17" o:title=""/>
                </v:shape>
                <w:control r:id="rId18" w:name="OptionButton7" w:shapeid="_x0000_i1055"/>
              </w:object>
            </w:r>
          </w:p>
        </w:tc>
      </w:tr>
      <w:tr w:rsidR="002C5752" w:rsidRPr="00994062" w14:paraId="777C186C" w14:textId="77777777" w:rsidTr="000675FD">
        <w:tc>
          <w:tcPr>
            <w:tcW w:w="8602" w:type="dxa"/>
            <w:gridSpan w:val="2"/>
          </w:tcPr>
          <w:p w14:paraId="1AC887FC" w14:textId="28E03CE6" w:rsidR="002C5752" w:rsidRPr="00546DB1" w:rsidRDefault="00A270F0" w:rsidP="00AB56F9">
            <w:pPr>
              <w:tabs>
                <w:tab w:val="left" w:pos="426"/>
              </w:tabs>
              <w:spacing w:before="120"/>
              <w:rPr>
                <w:bCs/>
                <w:lang w:eastAsia="en-GB"/>
              </w:rPr>
            </w:pPr>
            <w:r w:rsidRPr="00A270F0">
              <w:rPr>
                <w:bCs/>
                <w:lang w:eastAsia="en-GB"/>
              </w:rPr>
              <w:t>Auf diese Stellenausschreibung können sich Bedienstete</w:t>
            </w:r>
            <w:r w:rsidR="002C5752" w:rsidRPr="00546DB1">
              <w:rPr>
                <w:bCs/>
                <w:lang w:eastAsia="en-GB"/>
              </w:rPr>
              <w:t>:</w:t>
            </w:r>
          </w:p>
          <w:p w14:paraId="7A934D5A" w14:textId="28A4A309"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58" type="#_x0000_t75" style="width:241.5pt;height:21.75pt" o:ole="">
                  <v:imagedata r:id="rId19" o:title=""/>
                </v:shape>
                <w:control r:id="rId20" w:name="OptionButton4" w:shapeid="_x0000_i1058"/>
              </w:object>
            </w:r>
          </w:p>
          <w:p w14:paraId="0EE1CC65" w14:textId="64808AD0" w:rsidR="002C5752" w:rsidRPr="00546DB1" w:rsidRDefault="00A270F0" w:rsidP="00AB56F9">
            <w:pPr>
              <w:tabs>
                <w:tab w:val="left" w:pos="426"/>
              </w:tabs>
              <w:spacing w:after="120"/>
              <w:ind w:left="567"/>
              <w:rPr>
                <w:bCs/>
                <w:lang w:eastAsia="en-GB"/>
              </w:rPr>
            </w:pPr>
            <w:r>
              <w:rPr>
                <w:bCs/>
                <w:lang w:eastAsia="en-GB"/>
              </w:rPr>
              <w:t>außerdem</w:t>
            </w:r>
          </w:p>
          <w:p w14:paraId="076B032E" w14:textId="054D507E" w:rsidR="002C5752" w:rsidRPr="00546DB1" w:rsidRDefault="007A1D1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A1D1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A1D1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71122AB"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61" type="#_x0000_t75" style="width:419.25pt;height:37.5pt" o:ole="">
                  <v:imagedata r:id="rId21" o:title=""/>
                </v:shape>
                <w:control r:id="rId22" w:name="OptionButton5" w:shapeid="_x0000_i1061"/>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F3BBD4D"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8" type="#_x0000_t75" style="width:108pt;height:21.75pt" o:ole="">
                  <v:imagedata r:id="rId23" o:title=""/>
                </v:shape>
                <w:control r:id="rId24" w:name="OptionButton2" w:shapeid="_x0000_i1048"/>
              </w:object>
            </w:r>
            <w:r>
              <w:rPr>
                <w:bCs/>
                <w:lang w:val="en-GB" w:eastAsia="en-GB"/>
              </w:rPr>
              <w:object w:dxaOrig="225" w:dyaOrig="225" w14:anchorId="50596B69">
                <v:shape id="_x0000_i1049" type="#_x0000_t75" style="width:108pt;height:21.75pt" o:ole="">
                  <v:imagedata r:id="rId25" o:title=""/>
                </v:shape>
                <w:control r:id="rId26" w:name="OptionButton1" w:shapeid="_x0000_i1049"/>
              </w:object>
            </w:r>
          </w:p>
          <w:p w14:paraId="1CC7C8D1" w14:textId="5C28C48D" w:rsidR="00785A3F" w:rsidRPr="0007110E" w:rsidRDefault="00785A3F" w:rsidP="000675FD">
            <w:pPr>
              <w:tabs>
                <w:tab w:val="left" w:pos="426"/>
              </w:tabs>
              <w:spacing w:before="120" w:after="120"/>
              <w:rPr>
                <w:bCs/>
                <w:lang w:val="en-IE" w:eastAsia="en-GB"/>
              </w:rPr>
            </w:pPr>
            <w:r>
              <w:rPr>
                <w:lang w:val="en-GB"/>
              </w:rPr>
              <w:t xml:space="preserve">Ende der Bewerbungsfrist: </w:t>
            </w:r>
            <w:r w:rsidR="005F2888">
              <w:rPr>
                <w:lang w:val="en-GB"/>
              </w:rPr>
              <w:t>25-7-2024</w: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430443EC" w14:textId="13008850" w:rsidR="00125828" w:rsidRDefault="00125828">
      <w:pPr>
        <w:spacing w:after="0"/>
        <w:jc w:val="left"/>
        <w:rPr>
          <w:b/>
          <w:bCs/>
          <w:lang w:val="en-IE" w:eastAsia="en-GB"/>
        </w:rPr>
      </w:pPr>
      <w:r>
        <w:rPr>
          <w:b/>
          <w:bCs/>
          <w:lang w:val="en-IE" w:eastAsia="en-GB"/>
        </w:rPr>
        <w:br w:type="page"/>
      </w:r>
    </w:p>
    <w:p w14:paraId="18EA7D7F" w14:textId="48311DBD" w:rsidR="00803007" w:rsidRPr="00A270F0" w:rsidRDefault="00A270F0" w:rsidP="007C07D8">
      <w:pPr>
        <w:pStyle w:val="ListNumber"/>
        <w:numPr>
          <w:ilvl w:val="0"/>
          <w:numId w:val="0"/>
        </w:numPr>
        <w:ind w:left="709" w:hanging="709"/>
        <w:rPr>
          <w:lang w:eastAsia="en-GB"/>
        </w:rPr>
      </w:pPr>
      <w:r w:rsidRPr="00A270F0">
        <w:rPr>
          <w:b/>
          <w:bCs/>
          <w:lang w:eastAsia="en-GB"/>
        </w:rPr>
        <w:lastRenderedPageBreak/>
        <w:t>Vorstellung der Einrichtung (</w:t>
      </w:r>
      <w:r w:rsidR="00803007" w:rsidRPr="00A270F0">
        <w:rPr>
          <w:b/>
          <w:bCs/>
          <w:lang w:eastAsia="en-GB"/>
        </w:rPr>
        <w:t>Wer wi</w:t>
      </w:r>
      <w:r w:rsidR="002F7504" w:rsidRPr="00A270F0">
        <w:rPr>
          <w:b/>
          <w:bCs/>
          <w:lang w:eastAsia="en-GB"/>
        </w:rPr>
        <w:t>r</w:t>
      </w:r>
      <w:r w:rsidR="00803007" w:rsidRPr="00A270F0">
        <w:rPr>
          <w:b/>
          <w:bCs/>
          <w:lang w:eastAsia="en-GB"/>
        </w:rPr>
        <w:t xml:space="preserve"> sind</w:t>
      </w:r>
      <w:r w:rsidRPr="00A270F0">
        <w:rPr>
          <w:b/>
          <w:bCs/>
          <w:lang w:eastAsia="en-GB"/>
        </w:rPr>
        <w:t>)</w:t>
      </w:r>
    </w:p>
    <w:sdt>
      <w:sdtPr>
        <w:rPr>
          <w:lang w:val="en-US" w:eastAsia="en-GB"/>
        </w:rPr>
        <w:id w:val="1822233941"/>
        <w:placeholder>
          <w:docPart w:val="FE6C9874556B47B1A65A432926DB0BCE"/>
        </w:placeholder>
      </w:sdtPr>
      <w:sdtEndPr/>
      <w:sdtContent>
        <w:p w14:paraId="2911662A" w14:textId="6E2DDC98" w:rsidR="00A270F0" w:rsidRPr="00A270F0" w:rsidRDefault="00A270F0" w:rsidP="00A270F0">
          <w:pPr>
            <w:rPr>
              <w:lang w:eastAsia="en-GB"/>
            </w:rPr>
          </w:pPr>
          <w:r w:rsidRPr="00A270F0">
            <w:rPr>
              <w:lang w:eastAsia="en-GB"/>
            </w:rPr>
            <w:t>Der Auftrag des Sektors „D</w:t>
          </w:r>
          <w:r>
            <w:rPr>
              <w:lang w:eastAsia="en-GB"/>
            </w:rPr>
            <w:t>IGIT</w:t>
          </w:r>
          <w:r w:rsidRPr="00A270F0">
            <w:rPr>
              <w:lang w:eastAsia="en-GB"/>
            </w:rPr>
            <w:t xml:space="preserve"> B1.001 – Daten, KI und Innovationspolitik“ besteht darin, den Bedarf der Unternehmenspolitik in den Bereichen Daten, KI und Innovation durch einschlägige digitale Dienste zu decken.</w:t>
          </w:r>
        </w:p>
        <w:p w14:paraId="1B892337" w14:textId="7A16859C" w:rsidR="00A270F0" w:rsidRPr="00A270F0" w:rsidRDefault="00A270F0" w:rsidP="00A270F0">
          <w:pPr>
            <w:rPr>
              <w:lang w:eastAsia="en-GB"/>
            </w:rPr>
          </w:pPr>
          <w:r w:rsidRPr="00A270F0">
            <w:rPr>
              <w:lang w:eastAsia="en-GB"/>
            </w:rPr>
            <w:t xml:space="preserve">Die Tätigkeiten des Sektors in den Bereichen Daten, künstliche Intelligenz und Innovationspolitik tragen zur Verwirklichung der institutionellen digitalen Prioritäten der Digitalstrategie der Europäischen Kommission (ECDS), zur Verwirklichung der institutionellen Ziele in den Bereichen Daten, künstliche Intelligenz und digitale Innovation und zur Verwirklichung der spezifischen Ziele </w:t>
          </w:r>
          <w:r>
            <w:rPr>
              <w:lang w:eastAsia="en-GB"/>
            </w:rPr>
            <w:t>des Strategieplans der Generaldirektion Digitale Dienste (DIGIT)</w:t>
          </w:r>
          <w:r w:rsidRPr="00A270F0">
            <w:rPr>
              <w:lang w:eastAsia="en-GB"/>
            </w:rPr>
            <w:t xml:space="preserve"> bei.</w:t>
          </w:r>
        </w:p>
        <w:p w14:paraId="7718B32B" w14:textId="55D12ED3" w:rsidR="00A270F0" w:rsidRPr="00A270F0" w:rsidRDefault="00A270F0" w:rsidP="00A270F0">
          <w:pPr>
            <w:rPr>
              <w:lang w:eastAsia="en-GB"/>
            </w:rPr>
          </w:pPr>
          <w:r w:rsidRPr="00A270F0">
            <w:rPr>
              <w:lang w:eastAsia="en-GB"/>
            </w:rPr>
            <w:t>Das Dienstleistungsangebot von D</w:t>
          </w:r>
          <w:r>
            <w:rPr>
              <w:lang w:eastAsia="en-GB"/>
            </w:rPr>
            <w:t>IGIT</w:t>
          </w:r>
          <w:r w:rsidRPr="00A270F0">
            <w:rPr>
              <w:lang w:eastAsia="en-GB"/>
            </w:rPr>
            <w:t xml:space="preserve"> B1.001 umfasst:</w:t>
          </w:r>
        </w:p>
        <w:p w14:paraId="099E6FB0" w14:textId="77777777" w:rsidR="00A270F0" w:rsidRPr="00A270F0" w:rsidRDefault="00A270F0" w:rsidP="00A270F0">
          <w:pPr>
            <w:rPr>
              <w:lang w:eastAsia="en-GB"/>
            </w:rPr>
          </w:pPr>
          <w:r w:rsidRPr="00A270F0">
            <w:rPr>
              <w:lang w:eastAsia="en-GB"/>
            </w:rPr>
            <w:t>•</w:t>
          </w:r>
          <w:r w:rsidRPr="00A270F0">
            <w:rPr>
              <w:lang w:eastAsia="en-GB"/>
            </w:rPr>
            <w:tab/>
            <w:t>Daten-Governance-, Risiko- und Compliance-Dienste (Data GRC)</w:t>
          </w:r>
        </w:p>
        <w:p w14:paraId="1E2F582E" w14:textId="77777777" w:rsidR="00A270F0" w:rsidRPr="00A270F0" w:rsidRDefault="00A270F0" w:rsidP="00A270F0">
          <w:pPr>
            <w:rPr>
              <w:lang w:eastAsia="en-GB"/>
            </w:rPr>
          </w:pPr>
          <w:r w:rsidRPr="00A270F0">
            <w:rPr>
              <w:lang w:eastAsia="en-GB"/>
            </w:rPr>
            <w:t>•</w:t>
          </w:r>
          <w:r w:rsidRPr="00A270F0">
            <w:rPr>
              <w:lang w:eastAsia="en-GB"/>
            </w:rPr>
            <w:tab/>
            <w:t>KI-Governance-, Risiko- und Compliance-Dienste;</w:t>
          </w:r>
        </w:p>
        <w:p w14:paraId="19569AC1" w14:textId="77777777" w:rsidR="00A270F0" w:rsidRPr="00A270F0" w:rsidRDefault="00A270F0" w:rsidP="00A270F0">
          <w:pPr>
            <w:rPr>
              <w:lang w:eastAsia="en-GB"/>
            </w:rPr>
          </w:pPr>
          <w:r w:rsidRPr="00A270F0">
            <w:rPr>
              <w:lang w:eastAsia="en-GB"/>
            </w:rPr>
            <w:t>•</w:t>
          </w:r>
          <w:r w:rsidRPr="00A270F0">
            <w:rPr>
              <w:lang w:eastAsia="en-GB"/>
            </w:rPr>
            <w:tab/>
            <w:t>Dienstleistungen zur Unterstützung digitaler Innovationen; und</w:t>
          </w:r>
        </w:p>
        <w:p w14:paraId="2A7BA0E0" w14:textId="218B7896" w:rsidR="00A270F0" w:rsidRPr="00A270F0" w:rsidRDefault="00A270F0" w:rsidP="00A270F0">
          <w:pPr>
            <w:rPr>
              <w:lang w:eastAsia="en-GB"/>
            </w:rPr>
          </w:pPr>
          <w:r w:rsidRPr="00A270F0">
            <w:rPr>
              <w:lang w:eastAsia="en-GB"/>
            </w:rPr>
            <w:t>•</w:t>
          </w:r>
          <w:r w:rsidRPr="00A270F0">
            <w:rPr>
              <w:lang w:eastAsia="en-GB"/>
            </w:rPr>
            <w:tab/>
          </w:r>
          <w:r w:rsidR="00CA3999" w:rsidRPr="00CA3999">
            <w:rPr>
              <w:lang w:eastAsia="en-GB"/>
            </w:rPr>
            <w:t>KI-Regulierungs-Sandboxing-Dienste</w:t>
          </w:r>
          <w:r w:rsidRPr="00A270F0">
            <w:rPr>
              <w:lang w:eastAsia="en-GB"/>
            </w:rPr>
            <w:t>.</w:t>
          </w:r>
        </w:p>
        <w:p w14:paraId="76DD1EEA" w14:textId="63D78525" w:rsidR="00803007" w:rsidRPr="00CA3999" w:rsidRDefault="00A270F0" w:rsidP="00A270F0">
          <w:pPr>
            <w:rPr>
              <w:lang w:eastAsia="en-GB"/>
            </w:rPr>
          </w:pPr>
          <w:r w:rsidRPr="00A270F0">
            <w:rPr>
              <w:lang w:eastAsia="en-GB"/>
            </w:rPr>
            <w:t xml:space="preserve">Die Funktion „KI-Governance, -Risiken und Compliance“ ist Teil des Sektors „Daten, KI und Innovationspolitik“. Die Aufgabe der Funktion besteht darin, Unterstützungsdienste für Governance, Risiken, Compliance, Kommunikation und Sensibilisierung im Bereich der KI bereitzustellen. </w:t>
          </w:r>
          <w:r w:rsidRPr="00CA3999">
            <w:rPr>
              <w:lang w:eastAsia="en-GB"/>
            </w:rPr>
            <w:t>Die Cybersicherheitsaspekte der KI sind ein wichtiger Funktionsbereich.</w:t>
          </w:r>
        </w:p>
      </w:sdtContent>
    </w:sdt>
    <w:p w14:paraId="3862387A" w14:textId="77777777" w:rsidR="00803007" w:rsidRPr="00CA3999" w:rsidRDefault="00803007" w:rsidP="00803007">
      <w:pPr>
        <w:pStyle w:val="ListNumber"/>
        <w:numPr>
          <w:ilvl w:val="0"/>
          <w:numId w:val="0"/>
        </w:numPr>
        <w:ind w:left="709" w:hanging="709"/>
        <w:rPr>
          <w:b/>
          <w:bCs/>
          <w:lang w:eastAsia="en-GB"/>
        </w:rPr>
      </w:pPr>
    </w:p>
    <w:p w14:paraId="30A2040E" w14:textId="77777777" w:rsidR="007F674A" w:rsidRDefault="007F674A" w:rsidP="00CA3999">
      <w:pPr>
        <w:rPr>
          <w:b/>
          <w:bCs/>
          <w:lang w:eastAsia="en-GB"/>
        </w:rPr>
      </w:pPr>
      <w:r w:rsidRPr="007F674A">
        <w:rPr>
          <w:b/>
          <w:bCs/>
          <w:lang w:eastAsia="en-GB"/>
        </w:rPr>
        <w:t>Vorstellung der Arbeitsstelle (Was wir anbieten)</w:t>
      </w:r>
    </w:p>
    <w:p w14:paraId="12B9C59B" w14:textId="4A761F77" w:rsidR="00803007" w:rsidRPr="00CA3999" w:rsidRDefault="007A1D17" w:rsidP="00CA3999">
      <w:pPr>
        <w:rPr>
          <w:lang w:eastAsia="en-GB"/>
        </w:rPr>
      </w:pPr>
      <w:sdt>
        <w:sdtPr>
          <w:rPr>
            <w:lang w:val="en-US" w:eastAsia="en-GB"/>
          </w:rPr>
          <w:id w:val="-723136291"/>
          <w:placeholder>
            <w:docPart w:val="2D9A90DC0280475D996998F2F9FD95D5"/>
          </w:placeholder>
        </w:sdtPr>
        <w:sdtEndPr/>
        <w:sdtContent>
          <w:r w:rsidR="00CA3999" w:rsidRPr="00CA3999">
            <w:rPr>
              <w:lang w:eastAsia="en-GB"/>
            </w:rPr>
            <w:t>Der für KI-Cybersicherheit zuständige Referent der Funktion „KI-Governance, -Risiken und -Einhaltung“ befasst sich in enger Zusammenarbeit mit der Direktion „Cybersicherheit – DIGIT S“ mit den Cybersicherheitsaspekten der kommissionsweiten KI-Politik. Hauptziel der Stelle ist es, den Umfang der strategischen KI-Dienste im Bereich der Cybersicherheit festzulegen und sie auf Unternehmensebene zu entwickeln und bereitzustellen. Der Stelleninhaber formuliert die technische Vision, sorgt für eine starke Führung, koordiniert und trägt zu den Tätigkeiten des Gebiets bei; Entwicklung des Geschäftsszenarios und des Modells für die Erbringung der Dienstleistungen des Gebiets, erforderlichenfalls in Zusammenarbeit mit externen Auftragnehmern; Bewertung, Einführung und Pflege von Instrumenten und Lösungen, die für die Erbringung der Dienste erforderlich sind; Kommunikation mit Unternehmensinhabern und technischen Interessenträgern; schlägt Verbesserungen der operativen Prozesse vor; legt die entsprechenden Leistungsindikatoren fest; sowie Berichte über die Effizienz und den Reifegrad der Prozesse in dem Gebiet.</w:t>
          </w:r>
        </w:sdtContent>
      </w:sdt>
    </w:p>
    <w:p w14:paraId="221E4883" w14:textId="77777777" w:rsidR="00803007" w:rsidRDefault="00803007" w:rsidP="00803007">
      <w:pPr>
        <w:pStyle w:val="ListNumber"/>
        <w:numPr>
          <w:ilvl w:val="0"/>
          <w:numId w:val="0"/>
        </w:numPr>
        <w:ind w:left="709" w:hanging="709"/>
        <w:rPr>
          <w:b/>
          <w:bCs/>
          <w:lang w:eastAsia="en-GB"/>
        </w:rPr>
      </w:pPr>
    </w:p>
    <w:p w14:paraId="064A3D3C" w14:textId="5F660E68" w:rsidR="00125828" w:rsidRDefault="00125828">
      <w:pPr>
        <w:spacing w:after="0"/>
        <w:jc w:val="left"/>
        <w:rPr>
          <w:b/>
          <w:bCs/>
          <w:lang w:eastAsia="en-GB"/>
        </w:rPr>
      </w:pPr>
      <w:r>
        <w:rPr>
          <w:b/>
          <w:bCs/>
          <w:lang w:eastAsia="en-GB"/>
        </w:rPr>
        <w:br w:type="page"/>
      </w:r>
    </w:p>
    <w:p w14:paraId="15E3717A" w14:textId="77777777" w:rsidR="007F674A" w:rsidRDefault="007F674A" w:rsidP="00CA3999">
      <w:pPr>
        <w:rPr>
          <w:b/>
          <w:bCs/>
          <w:lang w:eastAsia="en-GB"/>
        </w:rPr>
      </w:pPr>
      <w:r w:rsidRPr="007F674A">
        <w:rPr>
          <w:b/>
          <w:bCs/>
          <w:lang w:eastAsia="en-GB"/>
        </w:rPr>
        <w:lastRenderedPageBreak/>
        <w:t>Stellenprofil (Was wir suchen)</w:t>
      </w:r>
    </w:p>
    <w:sdt>
      <w:sdtPr>
        <w:rPr>
          <w:lang w:val="en-US" w:eastAsia="en-GB"/>
        </w:rPr>
        <w:id w:val="-1767066427"/>
        <w:placeholder>
          <w:docPart w:val="B30E44B90B7F435497E9EE7D5097ED0B"/>
        </w:placeholder>
      </w:sdtPr>
      <w:sdtEndPr/>
      <w:sdtContent>
        <w:p w14:paraId="4EEA17DD" w14:textId="7DEA058A" w:rsidR="00CA3999" w:rsidRPr="00CA3999" w:rsidRDefault="00CA3999" w:rsidP="00CA3999">
          <w:pPr>
            <w:rPr>
              <w:lang w:eastAsia="en-GB"/>
            </w:rPr>
          </w:pPr>
          <w:r w:rsidRPr="00CA3999">
            <w:rPr>
              <w:lang w:eastAsia="en-GB"/>
            </w:rPr>
            <w:t xml:space="preserve">Referent für KI-Cybersicherheit </w:t>
          </w:r>
        </w:p>
        <w:p w14:paraId="05A24A83" w14:textId="77777777" w:rsidR="00CA3999" w:rsidRPr="00CA3999" w:rsidRDefault="00CA3999" w:rsidP="00CA3999">
          <w:pPr>
            <w:rPr>
              <w:lang w:eastAsia="en-GB"/>
            </w:rPr>
          </w:pPr>
          <w:r w:rsidRPr="00CA3999">
            <w:rPr>
              <w:lang w:eastAsia="en-GB"/>
            </w:rPr>
            <w:t>Unter der Aufsicht des Bereichsleiters „Daten-, KI- und Innovationspolitik“ wird der abgeordnete nationale Sachverständige für die Wahrnehmung von Aufgaben zur Unterstützung der Stelle zuständig sein, die Cybersicherheit und technische Aspekte des KI-Gesetzes umsetzt, insbesondere in Bezug auf KI-Allzweckmodelle und -Systeme, wie nachstehend beschrieben. Das Profil des Referenten für KI-Cybersicherheit kann sich auf Forschungswissenschaftler, Cybersicherheits- und Computerwissenschaftler sowie Softwareingenieure beziehen.</w:t>
          </w:r>
        </w:p>
        <w:p w14:paraId="3E11332B" w14:textId="77777777" w:rsidR="00CA3999" w:rsidRPr="00CA3999" w:rsidRDefault="00CA3999" w:rsidP="00CA3999">
          <w:pPr>
            <w:rPr>
              <w:lang w:eastAsia="en-GB"/>
            </w:rPr>
          </w:pPr>
          <w:r w:rsidRPr="00CA3999">
            <w:rPr>
              <w:lang w:eastAsia="en-GB"/>
            </w:rPr>
            <w:t xml:space="preserve">Der erfolgreiche Bewerber sollte über einen technologischen Hintergrund im Bereich KI verfügen, der durch Erfahrungen in den Bereichen Cybersicherheit und Computerwissenschaft ergänzt wird. Im Bereich KI-Technologien wie maschinelles Lernen, Deep Learning, Rahmenbedingungen einschließlich Ethik und Privatsphäre sowie Cybersicherheit ist nachgewiesene technische Erfahrung erforderlich.  Darüber hinaus wären Erfahrungen in den Bereichen Risikomanagement, Projektmanagement, Ausarbeitung von IT-Sicherheits-/KI-Leitlinien, Umsetzung von Rechtsvorschriften/Standards, Verträgen und Kommunikation von großem Vorteil. </w:t>
          </w:r>
        </w:p>
        <w:p w14:paraId="34E4DF93" w14:textId="77777777" w:rsidR="00CA3999" w:rsidRPr="00CA3999" w:rsidRDefault="00CA3999" w:rsidP="00CA3999">
          <w:pPr>
            <w:rPr>
              <w:lang w:eastAsia="en-GB"/>
            </w:rPr>
          </w:pPr>
          <w:r w:rsidRPr="00CA3999">
            <w:rPr>
              <w:lang w:eastAsia="en-GB"/>
            </w:rPr>
            <w:t>Die Aufgaben können unter anderem Folgendes umfassen:</w:t>
          </w:r>
        </w:p>
        <w:p w14:paraId="4B61D3E8" w14:textId="77777777" w:rsidR="00CA3999" w:rsidRPr="00CA3999" w:rsidRDefault="00CA3999" w:rsidP="00CA3999">
          <w:pPr>
            <w:rPr>
              <w:lang w:eastAsia="en-GB"/>
            </w:rPr>
          </w:pPr>
          <w:r w:rsidRPr="00CA3999">
            <w:rPr>
              <w:lang w:eastAsia="en-GB"/>
            </w:rPr>
            <w:t>•</w:t>
          </w:r>
          <w:r w:rsidRPr="00CA3999">
            <w:rPr>
              <w:lang w:eastAsia="en-GB"/>
            </w:rPr>
            <w:tab/>
            <w:t>Beitrag zur Umsetzung des KI-Gesetzes, indem evidenzbasierte Ansätze, Leitlinien und Analyserahmen für die Cybersicherheit und damit zusammenhängende Aspekte festgelegt werden.</w:t>
          </w:r>
        </w:p>
        <w:p w14:paraId="030B4C64" w14:textId="77777777" w:rsidR="00CA3999" w:rsidRPr="00CA3999" w:rsidRDefault="00CA3999" w:rsidP="00CA3999">
          <w:pPr>
            <w:rPr>
              <w:lang w:eastAsia="en-GB"/>
            </w:rPr>
          </w:pPr>
          <w:r w:rsidRPr="00CA3999">
            <w:rPr>
              <w:lang w:eastAsia="en-GB"/>
            </w:rPr>
            <w:t>•</w:t>
          </w:r>
          <w:r w:rsidRPr="00CA3999">
            <w:rPr>
              <w:lang w:eastAsia="en-GB"/>
            </w:rPr>
            <w:tab/>
            <w:t>Beitrag zur Entwicklung von Strategien und Verfahren, einschließlich der einschlägigen internen digitalen Arbeitsabläufe für die interne Durchsetzung des KI-Gesetzes.</w:t>
          </w:r>
        </w:p>
        <w:p w14:paraId="637E5B63" w14:textId="77777777" w:rsidR="00CA3999" w:rsidRPr="00CA3999" w:rsidRDefault="00CA3999" w:rsidP="00CA3999">
          <w:pPr>
            <w:rPr>
              <w:lang w:eastAsia="en-GB"/>
            </w:rPr>
          </w:pPr>
          <w:r w:rsidRPr="00CA3999">
            <w:rPr>
              <w:lang w:eastAsia="en-GB"/>
            </w:rPr>
            <w:t>•</w:t>
          </w:r>
          <w:r w:rsidRPr="00CA3999">
            <w:rPr>
              <w:lang w:eastAsia="en-GB"/>
            </w:rPr>
            <w:tab/>
            <w:t>Zusammenarbeit mit einschlägigen Interessenträgern, um Herausforderungen anzugehen und zu kommunizieren.</w:t>
          </w:r>
        </w:p>
        <w:p w14:paraId="0184D49D" w14:textId="77777777" w:rsidR="00CA3999" w:rsidRPr="00CA3999" w:rsidRDefault="00CA3999" w:rsidP="00CA3999">
          <w:pPr>
            <w:rPr>
              <w:lang w:eastAsia="en-GB"/>
            </w:rPr>
          </w:pPr>
          <w:r w:rsidRPr="00CA3999">
            <w:rPr>
              <w:lang w:eastAsia="en-GB"/>
            </w:rPr>
            <w:t>•</w:t>
          </w:r>
          <w:r w:rsidRPr="00CA3999">
            <w:rPr>
              <w:lang w:eastAsia="en-GB"/>
            </w:rPr>
            <w:tab/>
            <w:t xml:space="preserve">Verfolgung der internen digitalen Dienste, Marktprodukte und Technologietrends zur Unterstützung der KI-Politikdienste. </w:t>
          </w:r>
        </w:p>
        <w:p w14:paraId="5FDD47E0" w14:textId="77777777" w:rsidR="00CA3999" w:rsidRPr="00CA3999" w:rsidRDefault="00CA3999" w:rsidP="00CA3999">
          <w:pPr>
            <w:rPr>
              <w:lang w:eastAsia="en-GB"/>
            </w:rPr>
          </w:pPr>
          <w:r w:rsidRPr="00CA3999">
            <w:rPr>
              <w:lang w:eastAsia="en-GB"/>
            </w:rPr>
            <w:t>•</w:t>
          </w:r>
          <w:r w:rsidRPr="00CA3999">
            <w:rPr>
              <w:lang w:eastAsia="en-GB"/>
            </w:rPr>
            <w:tab/>
            <w:t xml:space="preserve">Durchführung von Überwachungs- und Kontrolltätigkeiten. Unterstützung der Bewertung der Cybersicherheit und anderer Elemente interner IT-Projekte, bei denen KI-Elemente verwendet werden. </w:t>
          </w:r>
        </w:p>
        <w:p w14:paraId="2A0F153A" w14:textId="471B4919" w:rsidR="009321C6" w:rsidRPr="009F216F" w:rsidRDefault="00CA3999" w:rsidP="00CA3999">
          <w:pPr>
            <w:rPr>
              <w:lang w:eastAsia="en-GB"/>
            </w:rPr>
          </w:pPr>
          <w:r w:rsidRPr="00CA3999">
            <w:rPr>
              <w:lang w:eastAsia="en-GB"/>
            </w:rPr>
            <w:t>•</w:t>
          </w:r>
          <w:r w:rsidRPr="00CA3999">
            <w:rPr>
              <w:lang w:eastAsia="en-GB"/>
            </w:rPr>
            <w:tab/>
            <w:t>Ausarbeitung und Überprüfung technischer Anhänge für Vergabeverfahren.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4F1A"/>
    <w:rsid w:val="001203F8"/>
    <w:rsid w:val="00125828"/>
    <w:rsid w:val="00222CD5"/>
    <w:rsid w:val="002C5752"/>
    <w:rsid w:val="002F7504"/>
    <w:rsid w:val="00324D8D"/>
    <w:rsid w:val="0035094A"/>
    <w:rsid w:val="003874E2"/>
    <w:rsid w:val="0039387D"/>
    <w:rsid w:val="00394A86"/>
    <w:rsid w:val="003B2E38"/>
    <w:rsid w:val="004D6344"/>
    <w:rsid w:val="004D75AF"/>
    <w:rsid w:val="00546DB1"/>
    <w:rsid w:val="005F2888"/>
    <w:rsid w:val="006243BB"/>
    <w:rsid w:val="00676119"/>
    <w:rsid w:val="006F44C9"/>
    <w:rsid w:val="00767E7E"/>
    <w:rsid w:val="007716E4"/>
    <w:rsid w:val="00785A3F"/>
    <w:rsid w:val="00795C41"/>
    <w:rsid w:val="007A1D17"/>
    <w:rsid w:val="007A795D"/>
    <w:rsid w:val="007A7CF4"/>
    <w:rsid w:val="007B514A"/>
    <w:rsid w:val="007C07D8"/>
    <w:rsid w:val="007D0EC6"/>
    <w:rsid w:val="007F674A"/>
    <w:rsid w:val="00803007"/>
    <w:rsid w:val="008102E0"/>
    <w:rsid w:val="0089735C"/>
    <w:rsid w:val="008D52CF"/>
    <w:rsid w:val="009321C6"/>
    <w:rsid w:val="0093791C"/>
    <w:rsid w:val="009442BE"/>
    <w:rsid w:val="009F216F"/>
    <w:rsid w:val="00A270F0"/>
    <w:rsid w:val="00AB56F9"/>
    <w:rsid w:val="00AC5FF8"/>
    <w:rsid w:val="00AE6941"/>
    <w:rsid w:val="00B1508D"/>
    <w:rsid w:val="00B73B91"/>
    <w:rsid w:val="00BF6139"/>
    <w:rsid w:val="00C07259"/>
    <w:rsid w:val="00C27C81"/>
    <w:rsid w:val="00CA3999"/>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9998F76B226B408389BD24B25049DA" ma:contentTypeVersion="6" ma:contentTypeDescription="Create a new document." ma:contentTypeScope="" ma:versionID="398574ba5d51fb78833149ce3d9df3a7">
  <xsd:schema xmlns:xsd="http://www.w3.org/2001/XMLSchema" xmlns:xs="http://www.w3.org/2001/XMLSchema" xmlns:p="http://schemas.microsoft.com/office/2006/metadata/properties" xmlns:ns2="0404e7c2-8d3a-4ada-a8b4-f0c307b12f88" xmlns:ns3="3d773fd8-5df6-4e26-b464-76be9c5c7a6f" targetNamespace="http://schemas.microsoft.com/office/2006/metadata/properties" ma:root="true" ma:fieldsID="ab7461111ce9ea2e660c0a6839e4beb3" ns2:_="" ns3:_="">
    <xsd:import namespace="0404e7c2-8d3a-4ada-a8b4-f0c307b12f88"/>
    <xsd:import namespace="3d773fd8-5df6-4e26-b464-76be9c5c7a6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4e7c2-8d3a-4ada-a8b4-f0c307b1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773fd8-5df6-4e26-b464-76be9c5c7a6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64AC718-AF23-442A-92F5-08EA22515F3E}">
  <ds:schemaRefs>
    <ds:schemaRef ds:uri="http://www.w3.org/XML/1998/namespace"/>
    <ds:schemaRef ds:uri="0404e7c2-8d3a-4ada-a8b4-f0c307b12f88"/>
    <ds:schemaRef ds:uri="3d773fd8-5df6-4e26-b464-76be9c5c7a6f"/>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2F25CAE5-DF1A-45CD-87A6-BC7A877F4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4e7c2-8d3a-4ada-a8b4-f0c307b12f88"/>
    <ds:schemaRef ds:uri="3d773fd8-5df6-4e26-b464-76be9c5c7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5</Pages>
  <Words>1430</Words>
  <Characters>8156</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SARIGIANNIDIS Spyros (DIGIT)</cp:lastModifiedBy>
  <cp:revision>4</cp:revision>
  <dcterms:created xsi:type="dcterms:W3CDTF">2024-06-06T15:28:00Z</dcterms:created>
  <dcterms:modified xsi:type="dcterms:W3CDTF">2024-06-07T09:27:00Z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0x0101009B9998F76B226B408389BD24B25049DA</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