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4473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4473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4473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4473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4473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4473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84473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0D773E0" w:rsidR="00546DB1" w:rsidRPr="00844730" w:rsidRDefault="00844730" w:rsidP="00C76787">
                <w:pPr>
                  <w:tabs>
                    <w:tab w:val="left" w:pos="426"/>
                  </w:tabs>
                  <w:spacing w:before="120"/>
                  <w:rPr>
                    <w:bCs/>
                    <w:lang w:val="en-IE" w:eastAsia="en-GB"/>
                  </w:rPr>
                </w:pPr>
                <w:sdt>
                  <w:sdtPr>
                    <w:rPr>
                      <w:bCs/>
                      <w:lang w:val="en-IE" w:eastAsia="en-GB"/>
                    </w:rPr>
                    <w:id w:val="-1729989648"/>
                    <w:placeholder>
                      <w:docPart w:val="5CBBBC3C34414607910B60A84E33CB31"/>
                    </w:placeholder>
                  </w:sdtPr>
                  <w:sdtEndPr/>
                  <w:sdtContent>
                    <w:r w:rsidR="00A40239">
                      <w:rPr>
                        <w:bCs/>
                        <w:lang w:val="en-IE" w:eastAsia="en-GB"/>
                      </w:rPr>
                      <w:t xml:space="preserve">DG BUDGET - </w:t>
                    </w:r>
                    <w:r w:rsidR="00A40239" w:rsidRPr="00A2767F">
                      <w:rPr>
                        <w:bCs/>
                        <w:lang w:val="en-IE" w:eastAsia="en-GB"/>
                      </w:rPr>
                      <w:t xml:space="preserve">Directorate E Asset, </w:t>
                    </w:r>
                    <w:proofErr w:type="gramStart"/>
                    <w:r w:rsidR="00A40239" w:rsidRPr="00A2767F">
                      <w:rPr>
                        <w:bCs/>
                        <w:lang w:val="en-IE" w:eastAsia="en-GB"/>
                      </w:rPr>
                      <w:t>debt</w:t>
                    </w:r>
                    <w:proofErr w:type="gramEnd"/>
                    <w:r w:rsidR="00A40239" w:rsidRPr="00A2767F">
                      <w:rPr>
                        <w:bCs/>
                        <w:lang w:val="en-IE" w:eastAsia="en-GB"/>
                      </w:rPr>
                      <w:t xml:space="preserve"> and financial risk management</w:t>
                    </w:r>
                    <w:r w:rsidR="00A40239">
                      <w:rPr>
                        <w:bCs/>
                        <w:lang w:val="en-IE" w:eastAsia="en-GB"/>
                      </w:rPr>
                      <w:t xml:space="preserve"> - </w:t>
                    </w:r>
                    <w:r w:rsidR="00A40239" w:rsidRPr="00A2767F">
                      <w:rPr>
                        <w:bCs/>
                        <w:lang w:val="en-IE" w:eastAsia="en-GB"/>
                      </w:rPr>
                      <w:t>Unit E2 Accounting &amp; Reporting Back-office</w:t>
                    </w:r>
                  </w:sdtContent>
                </w:sdt>
              </w:p>
            </w:tc>
          </w:sdtContent>
        </w:sdt>
      </w:tr>
      <w:tr w:rsidR="00546DB1" w:rsidRPr="00C76787"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989086969"/>
                <w:placeholder>
                  <w:docPart w:val="1ED1A1DCC1324715B5768A60A654B793"/>
                </w:placeholder>
              </w:sdtPr>
              <w:sdtEndPr>
                <w:rPr>
                  <w:lang w:val="en-IE"/>
                </w:rPr>
              </w:sdtEndPr>
              <w:sdtContent>
                <w:tc>
                  <w:tcPr>
                    <w:tcW w:w="5491" w:type="dxa"/>
                  </w:tcPr>
                  <w:p w14:paraId="32FCC887" w14:textId="0136B83C" w:rsidR="00546DB1" w:rsidRPr="003B2E38" w:rsidRDefault="00C76787" w:rsidP="00AB56F9">
                    <w:pPr>
                      <w:tabs>
                        <w:tab w:val="left" w:pos="426"/>
                      </w:tabs>
                      <w:spacing w:before="120"/>
                      <w:rPr>
                        <w:bCs/>
                        <w:lang w:val="en-IE" w:eastAsia="en-GB"/>
                      </w:rPr>
                    </w:pPr>
                    <w:r w:rsidRPr="00A2767F">
                      <w:rPr>
                        <w:bCs/>
                        <w:lang w:val="en-IE" w:eastAsia="en-GB"/>
                      </w:rPr>
                      <w:t>352496</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97203156"/>
                  <w:placeholder>
                    <w:docPart w:val="9E007069D5C242358C01525DE398D186"/>
                  </w:placeholder>
                </w:sdtPr>
                <w:sdtEndPr/>
                <w:sdtContent>
                  <w:p w14:paraId="65EBCF52" w14:textId="4972309A" w:rsidR="00546DB1" w:rsidRPr="00844730" w:rsidRDefault="00C76787" w:rsidP="00AB56F9">
                    <w:pPr>
                      <w:tabs>
                        <w:tab w:val="left" w:pos="426"/>
                      </w:tabs>
                      <w:spacing w:before="120"/>
                      <w:rPr>
                        <w:bCs/>
                        <w:lang w:eastAsia="en-GB"/>
                      </w:rPr>
                    </w:pPr>
                    <w:r w:rsidRPr="00844730">
                      <w:rPr>
                        <w:bCs/>
                        <w:lang w:eastAsia="en-GB"/>
                      </w:rPr>
                      <w:t>Martin Koehler</w:t>
                    </w:r>
                  </w:p>
                </w:sdtContent>
              </w:sdt>
            </w:sdtContent>
          </w:sdt>
          <w:p w14:paraId="227D6F6E" w14:textId="13F0E008" w:rsidR="00546DB1" w:rsidRPr="009F216F" w:rsidRDefault="0084473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76787">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B2E38" w:rsidRPr="009321C6">
                      <w:rPr>
                        <w:bCs/>
                        <w:lang w:eastAsia="en-GB"/>
                      </w:rPr>
                      <w:t>2023</w:t>
                    </w:r>
                  </w:sdtContent>
                </w:sdt>
              </w:sdtContent>
            </w:sdt>
          </w:p>
          <w:p w14:paraId="4128A55A" w14:textId="1B13CCAA" w:rsidR="00546DB1" w:rsidRPr="00546DB1" w:rsidRDefault="0084473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7678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C76787">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B9B868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E82BF6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4473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4473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4473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857B42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430A16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201138780"/>
            <w:placeholder>
              <w:docPart w:val="CA1E1D8A96AE49C99E531D5C7A95AB2F"/>
            </w:placeholder>
          </w:sdtPr>
          <w:sdtEndPr/>
          <w:sdtContent>
            <w:p w14:paraId="421C9039" w14:textId="6C96CE02" w:rsidR="00265D72" w:rsidRDefault="00265D72" w:rsidP="00265D72">
              <w:r>
                <w:t xml:space="preserve">Das in Luxemburg ansässige Referat E2 fungiert als Backoffice für die Emission von Schuldtiteln und die Ausleihung von Erlösen für Finanzhilfeprogramme der Union wie </w:t>
              </w:r>
              <w:proofErr w:type="spellStart"/>
              <w:r>
                <w:t>NextGenerationEU</w:t>
              </w:r>
              <w:proofErr w:type="spellEnd"/>
              <w:r>
                <w:t>, Makrofinanzhilfe usw. sowie für die Vermögensverwaltungstätigkeiten der Kommission. Dazu gehören die operativen Backoffice-Aufgaben im Zusammenhang mit der Abwicklung</w:t>
              </w:r>
              <w:r w:rsidR="0030152F">
                <w:t xml:space="preserve"> von Wertpapieren</w:t>
              </w:r>
              <w:r>
                <w:t>, der Abwicklung von Zahlungen</w:t>
              </w:r>
              <w:r w:rsidR="0030152F">
                <w:t>, Reconciliation und Erfüllung von Reporting Aufgaben</w:t>
              </w:r>
              <w:r>
                <w:t xml:space="preserve">: </w:t>
              </w:r>
            </w:p>
            <w:p w14:paraId="5CD5B37F" w14:textId="706A0375" w:rsidR="00265D72" w:rsidRDefault="00265D72" w:rsidP="00265D72">
              <w:r>
                <w:t xml:space="preserve">— operative Abwicklung der Emission von Schuldtiteln und </w:t>
              </w:r>
              <w:r w:rsidR="0030152F">
                <w:t>Unterstützung bei</w:t>
              </w:r>
              <w:r>
                <w:t xml:space="preserve"> Anleihe- und Darlehenstätigkeiten, die von der Direktion E im Namen der Kommission für </w:t>
              </w:r>
              <w:proofErr w:type="spellStart"/>
              <w:r>
                <w:t>NextGenerationEU</w:t>
              </w:r>
              <w:proofErr w:type="spellEnd"/>
              <w:r>
                <w:t xml:space="preserve"> (NGEU), das SURE-Programm, den Europäischen Finanzstabilisierungsmechanismus (EFSM), die Zahlungsbilanzfazilität (BOP), die Makrofinanzhilfefazilität (MFA) und die Euratom-Darlehensfazilität verwaltet werden;</w:t>
              </w:r>
            </w:p>
            <w:p w14:paraId="0D53F258" w14:textId="77777777" w:rsidR="00265D72" w:rsidRDefault="00265D72" w:rsidP="00265D72">
              <w:r>
                <w:t>— Auszahlung von Darlehen an Mitgliedstaaten und Nichtmitgliedstaaten im Rahmen der oben genannten Programme;</w:t>
              </w:r>
            </w:p>
            <w:p w14:paraId="6884E053" w14:textId="77777777" w:rsidR="00265D72" w:rsidRDefault="00265D72" w:rsidP="00265D72">
              <w:r>
                <w:t xml:space="preserve">— Verwaltung von Bankguthaben und Ausführung von Zahlungs- und Abwicklungsanweisungen im Zusammenhang mit der Vermögensverwaltungstätigkeit der Kommission. </w:t>
              </w:r>
            </w:p>
            <w:p w14:paraId="4C9EBF7F" w14:textId="77777777" w:rsidR="00265D72" w:rsidRDefault="00265D72" w:rsidP="00265D72">
              <w:r>
                <w:t>— regelmäßige Kontakte und Folgemaßnahmen zur Abwicklung mit der Europäischen Zentralbank, den nationalen Zentralbanken und anderen Finanzinstituten (z. B. Zentralverwahrer, Börsen usw.);</w:t>
              </w:r>
            </w:p>
            <w:p w14:paraId="76DD1EEA" w14:textId="6F3BBD29" w:rsidR="00803007" w:rsidRPr="00265D72" w:rsidRDefault="00265D72" w:rsidP="00803007">
              <w:pPr>
                <w:rPr>
                  <w:lang w:eastAsia="en-GB"/>
                </w:rPr>
              </w:pPr>
              <w:r>
                <w:t>Da wir ein breites Spektrum an Verantwortlichkeiten haben, werden motivierte Personen in der Lage sein, neue und spannende Aufgaben zu übernehmen und viel über die unterschiedlichen Finanzaktivitäten der Union zu erfahren. Das Referat E2 ist das einzige Referat in der Kommission, das kapitalmarktbezogene Zahlungen und Produkte ausführt und die Front-Office-Tätigkeiten für die Vermögensverwaltung und die Finanzierungstätigkeiten der Union aus erster Hand unterstützt.</w:t>
              </w:r>
            </w:p>
          </w:sdtContent>
        </w:sdt>
      </w:sdtContent>
    </w:sdt>
    <w:p w14:paraId="3862387A" w14:textId="77777777" w:rsidR="00803007" w:rsidRPr="0084473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D8F1B68" w14:textId="77777777" w:rsidR="00265D72" w:rsidRDefault="00265D72" w:rsidP="00265D72">
          <w:r>
            <w:t>Die Position bietet nationalen Experten aus den Bereichen Geschäftsanalyse und IT die Möglichkeit, Teil eines anspruchsvollen, innovativen und hochkarätigen Teams zu werden, das im Mittelpunkt der Finanzierung des Aufbauplans der EU und anderer politischer Prioritäten durch Kapitalmarktoperationen steht.</w:t>
          </w:r>
        </w:p>
        <w:p w14:paraId="361B4344" w14:textId="77777777" w:rsidR="00265D72" w:rsidRDefault="00265D72" w:rsidP="00265D72">
          <w:r>
            <w:t xml:space="preserve">Zur Finanzierung des Aufbauplans für Europa und zur Unterstützung der wirtschaftlichen Erholung in der EU wird die Kommission beauftragt, das Schuldenmanagement im Zusammenhang mit </w:t>
          </w:r>
          <w:proofErr w:type="spellStart"/>
          <w:r>
            <w:t>NextGenerationEU</w:t>
          </w:r>
          <w:proofErr w:type="spellEnd"/>
          <w:r>
            <w:t xml:space="preserve"> (NGEU) umzusetzen. Diese politische Initiative sieht die Emission von Anleihen in Höhe von bis zu 800 Mrd. EUR bis 2026 mit einem jährlichen Emissionsvolumen von rund 100-150 Mrd. EUR in den kommenden Jahren vor. Die Einnahmen werden hauptsächlich zur Finanzierung einer Reihe von Politikbereichen der Union verwendet, während ein Teil den Mitgliedstaaten zur Finanzierung der nationalen Aufbaupläne zur Verfügung gestellt wird.</w:t>
          </w:r>
        </w:p>
        <w:p w14:paraId="4EF0636A" w14:textId="4F307648" w:rsidR="00265D72" w:rsidRDefault="00265D72" w:rsidP="00265D72">
          <w:r>
            <w:t xml:space="preserve">Die Kommission ist ferner beauftragt, Anleihen auszugeben, um die Unterstützung der EU für die Ukraine und andere Nachbarländer im Rahmen ihrer Makrofinanzhilfeprogramme zu finanzieren. </w:t>
          </w:r>
          <w:r w:rsidR="00363C75">
            <w:t xml:space="preserve">Seit </w:t>
          </w:r>
          <w:r>
            <w:t xml:space="preserve">2023 werden EU-Finanzierungen im Rahmen eines einheitlichen Finanzierungskonzepts mit entsprechenden internen </w:t>
          </w:r>
          <w:proofErr w:type="spellStart"/>
          <w:r>
            <w:t>Governance</w:t>
          </w:r>
          <w:proofErr w:type="spellEnd"/>
          <w:r>
            <w:t xml:space="preserve">- und </w:t>
          </w:r>
          <w:r>
            <w:lastRenderedPageBreak/>
            <w:t>Risikomanagementstrukturen durchgeführt. Dieser Finanzierungsansatz sieht die Ausgabe von Einzelmarken-EU-Anleihen mit Mitteln vor, die über verschiedene Finanzierungskanäle (</w:t>
          </w:r>
          <w:r w:rsidR="006662C9">
            <w:t xml:space="preserve">syndizierte </w:t>
          </w:r>
          <w:r>
            <w:t xml:space="preserve">Transaktionen, Auktionen) mobilisiert werden, sowie über das gesamte Laufzeitenspektrum (kurzfristige und langfristige Finanzierung) im Rahmen eines gebündelten Finanzierungsansatzes und des damit verbundenen Liquiditätsmanagements. Der Ansatz baut auf den Mechanismen auf, die 2021 für die Finanzierung des Programms </w:t>
          </w:r>
          <w:proofErr w:type="spellStart"/>
          <w:r>
            <w:t>NextGenerationEU</w:t>
          </w:r>
          <w:proofErr w:type="spellEnd"/>
          <w:r>
            <w:t xml:space="preserve"> eingerichtet wurden. Darüber hinaus wird die Kommission weiterhin Anleihen im Rahmen ihres speziellen Rahmens für grüne Anleihen ausgeben (die erste grüne Anleihe im Rahmen von NGEU wurde im Oktober 2021 begeben).</w:t>
          </w:r>
        </w:p>
        <w:p w14:paraId="7722BFEF" w14:textId="7476362D" w:rsidR="00265D72" w:rsidRDefault="00265D72" w:rsidP="00265D72">
          <w:r>
            <w:t xml:space="preserve">Die Kommission ist bestrebt, ihr Team durch einen qualifizierten Business-Analysten zu ergänzen, der über solide Kenntnisse in der Datenverwaltung und Koordinierung von IT-Projekten aus geschäftlicher Sicht verfügt. Der nationale Sachverständige wird eine entscheidende Rolle spielen, wenn es darum geht, die Zusammenarbeit zwischen </w:t>
          </w:r>
          <w:r w:rsidR="00363C75">
            <w:t xml:space="preserve">Fachbereichen </w:t>
          </w:r>
          <w:r>
            <w:t xml:space="preserve">und technischen Teams zu erleichtern und Optimierungsmöglichkeiten zu ermitteln, indem er Unterstützung für Systemverbesserungen und -modernisierungen leistet, um einen nahtlosen Betrieb und die Nutzerzufriedenheit zu gewährleisten. Zu den Zuständigkeiten gehören das Sammeln und Analysieren von Geschäftsanforderungen, ihre Umsetzung in realisierbare Erkenntnisse und die Förderung der Umsetzung und Integration von IT-Lösungen im Hinblick auf die Übereinstimmung mit den Geschäftszielen. Der erfolgreiche Bewerber/die erfolgreiche Bewerberin wird die Entwicklung und Pflege von Datenbanken unterstützen, die für die Verwaltung der Darlehens- und Anleihetransaktionen genutzt werden, zu deren Berichterstattungsfähigkeiten beitragen und die Datenqualität gewährleisten. Eine wirksame Kommunikation und Koordinierung zwischen den Teams sowie die Einhaltung von Regulierungsstandards und bewährten Verfahren sind dabei von entscheidender Bedeutung.  </w:t>
          </w:r>
        </w:p>
        <w:p w14:paraId="12B9C59B" w14:textId="0B8B1154" w:rsidR="00803007" w:rsidRPr="009F216F" w:rsidRDefault="00265D72" w:rsidP="00265D72">
          <w:pPr>
            <w:rPr>
              <w:lang w:eastAsia="en-GB"/>
            </w:rPr>
          </w:pPr>
          <w:r>
            <w:t>Der nationale Sachverständige wird in seinem jeweiligen Zuständigkeitsbereich wichtige Aufgaben wahrnehmen und sich für strategische und operative Leitlinien in Bezug auf die Abwicklungs- und Zahlungsinfrastruktur einsetzen. Der nationale Sachverständige wird bei der Erreichung der vereinbarten Ziele über eine erhebliche Autonomie und einen großen Handlungsspielraum verfügen, während er vollständig integriert ist und in die Organisations-/Verwaltungsstruktur der Direktion eingebunden ist. Über die technischen Aspekte hinaus wird der erfolgreiche Bewerber die Möglichkeit haben, mit verschiedenen Referaten innerhalb der Direktion und GD zusammenzuarbeiten, ein umfassendes Verständnis unserer Geschäftstätigkeit zu erlangen und funktionsübergreifend</w:t>
          </w:r>
          <w:r w:rsidR="00363C75">
            <w:t xml:space="preserve"> tätig zu werden</w:t>
          </w:r>
          <w:r>
            <w:t xml:space="preserve">. Darüber hinaus bietet diese Rolle eine Plattform für die Anwendung von Datenanalyse- und Interpretationskompetenzen, </w:t>
          </w:r>
          <w:r w:rsidR="006662C9">
            <w:t xml:space="preserve">die Übernahme von </w:t>
          </w:r>
          <w:proofErr w:type="spellStart"/>
          <w:r>
            <w:t>Projektleitung</w:t>
          </w:r>
          <w:r w:rsidR="00363C75">
            <w:t>saufgaben</w:t>
          </w:r>
          <w:r w:rsidR="006662C9">
            <w:t>und</w:t>
          </w:r>
          <w:proofErr w:type="spellEnd"/>
          <w:r>
            <w:t xml:space="preserve"> zu einer fundierten Entscheidungsfindung</w:t>
          </w:r>
          <w:r w:rsidR="00363C75">
            <w:t xml:space="preserve"> mit den Fachbereichen</w:t>
          </w:r>
          <w:r>
            <w:t xml:space="preserve"> </w:t>
          </w:r>
          <w:r w:rsidR="00363C75">
            <w:t xml:space="preserve">beizutragen </w:t>
          </w:r>
          <w:r>
            <w:t>und strategische Initiativen voran</w:t>
          </w:r>
          <w:r w:rsidR="00363C75">
            <w:t>zubringen</w:t>
          </w:r>
          <w: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DCA0A57C72944C05940F1431AD61D7DB"/>
            </w:placeholder>
          </w:sdtPr>
          <w:sdtEndPr/>
          <w:sdtContent>
            <w:p w14:paraId="457B48A5" w14:textId="26DBB065" w:rsidR="00265D72" w:rsidRDefault="00265D72" w:rsidP="00265D72">
              <w:r>
                <w:t xml:space="preserve">Wir suchen nach vielseitigen, dynamischen und aufgeschlossenen Fachleuten mit nachgewiesener praktischer Erfahrung als Business Analyst. Es sind </w:t>
              </w:r>
              <w:r w:rsidR="00363C75">
                <w:t xml:space="preserve">Kenntnisse </w:t>
              </w:r>
              <w:r>
                <w:t>in den</w:t>
              </w:r>
              <w:r w:rsidR="00363C75">
                <w:t xml:space="preserve"> Systemen</w:t>
              </w:r>
              <w:r>
                <w:t xml:space="preserve"> SAP</w:t>
              </w:r>
              <w:r w:rsidR="00363C75">
                <w:t xml:space="preserve"> FI, CML, TRM</w:t>
              </w:r>
              <w:r>
                <w:t xml:space="preserve">, Bloomberg- und SWIFT sowie ausgeprägte Analyse- und Problemlösungsfähigkeiten erforderlich. Kenntnisse über automatisierte Handelsplattformen und Zahlungs-/Abwicklungsströme in T2S wären von Vorteil. </w:t>
              </w:r>
              <w:r>
                <w:lastRenderedPageBreak/>
                <w:t xml:space="preserve">Ausgezeichnete Kommunikations- und zwischenmenschliche Fähigkeiten sind für eine wirksame Zusammenarbeit zwischen den Teams von entscheidender Bedeutung. Erfahrungen </w:t>
              </w:r>
              <w:r w:rsidR="00DC41A5">
                <w:t xml:space="preserve">in </w:t>
              </w:r>
              <w:r>
                <w:t>der Datenanalyse/</w:t>
              </w:r>
              <w:r w:rsidR="00F70DF4">
                <w:t xml:space="preserve">Reporting </w:t>
              </w:r>
              <w:r>
                <w:t xml:space="preserve">und Kenntnisse </w:t>
              </w:r>
              <w:r w:rsidR="00F70DF4">
                <w:t xml:space="preserve">von agilen Methoden </w:t>
              </w:r>
              <w:r>
                <w:t xml:space="preserve">sind äußerst wünschenswert. </w:t>
              </w:r>
            </w:p>
            <w:p w14:paraId="259ECB38" w14:textId="77777777" w:rsidR="00265D72" w:rsidRDefault="00265D72" w:rsidP="00265D72">
              <w:r>
                <w:t>Der ausgewählte Bewerber wird auf der Grundlage seiner Berufserfahrung an Projekten zur Weiterentwicklung der einheitlichen Finanzierungsstrategie der EU beteiligt sein und IT-Lösungen in diesem Bereich vorschlagen und konzipieren.</w:t>
              </w:r>
            </w:p>
            <w:p w14:paraId="2A0F153A" w14:textId="550ADAFF" w:rsidR="009321C6" w:rsidRPr="009F216F" w:rsidRDefault="00265D72" w:rsidP="009321C6">
              <w:r>
                <w:t xml:space="preserve">Da wir ein freundliches, dynamisches, geschlechtergerechtes und </w:t>
              </w:r>
              <w:r w:rsidR="00591A3D">
                <w:t>t</w:t>
              </w:r>
              <w:r>
                <w:t>eamorientiertes operatives Referat sind, das regelmäßige Kontakte zu privaten und öffentlichen Finanzinstitutionen, anderen Kommissionsdienststellen und EU-Institutionen unterhält, suchen wir einen Team-Player mit entsprechenden zwischenmenschlichen Kompetenzen.</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bookmarkStart w:id="1" w:name="_Hlk168400852"/>
      <w:r w:rsidRPr="007C07D8">
        <w:rPr>
          <w:b/>
          <w:bCs/>
          <w:u w:val="single"/>
          <w:lang w:eastAsia="en-GB"/>
        </w:rPr>
        <w:t>Zulassungsbedingungen</w:t>
      </w:r>
    </w:p>
    <w:bookmarkEnd w:id="1"/>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5DA31" w14:textId="77777777" w:rsidR="00726050" w:rsidRDefault="00726050">
      <w:pPr>
        <w:spacing w:after="0"/>
      </w:pPr>
      <w:r>
        <w:separator/>
      </w:r>
    </w:p>
  </w:endnote>
  <w:endnote w:type="continuationSeparator" w:id="0">
    <w:p w14:paraId="1216BC87" w14:textId="77777777" w:rsidR="00726050" w:rsidRDefault="007260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C6AC2" w14:textId="77777777" w:rsidR="00726050" w:rsidRDefault="00726050">
      <w:pPr>
        <w:spacing w:after="0"/>
      </w:pPr>
      <w:r>
        <w:separator/>
      </w:r>
    </w:p>
  </w:footnote>
  <w:footnote w:type="continuationSeparator" w:id="0">
    <w:p w14:paraId="7A054A64" w14:textId="77777777" w:rsidR="00726050" w:rsidRDefault="00726050">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A44C7B8"/>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029452471">
    <w:abstractNumId w:val="0"/>
  </w:num>
  <w:num w:numId="31" w16cid:durableId="1341540920">
    <w:abstractNumId w:val="0"/>
  </w:num>
  <w:num w:numId="32" w16cid:durableId="857305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1B45"/>
    <w:rsid w:val="00265D72"/>
    <w:rsid w:val="002C5752"/>
    <w:rsid w:val="002F7504"/>
    <w:rsid w:val="0030152F"/>
    <w:rsid w:val="00324D8D"/>
    <w:rsid w:val="0035094A"/>
    <w:rsid w:val="00363C75"/>
    <w:rsid w:val="003874E2"/>
    <w:rsid w:val="0039387D"/>
    <w:rsid w:val="00394A86"/>
    <w:rsid w:val="003B2E38"/>
    <w:rsid w:val="004D75AF"/>
    <w:rsid w:val="00546DB1"/>
    <w:rsid w:val="00591A3D"/>
    <w:rsid w:val="006243BB"/>
    <w:rsid w:val="006662C9"/>
    <w:rsid w:val="00676119"/>
    <w:rsid w:val="006F44C9"/>
    <w:rsid w:val="00726050"/>
    <w:rsid w:val="00767E7E"/>
    <w:rsid w:val="007716E4"/>
    <w:rsid w:val="00785A3F"/>
    <w:rsid w:val="00795C41"/>
    <w:rsid w:val="007A795D"/>
    <w:rsid w:val="007A7CF4"/>
    <w:rsid w:val="007B514A"/>
    <w:rsid w:val="007C07D8"/>
    <w:rsid w:val="007D0EC6"/>
    <w:rsid w:val="00803007"/>
    <w:rsid w:val="008102E0"/>
    <w:rsid w:val="008425DD"/>
    <w:rsid w:val="00844730"/>
    <w:rsid w:val="0089735C"/>
    <w:rsid w:val="008D52CF"/>
    <w:rsid w:val="009321C6"/>
    <w:rsid w:val="009442BE"/>
    <w:rsid w:val="009F216F"/>
    <w:rsid w:val="00A40239"/>
    <w:rsid w:val="00AB56F9"/>
    <w:rsid w:val="00AC5FF8"/>
    <w:rsid w:val="00AE6941"/>
    <w:rsid w:val="00B73B91"/>
    <w:rsid w:val="00BF6139"/>
    <w:rsid w:val="00C07259"/>
    <w:rsid w:val="00C27C81"/>
    <w:rsid w:val="00C76787"/>
    <w:rsid w:val="00CD33B4"/>
    <w:rsid w:val="00D57AAA"/>
    <w:rsid w:val="00D605F4"/>
    <w:rsid w:val="00DA711C"/>
    <w:rsid w:val="00DC41A5"/>
    <w:rsid w:val="00E01792"/>
    <w:rsid w:val="00E35460"/>
    <w:rsid w:val="00EB15C5"/>
    <w:rsid w:val="00EB3060"/>
    <w:rsid w:val="00EC5C6B"/>
    <w:rsid w:val="00ED6452"/>
    <w:rsid w:val="00F60E71"/>
    <w:rsid w:val="00F70D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A40239"/>
    <w:rPr>
      <w:sz w:val="16"/>
      <w:szCs w:val="16"/>
    </w:rPr>
  </w:style>
  <w:style w:type="paragraph" w:styleId="CommentText">
    <w:name w:val="annotation text"/>
    <w:basedOn w:val="Normal"/>
    <w:link w:val="CommentTextChar"/>
    <w:semiHidden/>
    <w:locked/>
    <w:rsid w:val="00A40239"/>
    <w:rPr>
      <w:sz w:val="20"/>
    </w:rPr>
  </w:style>
  <w:style w:type="character" w:customStyle="1" w:styleId="CommentTextChar">
    <w:name w:val="Comment Text Char"/>
    <w:basedOn w:val="DefaultParagraphFont"/>
    <w:link w:val="CommentText"/>
    <w:semiHidden/>
    <w:rsid w:val="00A40239"/>
    <w:rPr>
      <w:sz w:val="20"/>
    </w:rPr>
  </w:style>
  <w:style w:type="paragraph" w:styleId="CommentSubject">
    <w:name w:val="annotation subject"/>
    <w:basedOn w:val="CommentText"/>
    <w:next w:val="CommentText"/>
    <w:link w:val="CommentSubjectChar"/>
    <w:semiHidden/>
    <w:unhideWhenUsed/>
    <w:locked/>
    <w:rsid w:val="00A40239"/>
    <w:rPr>
      <w:b/>
      <w:bCs/>
    </w:rPr>
  </w:style>
  <w:style w:type="character" w:customStyle="1" w:styleId="CommentSubjectChar">
    <w:name w:val="Comment Subject Char"/>
    <w:basedOn w:val="CommentTextChar"/>
    <w:link w:val="CommentSubject"/>
    <w:semiHidden/>
    <w:rsid w:val="00A40239"/>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1ED1A1DCC1324715B5768A60A654B793"/>
        <w:category>
          <w:name w:val="General"/>
          <w:gallery w:val="placeholder"/>
        </w:category>
        <w:types>
          <w:type w:val="bbPlcHdr"/>
        </w:types>
        <w:behaviors>
          <w:behavior w:val="content"/>
        </w:behaviors>
        <w:guid w:val="{C6F8829B-F99B-43E9-9CFB-103A6B9D8F55}"/>
      </w:docPartPr>
      <w:docPartBody>
        <w:p w:rsidR="00E175B4" w:rsidRDefault="00E175B4" w:rsidP="00E175B4">
          <w:pPr>
            <w:pStyle w:val="1ED1A1DCC1324715B5768A60A654B793"/>
          </w:pPr>
          <w:r w:rsidRPr="0007110E">
            <w:rPr>
              <w:rStyle w:val="PlaceholderText"/>
              <w:bCs/>
            </w:rPr>
            <w:t>Click or tap here to enter text.</w:t>
          </w:r>
        </w:p>
      </w:docPartBody>
    </w:docPart>
    <w:docPart>
      <w:docPartPr>
        <w:name w:val="9E007069D5C242358C01525DE398D186"/>
        <w:category>
          <w:name w:val="General"/>
          <w:gallery w:val="placeholder"/>
        </w:category>
        <w:types>
          <w:type w:val="bbPlcHdr"/>
        </w:types>
        <w:behaviors>
          <w:behavior w:val="content"/>
        </w:behaviors>
        <w:guid w:val="{9A738246-CC2F-45C5-BB4D-5E2B1D8ECB42}"/>
      </w:docPartPr>
      <w:docPartBody>
        <w:p w:rsidR="00E175B4" w:rsidRDefault="00E175B4" w:rsidP="00E175B4">
          <w:pPr>
            <w:pStyle w:val="9E007069D5C242358C01525DE398D186"/>
          </w:pPr>
          <w:r w:rsidRPr="0007110E">
            <w:rPr>
              <w:rStyle w:val="PlaceholderText"/>
              <w:bCs/>
            </w:rPr>
            <w:t>Click or tap here to enter text.</w:t>
          </w:r>
        </w:p>
      </w:docPartBody>
    </w:docPart>
    <w:docPart>
      <w:docPartPr>
        <w:name w:val="CA1E1D8A96AE49C99E531D5C7A95AB2F"/>
        <w:category>
          <w:name w:val="General"/>
          <w:gallery w:val="placeholder"/>
        </w:category>
        <w:types>
          <w:type w:val="bbPlcHdr"/>
        </w:types>
        <w:behaviors>
          <w:behavior w:val="content"/>
        </w:behaviors>
        <w:guid w:val="{D3A6B3C2-8687-45BE-B847-6F2C45800E0A}"/>
      </w:docPartPr>
      <w:docPartBody>
        <w:p w:rsidR="00E175B4" w:rsidRDefault="00E175B4" w:rsidP="00E175B4">
          <w:pPr>
            <w:pStyle w:val="CA1E1D8A96AE49C99E531D5C7A95AB2F"/>
          </w:pPr>
          <w:r>
            <w:rPr>
              <w:rStyle w:val="PlaceholderText"/>
            </w:rPr>
            <w:t>Klicken oder schreiben Sie hier, um Text einzugeben.</w:t>
          </w:r>
        </w:p>
      </w:docPartBody>
    </w:docPart>
    <w:docPart>
      <w:docPartPr>
        <w:name w:val="DCA0A57C72944C05940F1431AD61D7DB"/>
        <w:category>
          <w:name w:val="General"/>
          <w:gallery w:val="placeholder"/>
        </w:category>
        <w:types>
          <w:type w:val="bbPlcHdr"/>
        </w:types>
        <w:behaviors>
          <w:behavior w:val="content"/>
        </w:behaviors>
        <w:guid w:val="{DDB06516-F803-4F1B-9419-5E387910A26C}"/>
      </w:docPartPr>
      <w:docPartBody>
        <w:p w:rsidR="00E175B4" w:rsidRDefault="00E175B4" w:rsidP="00E175B4">
          <w:pPr>
            <w:pStyle w:val="DCA0A57C72944C05940F1431AD61D7DB"/>
          </w:pPr>
          <w:r>
            <w:rPr>
              <w:rStyle w:val="PlaceholderText"/>
            </w:rPr>
            <w:t>Klicken oder schreiben Sie hier, um Text einzugeben.</w:t>
          </w:r>
        </w:p>
      </w:docPartBody>
    </w:docPart>
    <w:docPart>
      <w:docPartPr>
        <w:name w:val="5CBBBC3C34414607910B60A84E33CB31"/>
        <w:category>
          <w:name w:val="General"/>
          <w:gallery w:val="placeholder"/>
        </w:category>
        <w:types>
          <w:type w:val="bbPlcHdr"/>
        </w:types>
        <w:behaviors>
          <w:behavior w:val="content"/>
        </w:behaviors>
        <w:guid w:val="{B8476A53-7AA3-4AF2-B2E8-8156373B89EB}"/>
      </w:docPartPr>
      <w:docPartBody>
        <w:p w:rsidR="00754E7B" w:rsidRDefault="00B77D4B" w:rsidP="00B77D4B">
          <w:pPr>
            <w:pStyle w:val="5CBBBC3C34414607910B60A84E33CB3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754E7B"/>
    <w:rsid w:val="00897026"/>
    <w:rsid w:val="008A7C76"/>
    <w:rsid w:val="008C406B"/>
    <w:rsid w:val="008D04E3"/>
    <w:rsid w:val="00A71FAD"/>
    <w:rsid w:val="00B21BDA"/>
    <w:rsid w:val="00B77D4B"/>
    <w:rsid w:val="00DB168D"/>
    <w:rsid w:val="00E175B4"/>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77D4B"/>
    <w:rPr>
      <w:color w:val="288061"/>
    </w:rPr>
  </w:style>
  <w:style w:type="paragraph" w:customStyle="1" w:styleId="3F8B7399541147C1B1E84701FCECAED2">
    <w:name w:val="3F8B7399541147C1B1E84701FCECAED2"/>
    <w:rsid w:val="00A71FAD"/>
  </w:style>
  <w:style w:type="paragraph" w:customStyle="1" w:styleId="1ED1A1DCC1324715B5768A60A654B793">
    <w:name w:val="1ED1A1DCC1324715B5768A60A654B793"/>
    <w:rsid w:val="00E175B4"/>
    <w:rPr>
      <w:kern w:val="2"/>
      <w14:ligatures w14:val="standardContextual"/>
    </w:rPr>
  </w:style>
  <w:style w:type="paragraph" w:customStyle="1" w:styleId="9E007069D5C242358C01525DE398D186">
    <w:name w:val="9E007069D5C242358C01525DE398D186"/>
    <w:rsid w:val="00E175B4"/>
    <w:rPr>
      <w:kern w:val="2"/>
      <w14:ligatures w14:val="standardContextual"/>
    </w:rPr>
  </w:style>
  <w:style w:type="paragraph" w:customStyle="1" w:styleId="CA1E1D8A96AE49C99E531D5C7A95AB2F">
    <w:name w:val="CA1E1D8A96AE49C99E531D5C7A95AB2F"/>
    <w:rsid w:val="00E175B4"/>
    <w:rPr>
      <w:kern w:val="2"/>
      <w14:ligatures w14:val="standardContextual"/>
    </w:rPr>
  </w:style>
  <w:style w:type="paragraph" w:customStyle="1" w:styleId="DCA0A57C72944C05940F1431AD61D7DB">
    <w:name w:val="DCA0A57C72944C05940F1431AD61D7DB"/>
    <w:rsid w:val="00E175B4"/>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BBBC3C34414607910B60A84E33CB31">
    <w:name w:val="5CBBBC3C34414607910B60A84E33CB31"/>
    <w:rsid w:val="00B77D4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C51944DE6B0A4FAB35C81DB2CEE5C2" ma:contentTypeVersion="7" ma:contentTypeDescription="Create a new document." ma:contentTypeScope="" ma:versionID="eb21ac5b3831d8cf677fa0357909003f">
  <xsd:schema xmlns:xsd="http://www.w3.org/2001/XMLSchema" xmlns:xs="http://www.w3.org/2001/XMLSchema" xmlns:p="http://schemas.microsoft.com/office/2006/metadata/properties" xmlns:ns2="c942102f-7205-4784-9eb7-d74eefbec988" xmlns:ns3="9fb1621f-13c5-4596-ace4-bce27d2afdb3" targetNamespace="http://schemas.microsoft.com/office/2006/metadata/properties" ma:root="true" ma:fieldsID="966e439a031acc7af2b25a75c7405d39" ns2:_="" ns3:_="">
    <xsd:import namespace="c942102f-7205-4784-9eb7-d74eefbec988"/>
    <xsd:import namespace="9fb1621f-13c5-4596-ace4-bce27d2afd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2102f-7205-4784-9eb7-d74eefbec9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ink" ma:index="14"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b1621f-13c5-4596-ace4-bce27d2afdb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ink xmlns="c942102f-7205-4784-9eb7-d74eefbec988">
      <Url xsi:nil="true"/>
      <Description xsi:nil="true"/>
    </Link>
    <SharedWithUsers xmlns="9fb1621f-13c5-4596-ace4-bce27d2afdb3">
      <UserInfo>
        <DisplayName>DASSEL Kathrin (BUDG)</DisplayName>
        <AccountId>33</AccountId>
        <AccountType/>
      </UserInfo>
    </SharedWithUser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BA61A7D0-D349-43BE-B42A-CF1F96A381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2102f-7205-4784-9eb7-d74eefbec988"/>
    <ds:schemaRef ds:uri="9fb1621f-13c5-4596-ace4-bce27d2afd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264AC718-AF23-442A-92F5-08EA22515F3E}">
  <ds:schemaRefs>
    <ds:schemaRef ds:uri="http://www.w3.org/XML/1998/namespace"/>
    <ds:schemaRef ds:uri="9fb1621f-13c5-4596-ace4-bce27d2afdb3"/>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c942102f-7205-4784-9eb7-d74eefbec988"/>
    <ds:schemaRef ds:uri="http://schemas.microsoft.com/office/2006/metadata/properties"/>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16</TotalTime>
  <Pages>5</Pages>
  <Words>1868</Words>
  <Characters>10653</Characters>
  <Application>Microsoft Office Word</Application>
  <DocSecurity>0</DocSecurity>
  <PresentationFormat>Microsoft Word 14.0</PresentationFormat>
  <Lines>88</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TURCANOVA Maria (BUDG)</cp:lastModifiedBy>
  <cp:revision>3</cp:revision>
  <dcterms:created xsi:type="dcterms:W3CDTF">2024-06-10T12:44:00Z</dcterms:created>
  <dcterms:modified xsi:type="dcterms:W3CDTF">2024-06-10T12:44:00Z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0x01010096C51944DE6B0A4FAB35C81DB2CEE5C2</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