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5694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5694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5694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5694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5694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5694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5CFEABF" w:rsidR="00546DB1" w:rsidRPr="00546DB1" w:rsidRDefault="00EC6D80" w:rsidP="00AB56F9">
                <w:pPr>
                  <w:tabs>
                    <w:tab w:val="left" w:pos="426"/>
                  </w:tabs>
                  <w:spacing w:before="120"/>
                  <w:rPr>
                    <w:bCs/>
                    <w:lang w:val="en-IE" w:eastAsia="en-GB"/>
                  </w:rPr>
                </w:pPr>
                <w:r>
                  <w:rPr>
                    <w:bCs/>
                    <w:lang w:eastAsia="en-GB"/>
                  </w:rPr>
                  <w:t>DG FISMA Referat D2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262E207" w:rsidR="00546DB1" w:rsidRPr="003B2E38" w:rsidRDefault="00E13FCE" w:rsidP="00AB56F9">
                <w:pPr>
                  <w:tabs>
                    <w:tab w:val="left" w:pos="426"/>
                  </w:tabs>
                  <w:spacing w:before="120"/>
                  <w:rPr>
                    <w:bCs/>
                    <w:lang w:val="en-IE" w:eastAsia="en-GB"/>
                  </w:rPr>
                </w:pPr>
                <w:r>
                  <w:rPr>
                    <w:bCs/>
                    <w:lang w:eastAsia="en-GB"/>
                  </w:rPr>
                  <w:t>256994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A3F7252" w:rsidR="00546DB1" w:rsidRPr="0085694D" w:rsidRDefault="00EC6D80" w:rsidP="00AB56F9">
                <w:pPr>
                  <w:tabs>
                    <w:tab w:val="left" w:pos="426"/>
                  </w:tabs>
                  <w:spacing w:before="120"/>
                  <w:rPr>
                    <w:bCs/>
                    <w:lang w:eastAsia="en-GB"/>
                  </w:rPr>
                </w:pPr>
                <w:r>
                  <w:rPr>
                    <w:bCs/>
                    <w:lang w:eastAsia="en-GB"/>
                  </w:rPr>
                  <w:t>Raluca PRUNA</w:t>
                </w:r>
              </w:p>
            </w:sdtContent>
          </w:sdt>
          <w:p w14:paraId="227D6F6E" w14:textId="46C68B34" w:rsidR="00546DB1" w:rsidRPr="009F216F" w:rsidRDefault="0085694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EC6D80">
                  <w:rPr>
                    <w:bCs/>
                    <w:lang w:eastAsia="en-GB"/>
                  </w:rPr>
                  <w:t>Q3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EC6D80">
                      <w:rPr>
                        <w:bCs/>
                        <w:lang w:eastAsia="en-GB"/>
                      </w:rPr>
                      <w:t>2024</w:t>
                    </w:r>
                  </w:sdtContent>
                </w:sdt>
              </w:sdtContent>
            </w:sdt>
          </w:p>
          <w:p w14:paraId="4128A55A" w14:textId="66D8F8D2" w:rsidR="00546DB1" w:rsidRPr="00546DB1" w:rsidRDefault="0085694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C6D80">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C6D8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F47188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63190F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5694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5694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5694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E2532C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44C8C6D"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0E6398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85694D">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szCs w:val="24"/>
        </w:rPr>
      </w:sdtEndPr>
      <w:sdtContent>
        <w:p w14:paraId="76DD1EEA" w14:textId="77B52280" w:rsidR="00803007" w:rsidRPr="00EC6D80" w:rsidRDefault="00EC6D80" w:rsidP="00EC6D80">
          <w:pPr>
            <w:ind w:right="19"/>
            <w:rPr>
              <w:szCs w:val="24"/>
              <w:lang w:eastAsia="en-GB"/>
            </w:rPr>
          </w:pPr>
          <w:r w:rsidRPr="00EC6D80">
            <w:rPr>
              <w:szCs w:val="24"/>
              <w:lang w:eastAsia="en-GB"/>
            </w:rPr>
            <w:t xml:space="preserve">Das Referat D2 Finanzkriminalität ist ein motiviertes und dynamisches Team innerhalb des Direktorats Banken, Versicherung und Finanzkriminalität innerhalb der </w:t>
          </w:r>
          <w:r w:rsidRPr="00EC6D80">
            <w:rPr>
              <w:szCs w:val="24"/>
              <w:lang w:eastAsia="en-GB"/>
            </w:rPr>
            <w:lastRenderedPageBreak/>
            <w:t xml:space="preserve">Generaldirektion für Finanzstabilität, Finanzdienstleistungen und Kapitalmarktunion (GD FISMA) und ist für die Politik und Gesetzgebung der Union im Bereich der Bekämpfung von Geldwäsche und Terrorismusfinanzierung (AML/CFT) zuständig. Das Referat arbeitet derzeit an der Reform der EU-Politik zu AML/CFT und hat kürzlich die Verhandlungen eines ehrgeizigen Legislativpakets finalisiert, welches von der Europäischen Kommission im Juli 2021 entworfen worden ist. Dieses Legislativpaket beinhaltet eine umfassende Überarbeitung des einheitlichen AML/CFT-Regelwerks und der institutionellen Architektur auf Unionsebene durch die Schaffung einer EU-Behörde für die Bekämpfung von Geldwäsche und Terrorismusfinanzierung. Das einheitliche AML/CFT-Regelwerk wird durch technische Regulierungsstandards und andere sekundärrechtliche Vorschriften ergänzt. Ebenfalls zum Zuständigkeitsbereich des Referats D2 gehören die aktive Beteiligung an der Arbeit der Financial Action Task Force (FATF), dem wichtigsten Gremium zur Festlegung globaler Standards. Das Referat ist außerdem aktiv an der Bewertung des AML/CFT Systems in Drittländern, die eine EU-Mitgliedschaft anstreben, beteiligt. </w:t>
          </w:r>
        </w:p>
      </w:sdtContent>
    </w:sdt>
    <w:p w14:paraId="3862387A" w14:textId="77777777" w:rsidR="00803007" w:rsidRPr="0085694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Cs w:val="24"/>
        </w:rPr>
      </w:sdtEndPr>
      <w:sdtContent>
        <w:p w14:paraId="3EB153EF" w14:textId="77777777" w:rsidR="00E13FCE" w:rsidRDefault="00E13FCE" w:rsidP="00EC6D80">
          <w:pPr>
            <w:spacing w:after="0"/>
            <w:ind w:right="19"/>
            <w:rPr>
              <w:szCs w:val="24"/>
              <w:lang w:eastAsia="en-GB"/>
            </w:rPr>
          </w:pPr>
          <w:r w:rsidRPr="00EC6D80">
            <w:rPr>
              <w:szCs w:val="24"/>
              <w:lang w:eastAsia="en-GB"/>
            </w:rPr>
            <w:t xml:space="preserve">Die Bekämpfung von Geldwäsche und Terrorismusfinanzierung, insbesondere durch die Entwicklung umfassender AML/CFT Politiken stellt eine Priorität der Kommission dar. </w:t>
          </w:r>
        </w:p>
        <w:p w14:paraId="4585B8F2" w14:textId="77777777" w:rsidR="00E13FCE" w:rsidRDefault="00E13FCE" w:rsidP="00EC6D80">
          <w:pPr>
            <w:spacing w:after="0"/>
            <w:ind w:right="19"/>
            <w:rPr>
              <w:szCs w:val="24"/>
              <w:lang w:eastAsia="en-GB"/>
            </w:rPr>
          </w:pPr>
        </w:p>
        <w:p w14:paraId="00359D31" w14:textId="361505CA" w:rsidR="00EC6D80" w:rsidRPr="00E13FCE" w:rsidRDefault="00EC6D80" w:rsidP="00EC6D80">
          <w:pPr>
            <w:spacing w:after="0"/>
            <w:ind w:right="19"/>
            <w:rPr>
              <w:szCs w:val="24"/>
              <w:lang w:eastAsia="en-GB"/>
            </w:rPr>
          </w:pPr>
          <w:r w:rsidRPr="00EC6D80">
            <w:rPr>
              <w:szCs w:val="24"/>
              <w:lang w:eastAsia="en-GB"/>
            </w:rPr>
            <w:t>Die Arbeitsschwerpunkte liegen auf folgenden Aufgaben:</w:t>
          </w:r>
        </w:p>
        <w:p w14:paraId="23DC1507"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Beteiligung an der Gestaltung von der EU-Politik im Bereich der Geldwäschebekämpfung und Terrorismusfinanzierung, insbesondere durch Unterstützung bei der Entwicklung von abgeleiteten Rechtsvorschriften, die für die Fertigstellung des einheitlichen AML/CFT-Regelwerks erforderlich sind.</w:t>
          </w:r>
        </w:p>
        <w:p w14:paraId="4D1F782C"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Mitwirkung bei der wirksamen Anwendung und Durchsetzung des Rechtsrahmens der Union</w:t>
          </w:r>
        </w:p>
        <w:p w14:paraId="4B5214EA"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Beitrag zur aktiven Beteiligung der Europäischen Kommission an verschiedenen Arbeitsbereichen der FATF und MONEYVAL.</w:t>
          </w:r>
        </w:p>
        <w:p w14:paraId="26F92230"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Vorbereitung von Sitzungen mit anderen wesentlichen Organisationen auf dem Gebiet der Geldwäschebekämpfung, wie beispielsweise des Basler Ausschusses, der Europäische Zentralbank (EZB), Europol, Europäische Staatsanwaltschaft (European Public Prosecutor’s Office – EPPO) und anderen, einschließlich Vorbereiten und Halten von Präsentationen.</w:t>
          </w:r>
        </w:p>
        <w:p w14:paraId="3EA1425C"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Kontaktaufnahme mit Interessenvertretern des öffentlichen und privaten Sektors zu Fragen der Geldwäschebekämpfung und Terrorismusfinanzierung.</w:t>
          </w:r>
        </w:p>
        <w:p w14:paraId="4B7BA2BB" w14:textId="77777777" w:rsidR="00EC6D80" w:rsidRPr="00EC6D80" w:rsidRDefault="00EC6D80" w:rsidP="00EC6D80">
          <w:pPr>
            <w:numPr>
              <w:ilvl w:val="0"/>
              <w:numId w:val="30"/>
            </w:numPr>
            <w:spacing w:after="0"/>
            <w:ind w:right="1317"/>
            <w:jc w:val="left"/>
            <w:rPr>
              <w:szCs w:val="24"/>
              <w:lang w:eastAsia="en-GB"/>
            </w:rPr>
          </w:pPr>
          <w:r w:rsidRPr="00EC6D80">
            <w:rPr>
              <w:szCs w:val="24"/>
              <w:lang w:eastAsia="en-GB"/>
            </w:rPr>
            <w:t>Ausarbeitung von Antworten auf mündliche und schriftliche Anfragen und Petitionen von Mitgliedern des Europäischen Parlaments.</w:t>
          </w:r>
        </w:p>
        <w:p w14:paraId="12B9C59B" w14:textId="09B5415E" w:rsidR="00803007" w:rsidRPr="00E13FCE" w:rsidRDefault="00EC6D80" w:rsidP="00803007">
          <w:pPr>
            <w:numPr>
              <w:ilvl w:val="0"/>
              <w:numId w:val="30"/>
            </w:numPr>
            <w:spacing w:after="0"/>
            <w:ind w:right="1317"/>
            <w:jc w:val="left"/>
            <w:rPr>
              <w:szCs w:val="24"/>
              <w:lang w:eastAsia="en-GB"/>
            </w:rPr>
          </w:pPr>
          <w:r w:rsidRPr="00EC6D80">
            <w:rPr>
              <w:szCs w:val="24"/>
              <w:lang w:eastAsia="en-GB"/>
            </w:rPr>
            <w:t>Beantwortung/Koordination von externen Informationsanfragen.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Cs w:val="24"/>
        </w:rPr>
      </w:sdtEndPr>
      <w:sdtContent>
        <w:p w14:paraId="0FF36146" w14:textId="77777777" w:rsidR="00EC6D80" w:rsidRPr="00EC6D80" w:rsidRDefault="00EC6D80" w:rsidP="00EC6D80">
          <w:pPr>
            <w:spacing w:after="0"/>
            <w:ind w:right="19"/>
            <w:rPr>
              <w:szCs w:val="24"/>
              <w:lang w:eastAsia="en-GB"/>
            </w:rPr>
          </w:pPr>
          <w:r w:rsidRPr="00EC6D80">
            <w:rPr>
              <w:szCs w:val="24"/>
              <w:lang w:eastAsia="en-GB"/>
            </w:rPr>
            <w:t xml:space="preserve">Zu den Qualifikationen für die ausgeschriebene Stelle gehört eine ausgeprägte Teamfähigkeit. Die oder der erfolgreiche Bewerberin oder Bewerber wird in einem </w:t>
          </w:r>
          <w:r w:rsidRPr="00EC6D80">
            <w:rPr>
              <w:szCs w:val="24"/>
              <w:lang w:eastAsia="en-GB"/>
            </w:rPr>
            <w:lastRenderedPageBreak/>
            <w:t>referatsübergreifenden Team und mit einer großen Anzahl von Kolleginnen und Kollegen aus anderen Kommissionsdienststellen, dem EAD und anderen externen Ansprechpartnern zusammenarbeiten. Sie/er muss in der Lage sein zusammen mit anderen ein gemeinsames Ziel auf effektive Weise zu erreichen. Die Fähigkeit des Zuhörens, Offenheit für die Ideen aller und die Bereitschaft sich für das Wohl der Gruppe einzusetzen, sowie ein starkes Verantwortungsbewusstsein sind unerlässlich.</w:t>
          </w:r>
        </w:p>
        <w:p w14:paraId="06E76E95" w14:textId="77777777" w:rsidR="00EC6D80" w:rsidRPr="00EC6D80" w:rsidRDefault="00EC6D80" w:rsidP="00EC6D80">
          <w:pPr>
            <w:spacing w:after="0"/>
            <w:ind w:right="19"/>
            <w:rPr>
              <w:szCs w:val="24"/>
              <w:lang w:eastAsia="en-GB"/>
            </w:rPr>
          </w:pPr>
        </w:p>
        <w:p w14:paraId="2A0F153A" w14:textId="778A0DC9" w:rsidR="009321C6" w:rsidRPr="00EC6D80" w:rsidRDefault="00EC6D80" w:rsidP="00EC6D80">
          <w:pPr>
            <w:rPr>
              <w:szCs w:val="24"/>
              <w:lang w:eastAsia="en-GB"/>
            </w:rPr>
          </w:pPr>
          <w:r w:rsidRPr="00EC6D80">
            <w:rPr>
              <w:szCs w:val="24"/>
              <w:lang w:eastAsia="en-GB"/>
            </w:rPr>
            <w:t>Die Position erfordert die Erstellung von konsistent hochwertigen, gut geschriebenen Briefings und Hintergrundvermerken, oft unter Zeitdruck und knappen Fristen. Die Position erfordert weiterhin die Fähigkeit, den Überblick über die Prioritäten zu behalten, das vorgeschlagene EU-Regelwerk zur Bekämpfung von Geldwäsche und Terrorismusfinanzierung zu unterstützen und erforderlichenfalls weiterzuentwickeln. Dienstreisen gehören ebenfalls zum Rahmen der Tätigkeit.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189F8AEB" w:rsidR="00546DB1" w:rsidRPr="00EC6D80" w:rsidRDefault="00546DB1" w:rsidP="007C07D8">
      <w:pPr>
        <w:rPr>
          <w:szCs w:val="24"/>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r w:rsidR="00EC6D80" w:rsidRPr="00EC6D80">
        <w:rPr>
          <w:szCs w:val="24"/>
        </w:rPr>
        <w:t xml:space="preserve"> Sehr gute Kenntnisse von und / oder Erfahrung in Bezug auf Politik zur Geldwäsche-Bekämpfung ist erforderlich, auf nationaler und/oder internationaler Ebene.</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2" w15:restartNumberingAfterBreak="0">
    <w:nsid w:val="7F08251E"/>
    <w:multiLevelType w:val="hybridMultilevel"/>
    <w:tmpl w:val="4B2A0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441530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694D"/>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13FCE"/>
    <w:rsid w:val="00E35460"/>
    <w:rsid w:val="00EB3060"/>
    <w:rsid w:val="00EC5C6B"/>
    <w:rsid w:val="00EC6D80"/>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schemas.microsoft.com/office/infopath/2007/PartnerControls"/>
    <ds:schemaRef ds:uri="http://purl.org/dc/elements/1.1/"/>
    <ds:schemaRef ds:uri="http://schemas.microsoft.com/office/2006/documentManagement/types"/>
    <ds:schemaRef ds:uri="http://purl.org/dc/dcmitype/"/>
    <ds:schemaRef ds:uri="a41a97bf-0494-41d8-ba3d-259bd7771890"/>
    <ds:schemaRef ds:uri="http://schemas.microsoft.com/office/2006/metadata/properties"/>
    <ds:schemaRef ds:uri="http://purl.org/dc/terms/"/>
    <ds:schemaRef ds:uri="http://www.w3.org/XML/1998/namespace"/>
    <ds:schemaRef ds:uri="08927195-b699-4be0-9ee2-6c66dc215b5a"/>
    <ds:schemaRef ds:uri="http://schemas.openxmlformats.org/package/2006/metadata/core-properties"/>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1523</Words>
  <Characters>7542</Characters>
  <Application>Microsoft Office Word</Application>
  <DocSecurity>0</DocSecurity>
  <PresentationFormat>Microsoft Word 14.0</PresentationFormat>
  <Lines>188</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2024-06-03T12:22:00Z</dcterms:created>
  <dcterms:modified xsi:type="dcterms:W3CDTF">2024-06-12T12:53:00Z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