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E05C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E05C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E05C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E05C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E05C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E05C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E744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73A911D8" w14:textId="77777777" w:rsidR="00D61D55" w:rsidRPr="00487F5A" w:rsidRDefault="00D61D55" w:rsidP="00D61D55">
                <w:pPr>
                  <w:spacing w:before="100" w:beforeAutospacing="1" w:after="100" w:afterAutospacing="1"/>
                  <w:ind w:right="1315"/>
                  <w:rPr>
                    <w:b/>
                  </w:rPr>
                </w:pPr>
                <w:r>
                  <w:rPr>
                    <w:b/>
                    <w:szCs w:val="24"/>
                  </w:rPr>
                  <w:t>JUST.B</w:t>
                </w:r>
                <w:r w:rsidRPr="00487F5A">
                  <w:rPr>
                    <w:b/>
                    <w:szCs w:val="24"/>
                  </w:rPr>
                  <w:t>.2</w:t>
                </w:r>
              </w:p>
              <w:p w14:paraId="381E83CE" w14:textId="77777777" w:rsidR="00D61D55" w:rsidRPr="00487F5A" w:rsidRDefault="00D61D55" w:rsidP="00D61D55">
                <w:pPr>
                  <w:spacing w:before="100" w:beforeAutospacing="1" w:after="100" w:afterAutospacing="1"/>
                  <w:ind w:right="1315"/>
                  <w:rPr>
                    <w:b/>
                    <w:sz w:val="20"/>
                  </w:rPr>
                </w:pPr>
                <w:r w:rsidRPr="00487F5A">
                  <w:rPr>
                    <w:b/>
                    <w:sz w:val="20"/>
                  </w:rPr>
                  <w:t>GD ‚Justiz und Verbraucher‘</w:t>
                </w:r>
              </w:p>
              <w:p w14:paraId="05B344E4" w14:textId="77777777" w:rsidR="00D61D55" w:rsidRPr="00487F5A" w:rsidRDefault="00D61D55" w:rsidP="00D61D55">
                <w:pPr>
                  <w:spacing w:before="100" w:beforeAutospacing="1" w:after="100" w:afterAutospacing="1"/>
                  <w:ind w:right="1315"/>
                  <w:rPr>
                    <w:b/>
                    <w:sz w:val="20"/>
                  </w:rPr>
                </w:pPr>
                <w:r w:rsidRPr="00487F5A">
                  <w:rPr>
                    <w:b/>
                    <w:sz w:val="20"/>
                  </w:rPr>
                  <w:t xml:space="preserve">Direktion ‚Verbraucher‘ </w:t>
                </w:r>
              </w:p>
              <w:p w14:paraId="163192D7" w14:textId="49668424" w:rsidR="00546DB1" w:rsidRPr="00546DB1" w:rsidRDefault="00D61D55" w:rsidP="00D61D55">
                <w:pPr>
                  <w:tabs>
                    <w:tab w:val="left" w:pos="426"/>
                  </w:tabs>
                  <w:spacing w:before="100" w:beforeAutospacing="1" w:after="100" w:afterAutospacing="1"/>
                  <w:rPr>
                    <w:bCs/>
                    <w:lang w:val="en-IE" w:eastAsia="en-GB"/>
                  </w:rPr>
                </w:pPr>
                <w:r w:rsidRPr="00487F5A">
                  <w:rPr>
                    <w:b/>
                    <w:sz w:val="20"/>
                  </w:rPr>
                  <w:t>Referat ‚Verbraucher‘</w:t>
                </w:r>
              </w:p>
            </w:tc>
          </w:sdtContent>
        </w:sdt>
      </w:tr>
      <w:tr w:rsidR="00546DB1" w:rsidRPr="006E744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33469975"/>
                <w:placeholder>
                  <w:docPart w:val="00821D645C9849BA8C7E02F093418EB4"/>
                </w:placeholder>
              </w:sdtPr>
              <w:sdtEndPr>
                <w:rPr>
                  <w:lang w:val="en-IE"/>
                </w:rPr>
              </w:sdtEndPr>
              <w:sdtContent>
                <w:tc>
                  <w:tcPr>
                    <w:tcW w:w="5491" w:type="dxa"/>
                  </w:tcPr>
                  <w:p w14:paraId="32FCC887" w14:textId="7BE987CA" w:rsidR="00546DB1" w:rsidRPr="003B2E38" w:rsidRDefault="00D61D55" w:rsidP="00AB56F9">
                    <w:pPr>
                      <w:tabs>
                        <w:tab w:val="left" w:pos="426"/>
                      </w:tabs>
                      <w:spacing w:before="120"/>
                      <w:rPr>
                        <w:bCs/>
                        <w:lang w:val="en-IE" w:eastAsia="en-GB"/>
                      </w:rPr>
                    </w:pPr>
                    <w:r>
                      <w:t>286368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7845150D" w14:textId="77777777" w:rsidR="00D61D55" w:rsidRPr="0053331B" w:rsidRDefault="00D61D55" w:rsidP="00D61D55">
                <w:pPr>
                  <w:spacing w:after="0"/>
                  <w:ind w:right="1315"/>
                  <w:rPr>
                    <w:b/>
                    <w:sz w:val="22"/>
                    <w:szCs w:val="22"/>
                  </w:rPr>
                </w:pPr>
                <w:r>
                  <w:rPr>
                    <w:b/>
                    <w:sz w:val="20"/>
                    <w:lang w:val="es-ES"/>
                  </w:rPr>
                  <w:t>KANELLOPOULOU Maria-Myrto</w:t>
                </w:r>
              </w:p>
              <w:p w14:paraId="0D458325" w14:textId="77777777" w:rsidR="00D61D55" w:rsidRPr="0053331B" w:rsidRDefault="00D61D55" w:rsidP="00D61D55">
                <w:pPr>
                  <w:spacing w:after="0"/>
                  <w:ind w:right="1315"/>
                  <w:rPr>
                    <w:b/>
                    <w:sz w:val="22"/>
                    <w:szCs w:val="22"/>
                  </w:rPr>
                </w:pPr>
                <w:r>
                  <w:rPr>
                    <w:b/>
                    <w:sz w:val="22"/>
                    <w:szCs w:val="22"/>
                  </w:rPr>
                  <w:t>JUST-B</w:t>
                </w:r>
                <w:r w:rsidRPr="0053331B">
                  <w:rPr>
                    <w:b/>
                    <w:sz w:val="22"/>
                    <w:szCs w:val="22"/>
                  </w:rPr>
                  <w:t>2@ec.europa.eu</w:t>
                </w:r>
              </w:p>
              <w:p w14:paraId="3EC4D9D0" w14:textId="77777777" w:rsidR="00D61D55" w:rsidRPr="0053331B" w:rsidRDefault="00D61D55" w:rsidP="00D61D55">
                <w:pPr>
                  <w:spacing w:after="0"/>
                  <w:ind w:right="1315"/>
                  <w:rPr>
                    <w:b/>
                    <w:sz w:val="22"/>
                    <w:szCs w:val="22"/>
                  </w:rPr>
                </w:pPr>
                <w:r w:rsidRPr="00824D69">
                  <w:rPr>
                    <w:b/>
                    <w:sz w:val="22"/>
                    <w:szCs w:val="22"/>
                  </w:rPr>
                  <w:t>+32 229-54905</w:t>
                </w:r>
              </w:p>
              <w:p w14:paraId="65EBCF52" w14:textId="20E4E352" w:rsidR="00546DB1" w:rsidRPr="003B2E38" w:rsidRDefault="004E05C7" w:rsidP="00AB56F9">
                <w:pPr>
                  <w:tabs>
                    <w:tab w:val="left" w:pos="426"/>
                  </w:tabs>
                  <w:spacing w:before="120"/>
                  <w:rPr>
                    <w:bCs/>
                    <w:lang w:val="en-IE" w:eastAsia="en-GB"/>
                  </w:rPr>
                </w:pPr>
              </w:p>
            </w:sdtContent>
          </w:sdt>
          <w:p w14:paraId="227D6F6E" w14:textId="0BEAF8D2" w:rsidR="00546DB1" w:rsidRPr="009F216F" w:rsidRDefault="00D61D55"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04AA6744" w:rsidR="00546DB1" w:rsidRPr="00546DB1" w:rsidRDefault="00D61D55"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30409C1"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pt;height:21.5pt" o:ole="">
                  <v:imagedata r:id="rId15" o:title=""/>
                </v:shape>
                <w:control r:id="rId16" w:name="OptionButton6" w:shapeid="_x0000_i1037"/>
              </w:object>
            </w:r>
            <w:r>
              <w:rPr>
                <w:bCs/>
                <w:szCs w:val="24"/>
                <w:lang w:val="en-GB" w:eastAsia="en-GB"/>
              </w:rPr>
              <w:object w:dxaOrig="1440" w:dyaOrig="1440" w14:anchorId="28F21F18">
                <v:shape id="_x0000_i1039" type="#_x0000_t75" style="width:158.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BB30C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6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E05C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E05C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E05C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9B42729"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6pt;height:37.2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D5B98E3"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4pt;height:21.5pt" o:ole="">
                  <v:imagedata r:id="rId23" o:title=""/>
                </v:shape>
                <w:control r:id="rId24" w:name="OptionButton2" w:shapeid="_x0000_i1045"/>
              </w:object>
            </w:r>
            <w:r>
              <w:rPr>
                <w:bCs/>
                <w:szCs w:val="24"/>
                <w:lang w:val="en-GB" w:eastAsia="en-GB"/>
              </w:rPr>
              <w:object w:dxaOrig="1440" w:dyaOrig="1440" w14:anchorId="50596B69">
                <v:shape id="_x0000_i1047" type="#_x0000_t75" style="width:108.4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E7446" w:rsidRDefault="00803007" w:rsidP="007C07D8">
      <w:pPr>
        <w:pStyle w:val="ListNumber"/>
        <w:numPr>
          <w:ilvl w:val="0"/>
          <w:numId w:val="0"/>
        </w:numPr>
        <w:ind w:left="709" w:hanging="709"/>
        <w:rPr>
          <w:lang w:val="en-IE" w:eastAsia="en-GB"/>
        </w:rPr>
      </w:pPr>
      <w:r w:rsidRPr="006E7446">
        <w:rPr>
          <w:b/>
          <w:bCs/>
          <w:lang w:val="en-IE" w:eastAsia="en-GB"/>
        </w:rPr>
        <w:t>Wer wi</w:t>
      </w:r>
      <w:r w:rsidR="002F7504" w:rsidRPr="006E7446">
        <w:rPr>
          <w:b/>
          <w:bCs/>
          <w:lang w:val="en-IE" w:eastAsia="en-GB"/>
        </w:rPr>
        <w:t>r</w:t>
      </w:r>
      <w:r w:rsidRPr="006E7446">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3936881E" w:rsidR="00803007" w:rsidRDefault="00D61D55" w:rsidP="00803007">
          <w:pPr>
            <w:rPr>
              <w:lang w:val="en-US" w:eastAsia="en-GB"/>
            </w:rPr>
          </w:pPr>
          <w:r w:rsidRPr="00C5646D">
            <w:rPr>
              <w:bCs/>
              <w:iCs/>
              <w:sz w:val="22"/>
              <w:szCs w:val="22"/>
            </w:rPr>
            <w:t>Das Referat ist für die Entwicklung und Umsetzung des EU-Verbraucherrechtsrahmens verantwortlich und trägt zu den Prioritäten der Kommission in Bezug auf den digitalen und grünen Wandel bei</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B63D1E4" w14:textId="77777777" w:rsidR="00D61D55" w:rsidRPr="00C5646D" w:rsidRDefault="00D61D55" w:rsidP="00D61D55">
          <w:pPr>
            <w:suppressAutoHyphens/>
            <w:spacing w:after="120"/>
            <w:ind w:right="9"/>
            <w:rPr>
              <w:bCs/>
              <w:iCs/>
              <w:sz w:val="22"/>
              <w:szCs w:val="22"/>
            </w:rPr>
          </w:pPr>
          <w:r w:rsidRPr="00C5646D">
            <w:rPr>
              <w:bCs/>
              <w:iCs/>
              <w:sz w:val="22"/>
              <w:szCs w:val="22"/>
            </w:rPr>
            <w:t>Wir bieten eine Stelle für eine</w:t>
          </w:r>
          <w:r>
            <w:rPr>
              <w:bCs/>
              <w:iCs/>
              <w:sz w:val="22"/>
              <w:szCs w:val="22"/>
            </w:rPr>
            <w:t>/</w:t>
          </w:r>
          <w:r w:rsidRPr="00C5646D">
            <w:rPr>
              <w:bCs/>
              <w:iCs/>
              <w:sz w:val="22"/>
              <w:szCs w:val="22"/>
            </w:rPr>
            <w:t>n Expert</w:t>
          </w:r>
          <w:r>
            <w:rPr>
              <w:bCs/>
              <w:iCs/>
              <w:sz w:val="22"/>
              <w:szCs w:val="22"/>
            </w:rPr>
            <w:t>in/</w:t>
          </w:r>
          <w:r w:rsidRPr="00C5646D">
            <w:rPr>
              <w:bCs/>
              <w:iCs/>
              <w:sz w:val="22"/>
              <w:szCs w:val="22"/>
            </w:rPr>
            <w:t>en mit Kenntnissen im EU-Verbraucherrecht und Interesse an digitalen Verbrauchermärkten.</w:t>
          </w:r>
        </w:p>
        <w:p w14:paraId="6F780FA3" w14:textId="77777777" w:rsidR="00D61D55" w:rsidRPr="00C5646D" w:rsidRDefault="00D61D55" w:rsidP="00D61D55">
          <w:pPr>
            <w:suppressAutoHyphens/>
            <w:spacing w:after="120"/>
            <w:ind w:right="9"/>
            <w:rPr>
              <w:bCs/>
              <w:iCs/>
              <w:sz w:val="22"/>
              <w:szCs w:val="22"/>
            </w:rPr>
          </w:pPr>
          <w:r w:rsidRPr="00C5646D">
            <w:rPr>
              <w:bCs/>
              <w:iCs/>
              <w:sz w:val="22"/>
              <w:szCs w:val="22"/>
            </w:rPr>
            <w:t>Die Stelle umfasst die folgenden Aufgaben:</w:t>
          </w:r>
        </w:p>
        <w:p w14:paraId="33123CB6" w14:textId="77777777" w:rsidR="00D61D55" w:rsidRDefault="00D61D55" w:rsidP="00D61D55">
          <w:pPr>
            <w:suppressAutoHyphens/>
            <w:spacing w:after="120"/>
            <w:ind w:right="9"/>
            <w:rPr>
              <w:b/>
              <w:i/>
              <w:sz w:val="22"/>
              <w:szCs w:val="22"/>
            </w:rPr>
          </w:pPr>
        </w:p>
        <w:p w14:paraId="5DAFE570" w14:textId="77777777" w:rsidR="00D61D55" w:rsidRPr="003C0D47" w:rsidRDefault="00D61D55" w:rsidP="00D61D55">
          <w:pPr>
            <w:suppressAutoHyphens/>
            <w:spacing w:after="120"/>
            <w:ind w:right="9"/>
            <w:rPr>
              <w:b/>
              <w:sz w:val="22"/>
              <w:szCs w:val="22"/>
            </w:rPr>
          </w:pPr>
          <w:r w:rsidRPr="003C0D47">
            <w:rPr>
              <w:b/>
              <w:i/>
              <w:sz w:val="22"/>
              <w:szCs w:val="22"/>
            </w:rPr>
            <w:t>Gesetzgebung und Rechtsdurchsetzung</w:t>
          </w:r>
          <w:r w:rsidRPr="003C0D47">
            <w:rPr>
              <w:b/>
              <w:sz w:val="22"/>
              <w:szCs w:val="22"/>
            </w:rPr>
            <w:t>:</w:t>
          </w:r>
        </w:p>
        <w:p w14:paraId="4001D2ED" w14:textId="77777777" w:rsidR="00D61D55" w:rsidRDefault="00D61D55" w:rsidP="00D61D55">
          <w:pPr>
            <w:numPr>
              <w:ilvl w:val="0"/>
              <w:numId w:val="30"/>
            </w:numPr>
            <w:spacing w:after="120"/>
            <w:ind w:left="186" w:right="1315" w:hanging="186"/>
            <w:rPr>
              <w:sz w:val="22"/>
              <w:szCs w:val="22"/>
            </w:rPr>
          </w:pPr>
          <w:r w:rsidRPr="00024F26">
            <w:rPr>
              <w:sz w:val="22"/>
              <w:szCs w:val="22"/>
            </w:rPr>
            <w:t xml:space="preserve">Beitrag zur Weiterverfolgung des Fitness-Checks der EU-Verbraucherschutzvorschriften hinsichtlich digitaler </w:t>
          </w:r>
          <w:r>
            <w:rPr>
              <w:sz w:val="22"/>
              <w:szCs w:val="22"/>
            </w:rPr>
            <w:t>Gerechtigkeit</w:t>
          </w:r>
          <w:r w:rsidRPr="00024F26">
            <w:rPr>
              <w:sz w:val="22"/>
              <w:szCs w:val="22"/>
            </w:rPr>
            <w:t xml:space="preserve">, auch im Hinblick auf neu auftretende Risiken im Zusammenhang mit </w:t>
          </w:r>
          <w:r>
            <w:rPr>
              <w:sz w:val="22"/>
              <w:szCs w:val="22"/>
            </w:rPr>
            <w:t>„</w:t>
          </w:r>
          <w:r w:rsidRPr="00024F26">
            <w:rPr>
              <w:sz w:val="22"/>
              <w:szCs w:val="22"/>
            </w:rPr>
            <w:t>Dark Patterns</w:t>
          </w:r>
          <w:r>
            <w:rPr>
              <w:sz w:val="22"/>
              <w:szCs w:val="22"/>
            </w:rPr>
            <w:t>“</w:t>
          </w:r>
          <w:r w:rsidRPr="00024F26">
            <w:rPr>
              <w:sz w:val="22"/>
              <w:szCs w:val="22"/>
            </w:rPr>
            <w:t>, Personalisierungspraktiken und suchtartigem Design;</w:t>
          </w:r>
        </w:p>
        <w:p w14:paraId="2105B4C0"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Beitrag zur korrekten Umsetzung</w:t>
          </w:r>
          <w:r>
            <w:rPr>
              <w:sz w:val="22"/>
              <w:szCs w:val="22"/>
            </w:rPr>
            <w:t xml:space="preserve"> und Anwendung sowie zur </w:t>
          </w:r>
          <w:r w:rsidRPr="003C0D47">
            <w:rPr>
              <w:sz w:val="22"/>
              <w:szCs w:val="22"/>
            </w:rPr>
            <w:t>weiteren Entwicklung des EU-Verbraucherschutzrechts innerhalb des Verantwortungsbereiches des Referats (u.a. Richtlinien zu unlauteren Geschäftspraktiken, missbräuchlichen Vertragsklauseln, Verbraucherrechten, Preisangaben, Pauschalreisen, Unterlassungsklagen), einschließlich Überprüfung nationaler Umsetzungsmaßnahmen, Bearbeitung von Vertragsverletzungsverfahren</w:t>
          </w:r>
          <w:r>
            <w:rPr>
              <w:sz w:val="22"/>
              <w:szCs w:val="22"/>
            </w:rPr>
            <w:t xml:space="preserve"> und</w:t>
          </w:r>
          <w:r w:rsidRPr="003C0D47">
            <w:rPr>
              <w:sz w:val="22"/>
              <w:szCs w:val="22"/>
            </w:rPr>
            <w:t xml:space="preserve"> Beschwerden </w:t>
          </w:r>
          <w:r>
            <w:rPr>
              <w:sz w:val="22"/>
              <w:szCs w:val="22"/>
            </w:rPr>
            <w:t xml:space="preserve">sowie Beitrag zu </w:t>
          </w:r>
          <w:r w:rsidRPr="003C0D47">
            <w:rPr>
              <w:sz w:val="22"/>
              <w:szCs w:val="22"/>
            </w:rPr>
            <w:t>Vorabentscheidungsverfahren vor dem Gerichtshof der Europäischen Union;</w:t>
          </w:r>
        </w:p>
        <w:p w14:paraId="72F3FDBE"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 xml:space="preserve">Unterstützung zur besseren Durchsetzung des EU-Rechts durch die Behörden der Mitgliedstaaten, u.a. durch Förderung einer einheitlichen Auslegung mit Hilfe von Leitfäden. </w:t>
          </w:r>
        </w:p>
        <w:p w14:paraId="155A539E" w14:textId="77777777" w:rsidR="00D61D55" w:rsidRPr="003C0D47" w:rsidRDefault="00D61D55" w:rsidP="00D61D55">
          <w:pPr>
            <w:spacing w:after="120"/>
            <w:ind w:right="1317"/>
            <w:rPr>
              <w:b/>
              <w:i/>
              <w:sz w:val="22"/>
              <w:szCs w:val="22"/>
            </w:rPr>
          </w:pPr>
          <w:r w:rsidRPr="003C0D47">
            <w:rPr>
              <w:b/>
              <w:i/>
              <w:sz w:val="22"/>
              <w:szCs w:val="22"/>
            </w:rPr>
            <w:t>Rechtliche Bewertung und Entwicklung politischer Leitlinien:</w:t>
          </w:r>
        </w:p>
        <w:p w14:paraId="454695F6"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 xml:space="preserve">Rechtzeitige Beantwortung von Konsultationen anderer Kommissionsdienststellen, parlamentarischen Anfragen und Petitionen; </w:t>
          </w:r>
        </w:p>
        <w:p w14:paraId="3FF3D5BC"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Zusammenarbeit mit anderen Kommissionsdienststellen und Teilnahme an aus verschiedenen Dienststellen zusammengesetzten Arbeitsgruppen;</w:t>
          </w:r>
        </w:p>
        <w:p w14:paraId="085B5F32"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 xml:space="preserve">Beitrag zur Überprüfung des Verbraucher- und Marketingrechts von Drittstaaten im Rahmen der </w:t>
          </w:r>
          <w:r>
            <w:rPr>
              <w:sz w:val="22"/>
              <w:szCs w:val="22"/>
            </w:rPr>
            <w:t xml:space="preserve">europäischen </w:t>
          </w:r>
          <w:r w:rsidRPr="003C0D47">
            <w:rPr>
              <w:sz w:val="22"/>
              <w:szCs w:val="22"/>
            </w:rPr>
            <w:t>Nachbarschafts- und Erweiterungspol</w:t>
          </w:r>
          <w:r>
            <w:rPr>
              <w:sz w:val="22"/>
              <w:szCs w:val="22"/>
            </w:rPr>
            <w:t>i</w:t>
          </w:r>
          <w:r w:rsidRPr="003C0D47">
            <w:rPr>
              <w:sz w:val="22"/>
              <w:szCs w:val="22"/>
            </w:rPr>
            <w:t xml:space="preserve">tik.  </w:t>
          </w:r>
        </w:p>
        <w:p w14:paraId="345FC919" w14:textId="77777777" w:rsidR="00D61D55" w:rsidRPr="003C0D47" w:rsidRDefault="00D61D55" w:rsidP="00D61D55">
          <w:pPr>
            <w:spacing w:after="120"/>
            <w:ind w:right="1315"/>
            <w:rPr>
              <w:b/>
              <w:i/>
              <w:sz w:val="22"/>
              <w:szCs w:val="22"/>
            </w:rPr>
          </w:pPr>
          <w:r w:rsidRPr="003C0D47">
            <w:rPr>
              <w:b/>
              <w:i/>
              <w:sz w:val="22"/>
              <w:szCs w:val="22"/>
            </w:rPr>
            <w:t>Interne Kommunikation:</w:t>
          </w:r>
        </w:p>
        <w:p w14:paraId="59B285F1"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Gewährleistung eines effizienten und transparenten Informationsflusses innerhalb des Referats</w:t>
          </w:r>
          <w:r>
            <w:rPr>
              <w:sz w:val="22"/>
              <w:szCs w:val="22"/>
            </w:rPr>
            <w:t xml:space="preserve">, </w:t>
          </w:r>
          <w:r w:rsidRPr="003C0D47">
            <w:rPr>
              <w:sz w:val="22"/>
              <w:szCs w:val="22"/>
            </w:rPr>
            <w:t xml:space="preserve">der Generaldirektion </w:t>
          </w:r>
          <w:r>
            <w:rPr>
              <w:sz w:val="22"/>
              <w:szCs w:val="22"/>
            </w:rPr>
            <w:t xml:space="preserve">und/oder des </w:t>
          </w:r>
          <w:r w:rsidRPr="003C0D47">
            <w:rPr>
              <w:sz w:val="22"/>
              <w:szCs w:val="22"/>
            </w:rPr>
            <w:t>Kabinett</w:t>
          </w:r>
          <w:r>
            <w:rPr>
              <w:sz w:val="22"/>
              <w:szCs w:val="22"/>
            </w:rPr>
            <w:t>s</w:t>
          </w:r>
          <w:r w:rsidRPr="003C0D47">
            <w:rPr>
              <w:sz w:val="22"/>
              <w:szCs w:val="22"/>
            </w:rPr>
            <w:t>, um die reibungslose Bearbeitung von Angelegenheiten zu erleichtern.</w:t>
          </w:r>
        </w:p>
        <w:p w14:paraId="30C961CB" w14:textId="77777777" w:rsidR="00D61D55" w:rsidRPr="003C0D47" w:rsidRDefault="00D61D55" w:rsidP="00D61D55">
          <w:pPr>
            <w:spacing w:after="120"/>
            <w:ind w:right="1315"/>
            <w:rPr>
              <w:b/>
              <w:i/>
              <w:sz w:val="22"/>
              <w:szCs w:val="22"/>
            </w:rPr>
          </w:pPr>
          <w:r w:rsidRPr="003C0D47">
            <w:rPr>
              <w:b/>
              <w:i/>
              <w:sz w:val="22"/>
              <w:szCs w:val="22"/>
            </w:rPr>
            <w:t>Externe Kommunikation:</w:t>
          </w:r>
        </w:p>
        <w:p w14:paraId="38B96A29" w14:textId="77777777" w:rsidR="00D61D55" w:rsidRPr="003C0D47" w:rsidRDefault="00D61D55" w:rsidP="00D61D55">
          <w:pPr>
            <w:numPr>
              <w:ilvl w:val="0"/>
              <w:numId w:val="30"/>
            </w:numPr>
            <w:spacing w:after="120"/>
            <w:ind w:left="186" w:right="1315" w:hanging="186"/>
            <w:rPr>
              <w:sz w:val="22"/>
              <w:szCs w:val="22"/>
            </w:rPr>
          </w:pPr>
          <w:r w:rsidRPr="003C0D47">
            <w:rPr>
              <w:sz w:val="22"/>
              <w:szCs w:val="22"/>
            </w:rPr>
            <w:t xml:space="preserve">Anfertigung von </w:t>
          </w:r>
          <w:r>
            <w:rPr>
              <w:sz w:val="22"/>
              <w:szCs w:val="22"/>
            </w:rPr>
            <w:t>Vorlagen</w:t>
          </w:r>
          <w:r w:rsidRPr="003C0D47">
            <w:rPr>
              <w:sz w:val="22"/>
              <w:szCs w:val="22"/>
            </w:rPr>
            <w:t>, Reden, Presse-Materialien für den/die Kommissar/in, das Kabinett und d</w:t>
          </w:r>
          <w:r>
            <w:rPr>
              <w:sz w:val="22"/>
              <w:szCs w:val="22"/>
            </w:rPr>
            <w:t>ie Leitung der Generaldirektion</w:t>
          </w:r>
          <w:r w:rsidRPr="003C0D47">
            <w:rPr>
              <w:sz w:val="22"/>
              <w:szCs w:val="22"/>
            </w:rPr>
            <w:t>;</w:t>
          </w:r>
        </w:p>
        <w:p w14:paraId="3C2A7053" w14:textId="77777777" w:rsidR="00D61D55" w:rsidRPr="009436B2" w:rsidRDefault="00D61D55" w:rsidP="00D61D55">
          <w:pPr>
            <w:numPr>
              <w:ilvl w:val="0"/>
              <w:numId w:val="30"/>
            </w:numPr>
            <w:spacing w:after="120"/>
            <w:ind w:left="186" w:right="1315" w:hanging="186"/>
            <w:rPr>
              <w:b/>
              <w:sz w:val="22"/>
              <w:szCs w:val="22"/>
            </w:rPr>
          </w:pPr>
          <w:r w:rsidRPr="003C0D47">
            <w:rPr>
              <w:sz w:val="22"/>
              <w:szCs w:val="22"/>
            </w:rPr>
            <w:t>Präsentation von intern abgestimmten Positionen gegenüber externen Interessenvertretern und Einholung von Informationen von diesen.</w:t>
          </w:r>
        </w:p>
        <w:p w14:paraId="64E136A2" w14:textId="77777777" w:rsidR="00D61D55" w:rsidRPr="009F216F" w:rsidRDefault="004E05C7" w:rsidP="00D61D55">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8E73652" w14:textId="77777777" w:rsidR="00D61D55" w:rsidRDefault="00D61D55" w:rsidP="009321C6">
          <w:pPr>
            <w:rPr>
              <w:lang w:val="en-US" w:eastAsia="en-GB"/>
            </w:rPr>
          </w:pPr>
        </w:p>
        <w:tbl>
          <w:tblPr>
            <w:tblW w:w="9322" w:type="dxa"/>
            <w:jc w:val="center"/>
            <w:tblLayout w:type="fixed"/>
            <w:tblLook w:val="01E0" w:firstRow="1" w:lastRow="1" w:firstColumn="1" w:lastColumn="1" w:noHBand="0" w:noVBand="0"/>
          </w:tblPr>
          <w:tblGrid>
            <w:gridCol w:w="9322"/>
          </w:tblGrid>
          <w:tr w:rsidR="00D61D55" w:rsidRPr="00527871" w14:paraId="20F0F838" w14:textId="77777777" w:rsidTr="00643B20">
            <w:trPr>
              <w:jc w:val="center"/>
            </w:trPr>
            <w:tc>
              <w:tcPr>
                <w:tcW w:w="8916" w:type="dxa"/>
                <w:tcBorders>
                  <w:left w:val="nil"/>
                  <w:right w:val="single" w:sz="4" w:space="0" w:color="auto"/>
                </w:tcBorders>
              </w:tcPr>
              <w:p w14:paraId="4FD7B2BE" w14:textId="7509493A" w:rsidR="00D61D55" w:rsidRPr="00527871" w:rsidRDefault="00D61D55" w:rsidP="00D61D55">
                <w:pPr>
                  <w:tabs>
                    <w:tab w:val="left" w:pos="317"/>
                  </w:tabs>
                  <w:ind w:left="328" w:right="212"/>
                  <w:rPr>
                    <w:sz w:val="22"/>
                    <w:szCs w:val="22"/>
                  </w:rPr>
                </w:pPr>
                <w:r w:rsidRPr="00527871">
                  <w:rPr>
                    <w:sz w:val="22"/>
                    <w:szCs w:val="22"/>
                  </w:rPr>
                  <w:t>Berufserfahrung:</w:t>
                </w:r>
                <w:r>
                  <w:rPr>
                    <w:sz w:val="22"/>
                    <w:szCs w:val="22"/>
                  </w:rPr>
                  <w:t xml:space="preserve"> Vorherige berufliche Erfahrung im Zusammenhang mit der Anwendung von verbraucherschutz-, datenschutz- oder wettbewerbsrechtlichen Vorschriften wäre von Vorteil. </w:t>
                </w:r>
              </w:p>
            </w:tc>
          </w:tr>
          <w:tr w:rsidR="00D61D55" w:rsidRPr="00527871" w14:paraId="21FB813F" w14:textId="77777777" w:rsidTr="00643B20">
            <w:trPr>
              <w:trHeight w:val="95"/>
              <w:jc w:val="center"/>
            </w:trPr>
            <w:tc>
              <w:tcPr>
                <w:tcW w:w="8916" w:type="dxa"/>
                <w:tcBorders>
                  <w:left w:val="nil"/>
                  <w:right w:val="single" w:sz="4" w:space="0" w:color="auto"/>
                </w:tcBorders>
              </w:tcPr>
              <w:p w14:paraId="576F43F9" w14:textId="77777777" w:rsidR="00D61D55" w:rsidRDefault="00D61D55" w:rsidP="00643B20">
                <w:pPr>
                  <w:tabs>
                    <w:tab w:val="left" w:pos="317"/>
                  </w:tabs>
                  <w:ind w:right="212"/>
                  <w:rPr>
                    <w:sz w:val="22"/>
                    <w:szCs w:val="22"/>
                  </w:rPr>
                </w:pPr>
                <w:r w:rsidRPr="00527871">
                  <w:rPr>
                    <w:sz w:val="22"/>
                    <w:szCs w:val="22"/>
                  </w:rPr>
                  <w:tab/>
                  <w:t>Zur Ausübung der Tätigkeit erforderliche Sprachkenntnisse:</w:t>
                </w:r>
                <w:r>
                  <w:rPr>
                    <w:sz w:val="22"/>
                    <w:szCs w:val="22"/>
                  </w:rPr>
                  <w:t xml:space="preserve"> </w:t>
                </w:r>
                <w:r w:rsidRPr="000D1DEF">
                  <w:rPr>
                    <w:b/>
                    <w:sz w:val="22"/>
                    <w:szCs w:val="22"/>
                  </w:rPr>
                  <w:t>Englisch und Französisch</w:t>
                </w:r>
                <w:r>
                  <w:rPr>
                    <w:sz w:val="22"/>
                    <w:szCs w:val="22"/>
                  </w:rPr>
                  <w:t>.</w:t>
                </w:r>
              </w:p>
              <w:p w14:paraId="55FF07EB" w14:textId="7ACF8854" w:rsidR="00D61D55" w:rsidRPr="00527871" w:rsidRDefault="004E05C7" w:rsidP="00D61D55">
                <w:pPr>
                  <w:tabs>
                    <w:tab w:val="left" w:pos="317"/>
                  </w:tabs>
                  <w:spacing w:after="0"/>
                  <w:ind w:right="210"/>
                  <w:rPr>
                    <w:sz w:val="22"/>
                    <w:szCs w:val="22"/>
                  </w:rPr>
                </w:pPr>
                <w:r>
                  <w:rPr>
                    <w:sz w:val="22"/>
                    <w:szCs w:val="22"/>
                  </w:rPr>
                  <w:t xml:space="preserve">      </w:t>
                </w:r>
                <w:r w:rsidR="00D61D55" w:rsidRPr="00527871">
                  <w:rPr>
                    <w:sz w:val="22"/>
                    <w:szCs w:val="22"/>
                  </w:rPr>
                  <w:t>Bildungsabschluss</w:t>
                </w:r>
                <w:r w:rsidR="00D61D55">
                  <w:rPr>
                    <w:sz w:val="22"/>
                    <w:szCs w:val="22"/>
                  </w:rPr>
                  <w:t xml:space="preserve"> </w:t>
                </w:r>
                <w:r w:rsidR="00D61D55" w:rsidRPr="00DF1D3A">
                  <w:rPr>
                    <w:sz w:val="22"/>
                    <w:szCs w:val="22"/>
                  </w:rPr>
                  <w:t>(Ändern Sie den Absatz nicht, sondern füllen Sie nur d</w:t>
                </w:r>
                <w:r w:rsidR="00D61D55">
                  <w:rPr>
                    <w:sz w:val="22"/>
                    <w:szCs w:val="22"/>
                  </w:rPr>
                  <w:t>en</w:t>
                </w:r>
                <w:r w:rsidR="00D61D55" w:rsidRPr="00DF1D3A">
                  <w:rPr>
                    <w:sz w:val="22"/>
                    <w:szCs w:val="22"/>
                  </w:rPr>
                  <w:t xml:space="preserve"> </w:t>
                </w:r>
                <w:r w:rsidR="00D61D55" w:rsidRPr="00DF1D3A">
                  <w:rPr>
                    <w:sz w:val="22"/>
                    <w:szCs w:val="22"/>
                  </w:rPr>
                  <w:tab/>
                  <w:t>Bereich aus)</w:t>
                </w:r>
              </w:p>
              <w:p w14:paraId="33DF9E02" w14:textId="77777777" w:rsidR="00D61D55" w:rsidRPr="00527871" w:rsidRDefault="00D61D55" w:rsidP="00D61D55">
                <w:pPr>
                  <w:tabs>
                    <w:tab w:val="left" w:pos="317"/>
                  </w:tabs>
                  <w:spacing w:after="0"/>
                  <w:ind w:right="210"/>
                  <w:rPr>
                    <w:sz w:val="22"/>
                    <w:szCs w:val="22"/>
                  </w:rPr>
                </w:pPr>
                <w:r w:rsidRPr="00527871">
                  <w:rPr>
                    <w:sz w:val="22"/>
                    <w:szCs w:val="22"/>
                  </w:rPr>
                  <w:tab/>
                  <w:t>- ein Universitätsabschluss oder</w:t>
                </w:r>
              </w:p>
              <w:p w14:paraId="24BD9230" w14:textId="77777777" w:rsidR="00D61D55" w:rsidRPr="00527871" w:rsidRDefault="00D61D55" w:rsidP="00D61D55">
                <w:pPr>
                  <w:tabs>
                    <w:tab w:val="left" w:pos="317"/>
                  </w:tabs>
                  <w:spacing w:after="0"/>
                  <w:ind w:right="210"/>
                  <w:rPr>
                    <w:sz w:val="22"/>
                    <w:szCs w:val="22"/>
                  </w:rPr>
                </w:pPr>
                <w:r w:rsidRPr="00527871">
                  <w:rPr>
                    <w:sz w:val="22"/>
                    <w:szCs w:val="22"/>
                  </w:rPr>
                  <w:tab/>
                  <w:t>- eine gleichwertige Berufsausbildung oder Berufserfahrung</w:t>
                </w:r>
              </w:p>
              <w:p w14:paraId="179DFEA7" w14:textId="77777777" w:rsidR="00D61D55" w:rsidRPr="00527871" w:rsidRDefault="00D61D55" w:rsidP="00D61D55">
                <w:pPr>
                  <w:tabs>
                    <w:tab w:val="left" w:pos="317"/>
                  </w:tabs>
                  <w:spacing w:after="0"/>
                  <w:ind w:right="210"/>
                  <w:rPr>
                    <w:sz w:val="22"/>
                    <w:szCs w:val="22"/>
                  </w:rPr>
                </w:pPr>
              </w:p>
              <w:p w14:paraId="233EFD86" w14:textId="77777777" w:rsidR="00D61D55" w:rsidRDefault="00D61D55" w:rsidP="00D61D55">
                <w:pPr>
                  <w:tabs>
                    <w:tab w:val="left" w:pos="317"/>
                  </w:tabs>
                  <w:spacing w:after="0"/>
                  <w:ind w:right="210"/>
                  <w:rPr>
                    <w:sz w:val="22"/>
                    <w:szCs w:val="22"/>
                  </w:rPr>
                </w:pPr>
                <w:r w:rsidRPr="00527871">
                  <w:rPr>
                    <w:sz w:val="22"/>
                    <w:szCs w:val="22"/>
                  </w:rPr>
                  <w:tab/>
                  <w:t>im Bereich</w:t>
                </w:r>
                <w:r>
                  <w:rPr>
                    <w:sz w:val="22"/>
                    <w:szCs w:val="22"/>
                  </w:rPr>
                  <w:t xml:space="preserve">: </w:t>
                </w:r>
                <w:r w:rsidRPr="00630C7F">
                  <w:rPr>
                    <w:b/>
                    <w:sz w:val="22"/>
                    <w:szCs w:val="22"/>
                    <w:u w:val="single"/>
                  </w:rPr>
                  <w:t>Rechtswissenschaften</w:t>
                </w:r>
              </w:p>
              <w:p w14:paraId="3BEB894C" w14:textId="77777777" w:rsidR="00D61D55" w:rsidRDefault="00D61D55" w:rsidP="00643B20">
                <w:pPr>
                  <w:tabs>
                    <w:tab w:val="left" w:pos="317"/>
                  </w:tabs>
                  <w:ind w:right="212"/>
                  <w:rPr>
                    <w:sz w:val="22"/>
                    <w:szCs w:val="22"/>
                  </w:rPr>
                </w:pPr>
              </w:p>
              <w:p w14:paraId="628F9A2C" w14:textId="77777777" w:rsidR="00D61D55" w:rsidRDefault="00D61D55" w:rsidP="00643B20">
                <w:pPr>
                  <w:tabs>
                    <w:tab w:val="left" w:pos="317"/>
                  </w:tabs>
                  <w:ind w:right="212"/>
                  <w:rPr>
                    <w:sz w:val="22"/>
                    <w:szCs w:val="22"/>
                  </w:rPr>
                </w:pPr>
              </w:p>
              <w:p w14:paraId="3A1A6759" w14:textId="77777777" w:rsidR="00D61D55" w:rsidRPr="00527871" w:rsidRDefault="00D61D55" w:rsidP="00643B20">
                <w:pPr>
                  <w:ind w:right="212"/>
                  <w:rPr>
                    <w:sz w:val="22"/>
                    <w:szCs w:val="22"/>
                  </w:rPr>
                </w:pPr>
              </w:p>
            </w:tc>
          </w:tr>
        </w:tbl>
        <w:p w14:paraId="2A0F153A" w14:textId="6B495FA5" w:rsidR="009321C6" w:rsidRPr="009F216F" w:rsidRDefault="004E05C7"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57315DD"/>
    <w:multiLevelType w:val="hybridMultilevel"/>
    <w:tmpl w:val="59F47548"/>
    <w:lvl w:ilvl="0" w:tplc="0EB0FB2C">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858574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4E05C7"/>
    <w:rsid w:val="00546DB1"/>
    <w:rsid w:val="006243BB"/>
    <w:rsid w:val="00676119"/>
    <w:rsid w:val="006E7446"/>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61D55"/>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3721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3721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0821D645C9849BA8C7E02F093418EB4"/>
        <w:category>
          <w:name w:val="General"/>
          <w:gallery w:val="placeholder"/>
        </w:category>
        <w:types>
          <w:type w:val="bbPlcHdr"/>
        </w:types>
        <w:behaviors>
          <w:behavior w:val="content"/>
        </w:behaviors>
        <w:guid w:val="{03674FDA-A089-4A82-8FC0-58FBE7B7B72B}"/>
      </w:docPartPr>
      <w:docPartBody>
        <w:p w:rsidR="008468AE" w:rsidRDefault="008468AE" w:rsidP="008468AE">
          <w:pPr>
            <w:pStyle w:val="00821D645C9849BA8C7E02F093418EB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37210"/>
    <w:rsid w:val="008468AE"/>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468AE"/>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00821D645C9849BA8C7E02F093418EB4">
    <w:name w:val="00821D645C9849BA8C7E02F093418EB4"/>
    <w:rsid w:val="008468A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A3D1204C4C564E9F6CA6109257B102" ma:contentTypeVersion="5" ma:contentTypeDescription="Create a new document." ma:contentTypeScope="" ma:versionID="795877ebf32fc136a0f62273a9c15cf0">
  <xsd:schema xmlns:xsd="http://www.w3.org/2001/XMLSchema" xmlns:xs="http://www.w3.org/2001/XMLSchema" xmlns:p="http://schemas.microsoft.com/office/2006/metadata/properties" targetNamespace="http://schemas.microsoft.com/office/2006/metadata/properties" ma:root="true" ma:fieldsID="c723d7248c9a832f50fd04b6128f7c7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7F2A11F-46B8-4EEC-9562-64F15EA042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36F1E0-4E83-4F77-ABE4-452491B95FD6}">
  <ds:schemaRefs>
    <ds:schemaRef ds:uri="http://schemas.microsoft.com/sharepoint/v3/contenttype/forms"/>
  </ds:schemaRefs>
</ds:datastoreItem>
</file>

<file path=customXml/itemProps4.xml><?xml version="1.0" encoding="utf-8"?>
<ds:datastoreItem xmlns:ds="http://schemas.openxmlformats.org/officeDocument/2006/customXml" ds:itemID="{E43F127D-D86C-4B04-809E-77A7AC223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1187</Words>
  <Characters>6805</Characters>
  <Application>Microsoft Office Word</Application>
  <DocSecurity>0</DocSecurity>
  <PresentationFormat>Microsoft Word 14.0</PresentationFormat>
  <Lines>174</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PENZES Dorina (JUST)</cp:lastModifiedBy>
  <cp:revision>3</cp:revision>
  <dcterms:created xsi:type="dcterms:W3CDTF">2024-06-07T16:21:00Z</dcterms:created>
  <dcterms:modified xsi:type="dcterms:W3CDTF">2024-06-07T16:29:00Z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0x010100C7A3D1204C4C564E9F6CA6109257B102</vt:lpwstr>
  </property>
  <property fmtid="{D5CDD505-2E9C-101B-9397-08002B2CF9AE}" pid="10" name="Order">
    <vt:r8>31700</vt:r8>
  </property>
</Properties>
</file>