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5648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5648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5648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5648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5648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5648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5418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FF46241306F94898A16ABEFCDDACB126"/>
                </w:placeholder>
              </w:sdtPr>
              <w:sdtEndPr>
                <w:rPr>
                  <w:lang w:val="en-IE"/>
                </w:rPr>
              </w:sdtEndPr>
              <w:sdtContent>
                <w:tc>
                  <w:tcPr>
                    <w:tcW w:w="5491" w:type="dxa"/>
                  </w:tcPr>
                  <w:p w14:paraId="2AA4F572" w14:textId="645A5AFF" w:rsidR="00377580" w:rsidRPr="00080A71" w:rsidRDefault="00745041" w:rsidP="005F6927">
                    <w:pPr>
                      <w:tabs>
                        <w:tab w:val="left" w:pos="426"/>
                      </w:tabs>
                      <w:rPr>
                        <w:bCs/>
                        <w:lang w:val="en-IE" w:eastAsia="en-GB"/>
                      </w:rPr>
                    </w:pPr>
                    <w:r>
                      <w:rPr>
                        <w:bCs/>
                        <w:lang w:val="en-IE" w:eastAsia="en-GB"/>
                      </w:rPr>
                      <w:t>EMPL E.2</w:t>
                    </w:r>
                  </w:p>
                </w:tc>
              </w:sdtContent>
            </w:sdt>
          </w:sdtContent>
        </w:sdt>
      </w:tr>
      <w:tr w:rsidR="00377580" w:rsidRPr="00C5418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939123416"/>
                <w:placeholder>
                  <w:docPart w:val="EF0969372A2141B88E90A3771CDDA7DD"/>
                </w:placeholder>
              </w:sdtPr>
              <w:sdtEndPr>
                <w:rPr>
                  <w:lang w:val="en-IE"/>
                </w:rPr>
              </w:sdtEndPr>
              <w:sdtContent>
                <w:tc>
                  <w:tcPr>
                    <w:tcW w:w="5491" w:type="dxa"/>
                  </w:tcPr>
                  <w:p w14:paraId="51C87C16" w14:textId="39EF5287" w:rsidR="00377580" w:rsidRPr="00080A71" w:rsidRDefault="00745041" w:rsidP="005F6927">
                    <w:pPr>
                      <w:tabs>
                        <w:tab w:val="left" w:pos="426"/>
                      </w:tabs>
                      <w:rPr>
                        <w:bCs/>
                        <w:lang w:val="en-IE" w:eastAsia="en-GB"/>
                      </w:rPr>
                    </w:pPr>
                    <w:r>
                      <w:rPr>
                        <w:bCs/>
                        <w:lang w:val="en-IE" w:eastAsia="en-GB"/>
                      </w:rPr>
                      <w:t>5868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103DB8D" w:rsidR="00377580" w:rsidRPr="00F5648A" w:rsidRDefault="00F41A97" w:rsidP="005F6927">
                <w:pPr>
                  <w:tabs>
                    <w:tab w:val="left" w:pos="426"/>
                  </w:tabs>
                  <w:rPr>
                    <w:bCs/>
                    <w:lang w:val="fr-BE" w:eastAsia="en-GB"/>
                  </w:rPr>
                </w:pPr>
                <w:r>
                  <w:rPr>
                    <w:bCs/>
                    <w:lang w:val="fr-BE" w:eastAsia="en-GB"/>
                  </w:rPr>
                  <w:t>David Pascal DION</w:t>
                </w:r>
              </w:p>
            </w:sdtContent>
          </w:sdt>
          <w:p w14:paraId="32DD8032" w14:textId="31274A21" w:rsidR="00377580" w:rsidRPr="001D3EEC" w:rsidRDefault="00745041" w:rsidP="005F6927">
            <w:pPr>
              <w:tabs>
                <w:tab w:val="left" w:pos="426"/>
              </w:tabs>
              <w:contextualSpacing/>
              <w:rPr>
                <w:bCs/>
                <w:lang w:val="fr-BE" w:eastAsia="en-GB"/>
              </w:rPr>
            </w:pPr>
            <w:r>
              <w:rPr>
                <w:bCs/>
                <w:lang w:val="fr-BE" w:eastAsia="en-GB"/>
              </w:rPr>
              <w:t>4ème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F5648A">
                      <w:rPr>
                        <w:bCs/>
                        <w:lang w:val="fr-BE" w:eastAsia="en-GB"/>
                      </w:rPr>
                      <w:t>2024</w:t>
                    </w:r>
                  </w:sdtContent>
                </w:sdt>
              </w:sdtContent>
            </w:sdt>
            <w:r w:rsidR="00377580" w:rsidRPr="001D3EEC">
              <w:rPr>
                <w:bCs/>
                <w:lang w:val="fr-BE" w:eastAsia="en-GB"/>
              </w:rPr>
              <w:t xml:space="preserve"> </w:t>
            </w:r>
          </w:p>
          <w:p w14:paraId="768BBE26" w14:textId="19612CCF" w:rsidR="00377580" w:rsidRPr="001D3EEC" w:rsidRDefault="00F5648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4504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4504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15FE7DE4"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1948B23"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F5648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5648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5648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BE9BD7C"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5pt;height:21.5pt" o:ole="">
                  <v:imagedata r:id="rId20" o:title=""/>
                </v:shape>
                <w:control r:id="rId21" w:name="OptionButton5" w:shapeid="_x0000_i1043"/>
              </w:object>
            </w:r>
          </w:p>
        </w:tc>
      </w:tr>
      <w:tr w:rsidR="00E850B7" w:rsidRPr="00C5418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F13E1BB" w:rsidR="006B47B6" w:rsidRPr="00F5648A"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5pt" o:ole="">
                  <v:imagedata r:id="rId22" o:title=""/>
                </v:shape>
                <w:control r:id="rId23" w:name="OptionButton2" w:shapeid="_x0000_i1045"/>
              </w:object>
            </w:r>
            <w:r>
              <w:rPr>
                <w:bCs/>
                <w:szCs w:val="24"/>
                <w:lang w:val="en-GB" w:eastAsia="en-GB"/>
              </w:rPr>
              <w:object w:dxaOrig="1440" w:dyaOrig="1440" w14:anchorId="7A15FAEE">
                <v:shape id="_x0000_i1049" type="#_x0000_t75" style="width:108pt;height:21.5pt" o:ole="">
                  <v:imagedata r:id="rId24" o:title=""/>
                </v:shape>
                <w:control r:id="rId25" w:name="OptionButton3" w:shapeid="_x0000_i1049"/>
              </w:object>
            </w: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870923D" w14:textId="77777777" w:rsidR="00C54184" w:rsidRPr="00C54184" w:rsidRDefault="00C54184" w:rsidP="00C54184">
          <w:pPr>
            <w:rPr>
              <w:lang w:val="fr-BE" w:eastAsia="en-GB"/>
            </w:rPr>
          </w:pPr>
          <w:r w:rsidRPr="00C54184">
            <w:rPr>
              <w:lang w:val="fr-BE" w:eastAsia="en-GB"/>
            </w:rPr>
            <w:t xml:space="preserve">L’unité E2 a pour mission de contribuer au bon fonctionnement du marché du travail européen. Pour ce faire, elle protège les droits des citoyens qui se déplacent à l’intérieur de l’Europe et réduit les obstacles à la mobilité transfrontière de la main-d’œuvre. Cela implique de veiller à ce que les règles de l’UE en matière de coordination de la sécurité sociale soient adaptées à leur finalité et soient correctement appliquées. </w:t>
          </w:r>
        </w:p>
        <w:p w14:paraId="507F7B62" w14:textId="77777777" w:rsidR="00626758" w:rsidRDefault="00626758" w:rsidP="00C54184">
          <w:pPr>
            <w:rPr>
              <w:lang w:val="fr-BE" w:eastAsia="en-GB"/>
            </w:rPr>
          </w:pPr>
        </w:p>
        <w:p w14:paraId="61A6D9C4" w14:textId="16D4A79D" w:rsidR="00C54184" w:rsidRPr="00C54184" w:rsidRDefault="00C54184" w:rsidP="00C54184">
          <w:pPr>
            <w:rPr>
              <w:lang w:val="fr-BE" w:eastAsia="en-GB"/>
            </w:rPr>
          </w:pPr>
          <w:r w:rsidRPr="00C54184">
            <w:rPr>
              <w:lang w:val="fr-BE" w:eastAsia="en-GB"/>
            </w:rPr>
            <w:t xml:space="preserve">Pour atteindre ses objectifs, l’unité poursuit les activités principales </w:t>
          </w:r>
          <w:r w:rsidR="00626758" w:rsidRPr="00C54184">
            <w:rPr>
              <w:lang w:val="fr-BE" w:eastAsia="en-GB"/>
            </w:rPr>
            <w:t>suivantes :</w:t>
          </w:r>
          <w:r w:rsidRPr="00C54184">
            <w:rPr>
              <w:lang w:val="fr-BE" w:eastAsia="en-GB"/>
            </w:rPr>
            <w:t xml:space="preserve"> </w:t>
          </w:r>
        </w:p>
        <w:p w14:paraId="58FD2977" w14:textId="77777777" w:rsidR="00C54184" w:rsidRPr="00C54184" w:rsidRDefault="00C54184" w:rsidP="00C54184">
          <w:pPr>
            <w:rPr>
              <w:lang w:val="fr-BE" w:eastAsia="en-GB"/>
            </w:rPr>
          </w:pPr>
          <w:r w:rsidRPr="00C54184">
            <w:rPr>
              <w:lang w:val="fr-BE" w:eastAsia="en-GB"/>
            </w:rPr>
            <w:lastRenderedPageBreak/>
            <w:t xml:space="preserve">• Élabore, présente et négocie des propositions législatives visant à poursuivre le processus de modernisation et de mise à jour du cadre législatif, notamment pour tenir compte des priorités politiques de cette Commission, des nouvelles évolutions au niveau de l’UE et des États membres ainsi que de la nouvelle jurisprudence de la Cour de </w:t>
          </w:r>
          <w:proofErr w:type="gramStart"/>
          <w:r w:rsidRPr="00C54184">
            <w:rPr>
              <w:lang w:val="fr-BE" w:eastAsia="en-GB"/>
            </w:rPr>
            <w:t>justice;</w:t>
          </w:r>
          <w:proofErr w:type="gramEnd"/>
          <w:r w:rsidRPr="00C54184">
            <w:rPr>
              <w:lang w:val="fr-BE" w:eastAsia="en-GB"/>
            </w:rPr>
            <w:t xml:space="preserve"> </w:t>
          </w:r>
        </w:p>
        <w:p w14:paraId="032C9E57" w14:textId="77777777" w:rsidR="00C54184" w:rsidRPr="00C54184" w:rsidRDefault="00C54184" w:rsidP="00C54184">
          <w:pPr>
            <w:rPr>
              <w:lang w:val="fr-BE" w:eastAsia="en-GB"/>
            </w:rPr>
          </w:pPr>
          <w:r w:rsidRPr="00C54184">
            <w:rPr>
              <w:lang w:val="fr-BE" w:eastAsia="en-GB"/>
            </w:rPr>
            <w:t xml:space="preserve">• Surveille l’application correcte du droit de l’Union dans ce domaine, notamment en enquêtant sur les plaintes introduites par des particuliers, le Parlement européen et d’autres parties prenantes, et prend, le cas échéant, les mesures </w:t>
          </w:r>
          <w:proofErr w:type="gramStart"/>
          <w:r w:rsidRPr="00C54184">
            <w:rPr>
              <w:lang w:val="fr-BE" w:eastAsia="en-GB"/>
            </w:rPr>
            <w:t>nécessaires;</w:t>
          </w:r>
          <w:proofErr w:type="gramEnd"/>
          <w:r w:rsidRPr="00C54184">
            <w:rPr>
              <w:lang w:val="fr-BE" w:eastAsia="en-GB"/>
            </w:rPr>
            <w:t xml:space="preserve"> </w:t>
          </w:r>
        </w:p>
        <w:p w14:paraId="61C3167E" w14:textId="77777777" w:rsidR="00C54184" w:rsidRPr="00C54184" w:rsidRDefault="00C54184" w:rsidP="00C54184">
          <w:pPr>
            <w:rPr>
              <w:lang w:val="fr-BE" w:eastAsia="en-GB"/>
            </w:rPr>
          </w:pPr>
          <w:r w:rsidRPr="00C54184">
            <w:rPr>
              <w:lang w:val="fr-BE" w:eastAsia="en-GB"/>
            </w:rPr>
            <w:t xml:space="preserve">• Veille, en étroite coopération avec l’unité F.5 et les États membres, à la bonne mise en place du système électronique d’échange d’informations pour soutenir la coordination de la sécurité sociale (EESSI) en ce qui concerne les aspects opérationnels de la </w:t>
          </w:r>
          <w:proofErr w:type="gramStart"/>
          <w:r w:rsidRPr="00C54184">
            <w:rPr>
              <w:lang w:val="fr-BE" w:eastAsia="en-GB"/>
            </w:rPr>
            <w:t>solution;</w:t>
          </w:r>
          <w:proofErr w:type="gramEnd"/>
          <w:r w:rsidRPr="00C54184">
            <w:rPr>
              <w:lang w:val="fr-BE" w:eastAsia="en-GB"/>
            </w:rPr>
            <w:t xml:space="preserve"> </w:t>
          </w:r>
        </w:p>
        <w:p w14:paraId="1442C408" w14:textId="77777777" w:rsidR="00C54184" w:rsidRPr="00C54184" w:rsidRDefault="00C54184" w:rsidP="00C54184">
          <w:pPr>
            <w:rPr>
              <w:lang w:val="fr-BE" w:eastAsia="en-GB"/>
            </w:rPr>
          </w:pPr>
          <w:r w:rsidRPr="00C54184">
            <w:rPr>
              <w:lang w:val="fr-BE" w:eastAsia="en-GB"/>
            </w:rPr>
            <w:t xml:space="preserve">• Contribue à toutes les activités extérieures de l’Union européenne dans le domaine de la coordination de la sécurité sociale, notamment avec les pays de l’AELE, les pays candidats et dans le cadre des accords </w:t>
          </w:r>
          <w:proofErr w:type="gramStart"/>
          <w:r w:rsidRPr="00C54184">
            <w:rPr>
              <w:lang w:val="fr-BE" w:eastAsia="en-GB"/>
            </w:rPr>
            <w:t>d’association;</w:t>
          </w:r>
          <w:proofErr w:type="gramEnd"/>
          <w:r w:rsidRPr="00C54184">
            <w:rPr>
              <w:lang w:val="fr-BE" w:eastAsia="en-GB"/>
            </w:rPr>
            <w:t xml:space="preserve">  </w:t>
          </w:r>
        </w:p>
        <w:p w14:paraId="18140A21" w14:textId="606732BB" w:rsidR="001A0074" w:rsidRPr="00C54184" w:rsidRDefault="00C54184" w:rsidP="00C54184">
          <w:pPr>
            <w:rPr>
              <w:lang w:val="fr-BE" w:eastAsia="en-GB"/>
            </w:rPr>
          </w:pPr>
          <w:r w:rsidRPr="00C54184">
            <w:rPr>
              <w:lang w:val="fr-BE" w:eastAsia="en-GB"/>
            </w:rPr>
            <w:t>• Promeut des informations fondées sur des données probantes sur la coordination de la sécurité sociale dans l’UE, notamment en utilisant des réseaux d’experts pour la formation et la collecte de données, contribuant ainsi à un débat éclairé sur le terrain.</w:t>
          </w:r>
        </w:p>
      </w:sdtContent>
    </w:sdt>
    <w:p w14:paraId="30B422AA" w14:textId="77777777" w:rsidR="00301CA3" w:rsidRPr="00C5418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0633D572" w:rsidR="001A0074" w:rsidRPr="00B115F3" w:rsidRDefault="00F5648A" w:rsidP="001A0074">
      <w:pPr>
        <w:rPr>
          <w:lang w:val="fr-BE" w:eastAsia="en-GB"/>
        </w:rPr>
      </w:pPr>
      <w:sdt>
        <w:sdtPr>
          <w:rPr>
            <w:lang w:val="fr-BE" w:eastAsia="en-GB"/>
          </w:rPr>
          <w:id w:val="-723136291"/>
          <w:placeholder>
            <w:docPart w:val="43375E7FB7294216B3B48CC222A08C2F"/>
          </w:placeholder>
        </w:sdtPr>
        <w:sdtEndPr/>
        <w:sdtContent>
          <w:r w:rsidR="00B115F3" w:rsidRPr="00B115F3">
            <w:rPr>
              <w:lang w:val="fr-BE" w:eastAsia="en-GB"/>
            </w:rPr>
            <w:t>Vous contribuerez principalement à la coordination de l’ensemble du système EESSI avec les collègues de la Commission et les consultants externes. Les principales tâches comprennent la poursuite du développement et de l’adaptation du système, le suivi et l’établissement de rapports sur la mise en œuvre au niveau national, la contribution aux stratégies de formation et de communication et les relations avec les parties prenantes au niveau de l’UE et au niveau national. Il peut également s’agir de contribuer à d’autres systèmes informatiques. Le poste requiert également la préparation et la participation aux réunions des organes de gouvernance et des groupes d’experts compétents des commissions administrative et technique (où les délégations nationales se réunissent pour discuter du développement et du suivi des outils informatiques destinés à promouvoir l’échange électronique d’informations sur la sécurité sociale).</w:t>
          </w:r>
        </w:sdtContent>
      </w:sdt>
    </w:p>
    <w:p w14:paraId="3D69C09B" w14:textId="77777777" w:rsidR="00301CA3" w:rsidRPr="00B115F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55D12B6C" w14:textId="77777777" w:rsidR="00B115F3" w:rsidRPr="00B115F3" w:rsidRDefault="00B115F3" w:rsidP="00B115F3">
      <w:pPr>
        <w:rPr>
          <w:bCs/>
          <w:lang w:val="fr-BE" w:eastAsia="en-GB"/>
        </w:rPr>
      </w:pPr>
      <w:r w:rsidRPr="00B115F3">
        <w:rPr>
          <w:bCs/>
          <w:lang w:val="fr-BE" w:eastAsia="en-GB"/>
        </w:rPr>
        <w:t xml:space="preserve">Le poste requiert de solides compétences en matière de coordination et de communication, ainsi que la capacité de présenter des informations complexes, spécialisées et parfois techniques d’une manière claire et accessible. Une expérience suffisante de la gestion de projets et d’activités, en particulier de systèmes informatiques tels que l’EESSI, est une condition préalable. Le poste requiert une capacité à coopérer efficacement avec les collègues à l’intérieur et à l’extérieur de l’unité, à faire des présentations fréquentes à un large public, à gérer efficacement de multiples tâches et à être en mesure de travailler sous pression et de répondre rapidement aux délais. </w:t>
      </w:r>
    </w:p>
    <w:p w14:paraId="5D76C15C" w14:textId="547BB376" w:rsidR="00F65CC2" w:rsidRDefault="00B115F3" w:rsidP="00B115F3">
      <w:pPr>
        <w:rPr>
          <w:bCs/>
          <w:lang w:val="fr-BE" w:eastAsia="en-GB"/>
        </w:rPr>
      </w:pPr>
      <w:r w:rsidRPr="00B115F3">
        <w:rPr>
          <w:bCs/>
          <w:lang w:val="fr-BE" w:eastAsia="en-GB"/>
        </w:rPr>
        <w:t xml:space="preserve">Compétences </w:t>
      </w:r>
      <w:proofErr w:type="gramStart"/>
      <w:r w:rsidRPr="00B115F3">
        <w:rPr>
          <w:bCs/>
          <w:lang w:val="fr-BE" w:eastAsia="en-GB"/>
        </w:rPr>
        <w:t>linguistiques:</w:t>
      </w:r>
      <w:proofErr w:type="gramEnd"/>
      <w:r w:rsidRPr="00B115F3">
        <w:rPr>
          <w:bCs/>
          <w:lang w:val="fr-BE" w:eastAsia="en-GB"/>
        </w:rPr>
        <w:t xml:space="preserve"> Connaissance approfondie de l’anglais.</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0C5351E6" w14:textId="77777777" w:rsidR="00674062"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w:t>
      </w:r>
      <w:r w:rsidR="00674062">
        <w:rPr>
          <w:lang w:val="fr-BE" w:eastAsia="en-GB"/>
        </w:rPr>
        <w:t>d’</w:t>
      </w:r>
      <w:r w:rsidR="00674062" w:rsidRPr="00674062">
        <w:rPr>
          <w:lang w:val="fr-BE" w:eastAsia="en-GB"/>
        </w:rPr>
        <w:t>au moins cinq ans dans la gestion opérationnelle de systèmes informatiques (comme EESSI) et dans des fonctions équivalentes à celles du groupe de fonctions AD.</w:t>
      </w:r>
      <w:r w:rsidR="00674062">
        <w:rPr>
          <w:lang w:val="fr-BE" w:eastAsia="en-GB"/>
        </w:rPr>
        <w:t xml:space="preserve"> </w:t>
      </w:r>
    </w:p>
    <w:p w14:paraId="00DB18A5" w14:textId="0E19BC23"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26758"/>
    <w:rsid w:val="00674062"/>
    <w:rsid w:val="006A1CB2"/>
    <w:rsid w:val="006B47B6"/>
    <w:rsid w:val="006F23BA"/>
    <w:rsid w:val="0074301E"/>
    <w:rsid w:val="00745041"/>
    <w:rsid w:val="007A10AA"/>
    <w:rsid w:val="007A1396"/>
    <w:rsid w:val="007B5FAE"/>
    <w:rsid w:val="007E131B"/>
    <w:rsid w:val="007E4F35"/>
    <w:rsid w:val="008241B0"/>
    <w:rsid w:val="008315CD"/>
    <w:rsid w:val="00866E7F"/>
    <w:rsid w:val="008A0FF3"/>
    <w:rsid w:val="0092295D"/>
    <w:rsid w:val="00A65B97"/>
    <w:rsid w:val="00A917BE"/>
    <w:rsid w:val="00B056D8"/>
    <w:rsid w:val="00B115F3"/>
    <w:rsid w:val="00B31DC8"/>
    <w:rsid w:val="00B566C1"/>
    <w:rsid w:val="00BD3374"/>
    <w:rsid w:val="00BF389A"/>
    <w:rsid w:val="00C518F5"/>
    <w:rsid w:val="00C54184"/>
    <w:rsid w:val="00D703FC"/>
    <w:rsid w:val="00D82B48"/>
    <w:rsid w:val="00DC5C83"/>
    <w:rsid w:val="00E0579E"/>
    <w:rsid w:val="00E30C32"/>
    <w:rsid w:val="00E5708E"/>
    <w:rsid w:val="00E850B7"/>
    <w:rsid w:val="00E927FE"/>
    <w:rsid w:val="00F41A97"/>
    <w:rsid w:val="00F5648A"/>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F46241306F94898A16ABEFCDDACB126"/>
        <w:category>
          <w:name w:val="General"/>
          <w:gallery w:val="placeholder"/>
        </w:category>
        <w:types>
          <w:type w:val="bbPlcHdr"/>
        </w:types>
        <w:behaviors>
          <w:behavior w:val="content"/>
        </w:behaviors>
        <w:guid w:val="{FA661493-62F9-4B2D-80BD-968209009B8A}"/>
      </w:docPartPr>
      <w:docPartBody>
        <w:p w:rsidR="00F50EBC" w:rsidRDefault="00F50EBC" w:rsidP="00F50EBC">
          <w:pPr>
            <w:pStyle w:val="FF46241306F94898A16ABEFCDDACB126"/>
          </w:pPr>
          <w:r w:rsidRPr="0007110E">
            <w:rPr>
              <w:rStyle w:val="PlaceholderText"/>
              <w:bCs/>
            </w:rPr>
            <w:t>Click or tap here to enter text.</w:t>
          </w:r>
        </w:p>
      </w:docPartBody>
    </w:docPart>
    <w:docPart>
      <w:docPartPr>
        <w:name w:val="EF0969372A2141B88E90A3771CDDA7DD"/>
        <w:category>
          <w:name w:val="General"/>
          <w:gallery w:val="placeholder"/>
        </w:category>
        <w:types>
          <w:type w:val="bbPlcHdr"/>
        </w:types>
        <w:behaviors>
          <w:behavior w:val="content"/>
        </w:behaviors>
        <w:guid w:val="{F2981591-E3BF-4C68-8B93-99227EBF56E0}"/>
      </w:docPartPr>
      <w:docPartBody>
        <w:p w:rsidR="00F50EBC" w:rsidRDefault="00F50EBC" w:rsidP="00F50EBC">
          <w:pPr>
            <w:pStyle w:val="EF0969372A2141B88E90A3771CDDA7D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BFC4650"/>
    <w:multiLevelType w:val="multilevel"/>
    <w:tmpl w:val="55D68F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05974056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 w:val="00F50EB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50EBC"/>
    <w:rPr>
      <w:color w:val="288061"/>
    </w:rPr>
  </w:style>
  <w:style w:type="paragraph" w:customStyle="1" w:styleId="FF46241306F94898A16ABEFCDDACB126">
    <w:name w:val="FF46241306F94898A16ABEFCDDACB126"/>
    <w:rsid w:val="00F50EBC"/>
    <w:rPr>
      <w:kern w:val="2"/>
      <w14:ligatures w14:val="standardContextual"/>
    </w:rPr>
  </w:style>
  <w:style w:type="paragraph" w:customStyle="1" w:styleId="EF0969372A2141B88E90A3771CDDA7DD">
    <w:name w:val="EF0969372A2141B88E90A3771CDDA7DD"/>
    <w:rsid w:val="00F50EBC"/>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purl.org/dc/dcmitype/"/>
    <ds:schemaRef ds:uri="http://schemas.openxmlformats.org/package/2006/metadata/core-properties"/>
    <ds:schemaRef ds:uri="http://www.w3.org/XML/1998/namespace"/>
    <ds:schemaRef ds:uri="http://purl.org/dc/terms/"/>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1300</Words>
  <Characters>7413</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BAGWAN Joyce (EMPL)</cp:lastModifiedBy>
  <cp:revision>2</cp:revision>
  <cp:lastPrinted>2023-04-18T07:01:00Z</cp:lastPrinted>
  <dcterms:created xsi:type="dcterms:W3CDTF">2024-04-29T16:16:00Z</dcterms:created>
  <dcterms:modified xsi:type="dcterms:W3CDTF">2024-04-29T16:16:00Z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