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948C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948C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948C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948C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948C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948C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10D4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32D551" w:rsidR="00377580" w:rsidRPr="00080A71" w:rsidRDefault="00B10D45" w:rsidP="005F6927">
                <w:pPr>
                  <w:tabs>
                    <w:tab w:val="left" w:pos="426"/>
                  </w:tabs>
                  <w:rPr>
                    <w:bCs/>
                    <w:lang w:val="en-IE" w:eastAsia="en-GB"/>
                  </w:rPr>
                </w:pPr>
                <w:r>
                  <w:rPr>
                    <w:bCs/>
                    <w:lang w:val="fr-BE" w:eastAsia="en-GB"/>
                  </w:rPr>
                  <w:t>BUDG.B.3</w:t>
                </w:r>
              </w:p>
            </w:tc>
          </w:sdtContent>
        </w:sdt>
      </w:tr>
      <w:tr w:rsidR="00377580" w:rsidRPr="00B10D4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EC1B5B1" w:rsidR="00377580" w:rsidRPr="00080A71" w:rsidRDefault="00B10D45" w:rsidP="005F6927">
                <w:pPr>
                  <w:tabs>
                    <w:tab w:val="left" w:pos="426"/>
                  </w:tabs>
                  <w:rPr>
                    <w:bCs/>
                    <w:lang w:val="en-IE" w:eastAsia="en-GB"/>
                  </w:rPr>
                </w:pPr>
                <w:r>
                  <w:rPr>
                    <w:bCs/>
                    <w:lang w:val="fr-BE" w:eastAsia="en-GB"/>
                  </w:rPr>
                  <w:t>99265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5E8BFA2" w:rsidR="00377580" w:rsidRPr="00080A71" w:rsidRDefault="00B10D45" w:rsidP="005F6927">
                <w:pPr>
                  <w:tabs>
                    <w:tab w:val="left" w:pos="426"/>
                  </w:tabs>
                  <w:rPr>
                    <w:bCs/>
                    <w:lang w:val="en-IE" w:eastAsia="en-GB"/>
                  </w:rPr>
                </w:pPr>
                <w:r>
                  <w:rPr>
                    <w:bCs/>
                    <w:lang w:val="fr-BE" w:eastAsia="en-GB"/>
                  </w:rPr>
                  <w:t xml:space="preserve">Irena </w:t>
                </w:r>
                <w:proofErr w:type="spellStart"/>
                <w:r>
                  <w:rPr>
                    <w:bCs/>
                    <w:lang w:val="fr-BE" w:eastAsia="en-GB"/>
                  </w:rPr>
                  <w:t>Peresa</w:t>
                </w:r>
                <w:proofErr w:type="spellEnd"/>
                <w:r>
                  <w:rPr>
                    <w:bCs/>
                    <w:lang w:val="fr-BE" w:eastAsia="en-GB"/>
                  </w:rPr>
                  <w:t xml:space="preserve">/Johan </w:t>
                </w:r>
                <w:proofErr w:type="spellStart"/>
                <w:r>
                  <w:rPr>
                    <w:bCs/>
                    <w:lang w:val="fr-BE" w:eastAsia="en-GB"/>
                  </w:rPr>
                  <w:t>Bendz</w:t>
                </w:r>
                <w:proofErr w:type="spellEnd"/>
              </w:p>
            </w:sdtContent>
          </w:sdt>
          <w:p w14:paraId="32DD8032" w14:textId="03C0F4CA" w:rsidR="00377580" w:rsidRPr="001D3EEC" w:rsidRDefault="007948C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10D45">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10D45">
                      <w:rPr>
                        <w:bCs/>
                        <w:lang w:val="en-IE" w:eastAsia="en-GB"/>
                      </w:rPr>
                      <w:t>2024</w:t>
                    </w:r>
                  </w:sdtContent>
                </w:sdt>
              </w:sdtContent>
            </w:sdt>
          </w:p>
          <w:p w14:paraId="768BBE26" w14:textId="2A39759D" w:rsidR="00377580" w:rsidRPr="001D3EEC" w:rsidRDefault="007948C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10D4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10D4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DC5362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5248D7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948C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948C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948C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21AB66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10D4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38F4ED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C292227" w:rsidR="006B47B6" w:rsidRPr="0007110E" w:rsidRDefault="00BF389A" w:rsidP="00DE0E7F">
            <w:pPr>
              <w:tabs>
                <w:tab w:val="left" w:pos="426"/>
              </w:tabs>
              <w:spacing w:before="120" w:after="120"/>
              <w:rPr>
                <w:bCs/>
                <w:lang w:val="en-IE" w:eastAsia="en-GB"/>
              </w:rPr>
            </w:pPr>
            <w:r w:rsidRPr="00B10D45">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7948C0">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GB" w:eastAsia="en-GB"/>
            </w:rPr>
            <w:id w:val="-1028027158"/>
            <w:placeholder>
              <w:docPart w:val="F70610D0350B445E88D82A7476169455"/>
            </w:placeholder>
          </w:sdtPr>
          <w:sdtEndPr/>
          <w:sdtContent>
            <w:p w14:paraId="2AC4E13E" w14:textId="77777777" w:rsidR="00B10D45" w:rsidRDefault="00B10D45" w:rsidP="00B10D45">
              <w:pPr>
                <w:pStyle w:val="BodyText"/>
                <w:spacing w:before="62"/>
                <w:ind w:right="325"/>
                <w:jc w:val="both"/>
              </w:pPr>
              <w:r>
                <w:t xml:space="preserve">La direction générale du budget (DG BUDG) est le service central de la Commission européenne responsable de la gestion du budget de l’Union européenne (UE) tout au long des cycles annuel et </w:t>
              </w:r>
              <w:proofErr w:type="gramStart"/>
              <w:r>
                <w:t>pluriannuel;</w:t>
              </w:r>
              <w:proofErr w:type="gramEnd"/>
              <w:r>
                <w:t xml:space="preserve"> de la préparation du projet de budget et du cadre financier pluriannuel à sa mise en œuvre et à la décharge finale par le Parlement européen. La DG BUDG est également responsable du cadre juridique applicable à l’exécution du budget de l’UE par les différents États membres, institutions et agences. Elle joue un rôle capital dans la promotion d’une bonne gestion financière et d’une </w:t>
              </w:r>
              <w:r>
                <w:lastRenderedPageBreak/>
                <w:t>culture de la performance axée sur la maximisation des résultats des dépenses publiques sur le terrain.</w:t>
              </w:r>
            </w:p>
            <w:p w14:paraId="5E01C543" w14:textId="77777777" w:rsidR="00B10D45" w:rsidRDefault="00B10D45" w:rsidP="00B10D45">
              <w:pPr>
                <w:pStyle w:val="BodyText"/>
                <w:spacing w:before="8"/>
                <w:jc w:val="both"/>
              </w:pPr>
            </w:p>
            <w:p w14:paraId="04F98EF5" w14:textId="77777777" w:rsidR="00B10D45" w:rsidRDefault="00B10D45" w:rsidP="00B10D45">
              <w:pPr>
                <w:pStyle w:val="BodyText"/>
                <w:ind w:right="325"/>
                <w:jc w:val="both"/>
              </w:pPr>
              <w:r>
                <w:t>Au sein de la direction B</w:t>
              </w:r>
              <w:proofErr w:type="gramStart"/>
              <w:r>
                <w:t xml:space="preserve"> «Recettes</w:t>
              </w:r>
              <w:proofErr w:type="gramEnd"/>
              <w:r>
                <w:t xml:space="preserve"> et cadre financier pluriannuel» de la DG BUDG, l’unité BUDG.B.3 «Gestion des recettes et aspects juridiques» est chargée de la gestion des recettes et des questions juridiques relatives aux ressources propres, y compris les infractions. L’unité gère le cycle budgétaire des recettes de l’UE, appelle les ressources propres et contrôle leur paiement complet et en temps utile. Elle fournit une évaluation juridique et un soutien en ce qui concerne les ressources propres. Elle est également responsable des règlements relatifs à la mise à disposition des ressources propres et des infractions à la législation relative aux ressources propres.</w:t>
              </w:r>
            </w:p>
            <w:p w14:paraId="74EE0AE4" w14:textId="77777777" w:rsidR="00B10D45" w:rsidRDefault="00B10D45" w:rsidP="00B10D45">
              <w:pPr>
                <w:pStyle w:val="BodyText"/>
                <w:spacing w:before="7"/>
                <w:jc w:val="both"/>
              </w:pPr>
            </w:p>
            <w:p w14:paraId="6B24CE60" w14:textId="77777777" w:rsidR="00B10D45" w:rsidRDefault="00B10D45" w:rsidP="00B10D45">
              <w:pPr>
                <w:pStyle w:val="BodyText"/>
                <w:spacing w:before="1"/>
                <w:ind w:right="325"/>
                <w:jc w:val="both"/>
              </w:pPr>
              <w:r>
                <w:t xml:space="preserve">L’unité compte trois </w:t>
              </w:r>
              <w:proofErr w:type="gramStart"/>
              <w:r>
                <w:t>secteurs:</w:t>
              </w:r>
              <w:proofErr w:type="gramEnd"/>
              <w:r>
                <w:t xml:space="preserve"> (1) gestion des recettes, (2) gestion financière des ressources propres et autres recettes et (3) aspects juridiques et mise à disposition.</w:t>
              </w:r>
            </w:p>
            <w:p w14:paraId="7E0E3B52" w14:textId="77777777" w:rsidR="00B10D45" w:rsidRDefault="00B10D45" w:rsidP="00B10D45">
              <w:pPr>
                <w:pStyle w:val="BodyText"/>
                <w:spacing w:before="4"/>
                <w:jc w:val="both"/>
              </w:pPr>
            </w:p>
            <w:p w14:paraId="18140A21" w14:textId="0C5A56D1" w:rsidR="001A0074" w:rsidRPr="00B10D45" w:rsidRDefault="00B10D45" w:rsidP="00B10D45">
              <w:pPr>
                <w:pStyle w:val="BodyText"/>
                <w:spacing w:before="1"/>
                <w:jc w:val="both"/>
              </w:pPr>
              <w:r>
                <w:t>L’unité possède un excellent bilan et une bonne ambiance de travail. Elle compte 17 membres du personnel et est située à Bruxelles.</w:t>
              </w:r>
            </w:p>
          </w:sdtContent>
        </w:sdt>
      </w:sdtContent>
    </w:sdt>
    <w:p w14:paraId="30B422AA" w14:textId="77777777" w:rsidR="00301CA3" w:rsidRPr="007948C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color w:val="auto"/>
          <w:sz w:val="24"/>
          <w:lang w:val="fr-BE" w:eastAsia="en-GB"/>
        </w:rPr>
        <w:id w:val="-723136291"/>
        <w:placeholder>
          <w:docPart w:val="43375E7FB7294216B3B48CC222A08C2F"/>
        </w:placeholder>
      </w:sdtPr>
      <w:sdtEndPr/>
      <w:sdtContent>
        <w:bookmarkStart w:id="0" w:name="_Hlk166070100" w:displacedByCustomXml="next"/>
        <w:bookmarkEnd w:id="0" w:displacedByCustomXml="next"/>
        <w:sdt>
          <w:sdtPr>
            <w:rPr>
              <w:rFonts w:ascii="Times New Roman" w:hAnsi="Times New Roman" w:cs="Times New Roman"/>
              <w:sz w:val="24"/>
              <w:lang w:val="en-US" w:eastAsia="en-GB"/>
            </w:rPr>
            <w:id w:val="324488395"/>
            <w:placeholder>
              <w:docPart w:val="7E691131F3D143DA9C00A42E8E0EF989"/>
            </w:placeholder>
          </w:sdtPr>
          <w:sdtEndPr/>
          <w:sdtContent>
            <w:p w14:paraId="328740F4" w14:textId="77777777" w:rsidR="00B10D45" w:rsidRDefault="00B10D45" w:rsidP="00B10D45">
              <w:pPr>
                <w:pStyle w:val="P68B1DB1-Default2"/>
              </w:pPr>
              <w:r>
                <w:t>La DG BUDG recrute un expert national détaché pour travailler comme juriste et/ou financier au sein de l’unité BUDG.B3.</w:t>
              </w:r>
            </w:p>
            <w:p w14:paraId="09D3A47D" w14:textId="77777777" w:rsidR="00B10D45" w:rsidRDefault="00B10D45" w:rsidP="00B10D45">
              <w:pPr>
                <w:pStyle w:val="Default"/>
                <w:rPr>
                  <w:rFonts w:ascii="EC Square Sans Pro" w:hAnsi="EC Square Sans Pro" w:cs="EC Square Sans Pro"/>
                  <w:sz w:val="22"/>
                </w:rPr>
              </w:pPr>
            </w:p>
            <w:p w14:paraId="175A0CB4" w14:textId="77777777" w:rsidR="00B10D45" w:rsidRDefault="00B10D45" w:rsidP="00B10D45">
              <w:pPr>
                <w:pStyle w:val="P68B1DB1-Default2"/>
              </w:pPr>
              <w:r>
                <w:t xml:space="preserve">En fonction du profil (juriste et/ou financier) du candidat, les tâches peuvent notamment consister </w:t>
              </w:r>
              <w:proofErr w:type="gramStart"/>
              <w:r>
                <w:t>à:</w:t>
              </w:r>
              <w:proofErr w:type="gramEnd"/>
            </w:p>
            <w:p w14:paraId="74A61F31" w14:textId="77777777" w:rsidR="00B10D45" w:rsidRDefault="00B10D45" w:rsidP="00B10D45">
              <w:pPr>
                <w:pStyle w:val="Default"/>
                <w:rPr>
                  <w:rFonts w:ascii="EC Square Sans Pro" w:hAnsi="EC Square Sans Pro" w:cs="EC Square Sans Pro"/>
                  <w:sz w:val="22"/>
                </w:rPr>
              </w:pPr>
            </w:p>
            <w:p w14:paraId="240797C8" w14:textId="77777777" w:rsidR="00B10D45" w:rsidRDefault="00B10D45" w:rsidP="00B10D45">
              <w:pPr>
                <w:numPr>
                  <w:ilvl w:val="0"/>
                  <w:numId w:val="28"/>
                </w:numPr>
                <w:spacing w:before="100" w:beforeAutospacing="1" w:after="100" w:afterAutospacing="1"/>
                <w:jc w:val="left"/>
              </w:pPr>
              <w:r>
                <w:t>Participer à l’élaboration, à l’analyse et aux discussions des textes législatifs et autres documents relatifs aux ressources propres, y compris la participation aux réunions pertinentes du Conseil (groupe</w:t>
              </w:r>
              <w:proofErr w:type="gramStart"/>
              <w:r>
                <w:t xml:space="preserve"> «Ressources</w:t>
              </w:r>
              <w:proofErr w:type="gramEnd"/>
              <w:r>
                <w:t xml:space="preserve"> propres»).</w:t>
              </w:r>
            </w:p>
            <w:p w14:paraId="5256AC98" w14:textId="77777777" w:rsidR="00B10D45" w:rsidRDefault="00B10D45" w:rsidP="00B10D45">
              <w:pPr>
                <w:pStyle w:val="Default"/>
                <w:numPr>
                  <w:ilvl w:val="0"/>
                  <w:numId w:val="28"/>
                </w:numPr>
              </w:pPr>
              <w:r>
                <w:t>Préparer les étapes procédurales nécessaires à l’adoption d’actes législatifs spécifiques, tels que des règlements du Conseil ou des décisions d’exécution de la Commission, ainsi que des procédures d’infraction.</w:t>
              </w:r>
            </w:p>
            <w:p w14:paraId="6228345C" w14:textId="77777777" w:rsidR="00B10D45" w:rsidRDefault="00B10D45" w:rsidP="00B10D45">
              <w:pPr>
                <w:numPr>
                  <w:ilvl w:val="0"/>
                  <w:numId w:val="28"/>
                </w:numPr>
                <w:spacing w:before="100" w:beforeAutospacing="1" w:after="100" w:afterAutospacing="1"/>
                <w:jc w:val="left"/>
              </w:pPr>
              <w:r>
                <w:t>Déterminer les montants des ressources propres et autres recettes à inscrire au budget et à la comptabilité de l’UE ainsi que préparer les documents y afférents.</w:t>
              </w:r>
            </w:p>
            <w:p w14:paraId="3B6D91E7" w14:textId="77777777" w:rsidR="00B10D45" w:rsidRDefault="00B10D45" w:rsidP="00B10D45">
              <w:pPr>
                <w:numPr>
                  <w:ilvl w:val="0"/>
                  <w:numId w:val="28"/>
                </w:numPr>
                <w:spacing w:before="100" w:beforeAutospacing="1" w:after="100" w:afterAutospacing="1"/>
                <w:jc w:val="left"/>
              </w:pPr>
              <w:r>
                <w:t>Calculer et suivre les appels de fonds mensuels et autres à envoyer aux États membres (TVA, RNB, matières plastiques, corrections, ajustements annuels et autres appels).</w:t>
              </w:r>
            </w:p>
            <w:p w14:paraId="758314A5" w14:textId="77777777" w:rsidR="00B10D45" w:rsidRDefault="00B10D45" w:rsidP="00B10D45">
              <w:pPr>
                <w:numPr>
                  <w:ilvl w:val="0"/>
                  <w:numId w:val="28"/>
                </w:numPr>
                <w:spacing w:before="100" w:beforeAutospacing="1" w:after="100" w:afterAutospacing="1"/>
                <w:jc w:val="left"/>
              </w:pPr>
              <w:r>
                <w:t>Suivre les versements de ressources propres effectués par les États membres et calculer des intérêts de retard.</w:t>
              </w:r>
            </w:p>
            <w:p w14:paraId="40BBF3F4" w14:textId="77777777" w:rsidR="00B10D45" w:rsidRDefault="00B10D45" w:rsidP="00B10D45">
              <w:pPr>
                <w:numPr>
                  <w:ilvl w:val="0"/>
                  <w:numId w:val="28"/>
                </w:numPr>
                <w:spacing w:before="100" w:beforeAutospacing="1" w:after="100" w:afterAutospacing="1"/>
                <w:jc w:val="left"/>
              </w:pPr>
              <w:r>
                <w:t>Contribuer à l’établissement des comptes de l’UE dans le domaine des ressources propres et autres recettes.</w:t>
              </w:r>
            </w:p>
            <w:p w14:paraId="058AB4C8" w14:textId="77777777" w:rsidR="00B10D45" w:rsidRDefault="007948C0" w:rsidP="00B10D45">
              <w:pPr>
                <w:pStyle w:val="Default"/>
                <w:rPr>
                  <w:color w:val="auto"/>
                  <w:lang w:val="en-US" w:eastAsia="en-GB"/>
                </w:rPr>
              </w:pPr>
            </w:p>
          </w:sdtContent>
        </w:sdt>
        <w:p w14:paraId="3B1D2FA2" w14:textId="354607AB" w:rsidR="001A0074" w:rsidRPr="00080A71" w:rsidRDefault="007948C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heme="minorHAnsi" w:eastAsiaTheme="minorHAnsi" w:hAnsiTheme="minorHAnsi" w:cstheme="minorBidi"/>
          <w:lang w:val="fr-BE" w:eastAsia="en-GB"/>
        </w:rPr>
        <w:id w:val="-689827953"/>
        <w:placeholder>
          <w:docPart w:val="C681F6FA0FB94712B2C889AACA29AC9D"/>
        </w:placeholder>
      </w:sdtPr>
      <w:sdtEndPr/>
      <w:sdtContent>
        <w:sdt>
          <w:sdtPr>
            <w:rPr>
              <w:rFonts w:asciiTheme="minorHAnsi" w:eastAsiaTheme="minorHAnsi" w:hAnsiTheme="minorHAnsi" w:cstheme="minorBidi"/>
              <w:sz w:val="24"/>
              <w:lang w:val="en-US" w:eastAsia="en-GB"/>
            </w:rPr>
            <w:id w:val="-209197804"/>
            <w:placeholder>
              <w:docPart w:val="47B79418811E44CDB1978211BFFD84AF"/>
            </w:placeholder>
          </w:sdtPr>
          <w:sdtEndPr>
            <w:rPr>
              <w:sz w:val="22"/>
              <w:lang w:val="fr"/>
            </w:rPr>
          </w:sdtEndPr>
          <w:sdtContent>
            <w:p w14:paraId="5F05F34A" w14:textId="77777777" w:rsidR="00B10D45" w:rsidRDefault="00B10D45" w:rsidP="00B10D45">
              <w:pPr>
                <w:pStyle w:val="P68B1DB1-Normal3"/>
              </w:pPr>
              <w:r>
                <w:t>Nous recherchons un(e) candidat(e) très motivé(e), doté(e) d’une capacité avérée à hiérarchiser et à organiser son travail et d’un sens aigu des responsabilités. Il/elle doit être capable de travailler de manière proactive et autonome, ainsi que de faire partie d’une équipe. Il/elle aura d’excellentes capacités de communication écrite et orale.</w:t>
              </w:r>
            </w:p>
            <w:p w14:paraId="02534177" w14:textId="77777777" w:rsidR="00B10D45" w:rsidRDefault="00B10D45" w:rsidP="00B10D45">
              <w:pPr>
                <w:pStyle w:val="P68B1DB1-Normal3"/>
              </w:pPr>
              <w:r>
                <w:t xml:space="preserve">En outre, le/la candidat(e) retenu(e) </w:t>
              </w:r>
              <w:proofErr w:type="gramStart"/>
              <w:r>
                <w:t>aura:</w:t>
              </w:r>
              <w:proofErr w:type="gramEnd"/>
            </w:p>
            <w:p w14:paraId="4F033511" w14:textId="77777777" w:rsidR="00B10D45" w:rsidRDefault="00B10D45" w:rsidP="00B10D45">
              <w:pPr>
                <w:pStyle w:val="ListParagraph"/>
                <w:numPr>
                  <w:ilvl w:val="0"/>
                  <w:numId w:val="26"/>
                </w:numPr>
              </w:pPr>
              <w:r>
                <w:t>Un diplôme universitaire dans le domaine du droit, de la finance, de l’économie ou autre.</w:t>
              </w:r>
            </w:p>
            <w:p w14:paraId="4917A7EB" w14:textId="77777777" w:rsidR="00B10D45" w:rsidRDefault="00B10D45" w:rsidP="00B10D45">
              <w:pPr>
                <w:pStyle w:val="ListParagraph"/>
                <w:numPr>
                  <w:ilvl w:val="0"/>
                  <w:numId w:val="26"/>
                </w:numPr>
              </w:pPr>
              <w:r>
                <w:t>Au moins trois ans d’expérience professionnelle dans le domaine administratif, juridique, financier ou économique.</w:t>
              </w:r>
            </w:p>
            <w:p w14:paraId="2B91AB94" w14:textId="77777777" w:rsidR="00B10D45" w:rsidRDefault="00B10D45" w:rsidP="00B10D45">
              <w:pPr>
                <w:pStyle w:val="ListParagraph"/>
                <w:numPr>
                  <w:ilvl w:val="0"/>
                  <w:numId w:val="26"/>
                </w:numPr>
              </w:pPr>
              <w:r>
                <w:t>Travaillé pour un employeur éligible (tel que décrit à l’article 1 de la décision END de la Commission mentionnée ci-dessous) sur une base permanente ou contractuelle pendant au moins 12 mois avant le détachement.</w:t>
              </w:r>
            </w:p>
            <w:p w14:paraId="7E409EA7" w14:textId="56DB2FAA" w:rsidR="001A0074" w:rsidRPr="00B10D45" w:rsidRDefault="00B10D45" w:rsidP="00B10D45">
              <w:pPr>
                <w:pStyle w:val="ListParagraph"/>
                <w:numPr>
                  <w:ilvl w:val="0"/>
                  <w:numId w:val="26"/>
                </w:numPr>
              </w:pPr>
              <w:r>
                <w:t>Une très bonne maîtrise orale et écrite de l’anglais. La connaissance d’autres langues de l’UE est considérée comme un atout.</w:t>
              </w:r>
            </w:p>
          </w:sdtContent>
        </w:sdt>
      </w:sdtContent>
    </w:sdt>
    <w:p w14:paraId="5D76C15C" w14:textId="77777777" w:rsidR="00F65CC2" w:rsidRPr="007948C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 Square Sans Pro">
    <w:altName w:val="EC Square Sans Pro"/>
    <w:panose1 w:val="020B0506040000020004"/>
    <w:charset w:val="00"/>
    <w:family w:val="swiss"/>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B8314F4"/>
    <w:multiLevelType w:val="hybridMultilevel"/>
    <w:tmpl w:val="DCB0DE3E"/>
    <w:lvl w:ilvl="0" w:tplc="81A4D758">
      <w:start w:val="1"/>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5E5503"/>
    <w:multiLevelType w:val="multilevel"/>
    <w:tmpl w:val="3DF6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4"/>
  </w:num>
  <w:num w:numId="3" w16cid:durableId="1283655466">
    <w:abstractNumId w:val="9"/>
  </w:num>
  <w:num w:numId="4" w16cid:durableId="627203124">
    <w:abstractNumId w:val="15"/>
  </w:num>
  <w:num w:numId="5" w16cid:durableId="1682463701">
    <w:abstractNumId w:val="20"/>
  </w:num>
  <w:num w:numId="6" w16cid:durableId="181284729">
    <w:abstractNumId w:val="24"/>
  </w:num>
  <w:num w:numId="7" w16cid:durableId="1703705955">
    <w:abstractNumId w:val="1"/>
  </w:num>
  <w:num w:numId="8" w16cid:durableId="1191845979">
    <w:abstractNumId w:val="7"/>
  </w:num>
  <w:num w:numId="9" w16cid:durableId="317001864">
    <w:abstractNumId w:val="17"/>
  </w:num>
  <w:num w:numId="10" w16cid:durableId="1149245481">
    <w:abstractNumId w:val="2"/>
  </w:num>
  <w:num w:numId="11" w16cid:durableId="1423138251">
    <w:abstractNumId w:val="4"/>
  </w:num>
  <w:num w:numId="12" w16cid:durableId="1835801341">
    <w:abstractNumId w:val="5"/>
  </w:num>
  <w:num w:numId="13" w16cid:durableId="773790429">
    <w:abstractNumId w:val="11"/>
  </w:num>
  <w:num w:numId="14" w16cid:durableId="440151463">
    <w:abstractNumId w:val="16"/>
  </w:num>
  <w:num w:numId="15" w16cid:durableId="1021391429">
    <w:abstractNumId w:val="19"/>
  </w:num>
  <w:num w:numId="16" w16cid:durableId="1891763309">
    <w:abstractNumId w:val="25"/>
  </w:num>
  <w:num w:numId="17" w16cid:durableId="359092911">
    <w:abstractNumId w:val="12"/>
  </w:num>
  <w:num w:numId="18" w16cid:durableId="308289900">
    <w:abstractNumId w:val="13"/>
  </w:num>
  <w:num w:numId="19" w16cid:durableId="1964581914">
    <w:abstractNumId w:val="26"/>
  </w:num>
  <w:num w:numId="20" w16cid:durableId="263345260">
    <w:abstractNumId w:val="18"/>
  </w:num>
  <w:num w:numId="21" w16cid:durableId="710300249">
    <w:abstractNumId w:val="21"/>
  </w:num>
  <w:num w:numId="22" w16cid:durableId="1059403124">
    <w:abstractNumId w:val="3"/>
  </w:num>
  <w:num w:numId="23" w16cid:durableId="482745588">
    <w:abstractNumId w:val="22"/>
  </w:num>
  <w:num w:numId="24" w16cid:durableId="1895769187">
    <w:abstractNumId w:val="23"/>
  </w:num>
  <w:num w:numId="25" w16cid:durableId="681978231">
    <w:abstractNumId w:val="27"/>
  </w:num>
  <w:num w:numId="26" w16cid:durableId="1418669404">
    <w:abstractNumId w:val="8"/>
  </w:num>
  <w:num w:numId="27" w16cid:durableId="176576628">
    <w:abstractNumId w:val="6"/>
  </w:num>
  <w:num w:numId="28" w16cid:durableId="3147263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2BFA"/>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948C0"/>
    <w:rsid w:val="007A10AA"/>
    <w:rsid w:val="007A1396"/>
    <w:rsid w:val="007B5FAE"/>
    <w:rsid w:val="007E131B"/>
    <w:rsid w:val="007E4F35"/>
    <w:rsid w:val="008241B0"/>
    <w:rsid w:val="008315CD"/>
    <w:rsid w:val="00866E7F"/>
    <w:rsid w:val="008A0FF3"/>
    <w:rsid w:val="0092295D"/>
    <w:rsid w:val="00A65B97"/>
    <w:rsid w:val="00A917BE"/>
    <w:rsid w:val="00B10D45"/>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odyText">
    <w:name w:val="Body Text"/>
    <w:basedOn w:val="Normal"/>
    <w:link w:val="BodyTextChar"/>
    <w:uiPriority w:val="1"/>
    <w:qFormat/>
    <w:locked/>
    <w:rsid w:val="00B10D45"/>
    <w:pPr>
      <w:widowControl w:val="0"/>
      <w:autoSpaceDE w:val="0"/>
      <w:autoSpaceDN w:val="0"/>
      <w:spacing w:after="0"/>
      <w:jc w:val="left"/>
    </w:pPr>
    <w:rPr>
      <w:lang w:val="fr"/>
    </w:rPr>
  </w:style>
  <w:style w:type="character" w:customStyle="1" w:styleId="BodyTextChar">
    <w:name w:val="Body Text Char"/>
    <w:basedOn w:val="DefaultParagraphFont"/>
    <w:link w:val="BodyText"/>
    <w:uiPriority w:val="1"/>
    <w:rsid w:val="00B10D45"/>
    <w:rPr>
      <w:lang w:val="fr"/>
    </w:rPr>
  </w:style>
  <w:style w:type="paragraph" w:styleId="ListParagraph">
    <w:name w:val="List Paragraph"/>
    <w:basedOn w:val="Normal"/>
    <w:uiPriority w:val="34"/>
    <w:qFormat/>
    <w:locked/>
    <w:rsid w:val="00B10D45"/>
    <w:pPr>
      <w:spacing w:after="200" w:line="276" w:lineRule="auto"/>
      <w:ind w:left="720"/>
      <w:contextualSpacing/>
      <w:jc w:val="left"/>
    </w:pPr>
    <w:rPr>
      <w:rFonts w:asciiTheme="minorHAnsi" w:eastAsiaTheme="minorHAnsi" w:hAnsiTheme="minorHAnsi" w:cstheme="minorBidi"/>
      <w:sz w:val="22"/>
      <w:lang w:val="fr"/>
    </w:rPr>
  </w:style>
  <w:style w:type="paragraph" w:customStyle="1" w:styleId="P68B1DB1-Normal3">
    <w:name w:val="P68B1DB1-Normal3"/>
    <w:basedOn w:val="Normal"/>
    <w:rsid w:val="00B10D45"/>
    <w:rPr>
      <w:sz w:val="22"/>
      <w:lang w:val="fr"/>
    </w:rPr>
  </w:style>
  <w:style w:type="paragraph" w:customStyle="1" w:styleId="Default">
    <w:name w:val="Default"/>
    <w:rsid w:val="00B10D45"/>
    <w:pPr>
      <w:autoSpaceDE w:val="0"/>
      <w:autoSpaceDN w:val="0"/>
      <w:adjustRightInd w:val="0"/>
    </w:pPr>
    <w:rPr>
      <w:color w:val="000000"/>
      <w:lang w:val="fr"/>
    </w:rPr>
  </w:style>
  <w:style w:type="paragraph" w:customStyle="1" w:styleId="P68B1DB1-Default2">
    <w:name w:val="P68B1DB1-Default2"/>
    <w:basedOn w:val="Default"/>
    <w:rsid w:val="00B10D45"/>
    <w:rPr>
      <w:rFonts w:ascii="EC Square Sans Pro" w:hAnsi="EC Square Sans Pro" w:cs="EC Square Sans Pr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53DF0" w:rsidRDefault="00F00294" w:rsidP="00F00294">
          <w:pPr>
            <w:pStyle w:val="D33812E3C570400484B558C421C8A64E"/>
          </w:pPr>
          <w:r w:rsidRPr="003D4996">
            <w:rPr>
              <w:rStyle w:val="PlaceholderText"/>
            </w:rPr>
            <w:t>Click or tap to enter a date.</w:t>
          </w:r>
        </w:p>
      </w:docPartBody>
    </w:docPart>
    <w:docPart>
      <w:docPartPr>
        <w:name w:val="F70610D0350B445E88D82A7476169455"/>
        <w:category>
          <w:name w:val="General"/>
          <w:gallery w:val="placeholder"/>
        </w:category>
        <w:types>
          <w:type w:val="bbPlcHdr"/>
        </w:types>
        <w:behaviors>
          <w:behavior w:val="content"/>
        </w:behaviors>
        <w:guid w:val="{E202BA87-7799-41F1-AC95-BC45DDCF30EC}"/>
      </w:docPartPr>
      <w:docPartBody>
        <w:p w:rsidR="00A02EA5" w:rsidRDefault="00A02EA5" w:rsidP="00A02EA5">
          <w:pPr>
            <w:pStyle w:val="F70610D0350B445E88D82A7476169455"/>
          </w:pPr>
          <w:r>
            <w:rPr>
              <w:rStyle w:val="PlaceholderText"/>
            </w:rPr>
            <w:t>Cliquer ou toucher ici pour introduire le texte.</w:t>
          </w:r>
        </w:p>
      </w:docPartBody>
    </w:docPart>
    <w:docPart>
      <w:docPartPr>
        <w:name w:val="47B79418811E44CDB1978211BFFD84AF"/>
        <w:category>
          <w:name w:val="General"/>
          <w:gallery w:val="placeholder"/>
        </w:category>
        <w:types>
          <w:type w:val="bbPlcHdr"/>
        </w:types>
        <w:behaviors>
          <w:behavior w:val="content"/>
        </w:behaviors>
        <w:guid w:val="{0A90873A-6468-47D0-A804-71FCB1723D6E}"/>
      </w:docPartPr>
      <w:docPartBody>
        <w:p w:rsidR="00A02EA5" w:rsidRDefault="00A02EA5" w:rsidP="00A02EA5">
          <w:pPr>
            <w:pStyle w:val="47B79418811E44CDB1978211BFFD84AF"/>
          </w:pPr>
          <w:r>
            <w:rPr>
              <w:rStyle w:val="PlaceholderText"/>
            </w:rPr>
            <w:t>Cliquer ou toucher ici pour introduire le texte.</w:t>
          </w:r>
        </w:p>
      </w:docPartBody>
    </w:docPart>
    <w:docPart>
      <w:docPartPr>
        <w:name w:val="7E691131F3D143DA9C00A42E8E0EF989"/>
        <w:category>
          <w:name w:val="General"/>
          <w:gallery w:val="placeholder"/>
        </w:category>
        <w:types>
          <w:type w:val="bbPlcHdr"/>
        </w:types>
        <w:behaviors>
          <w:behavior w:val="content"/>
        </w:behaviors>
        <w:guid w:val="{4C38CC70-0745-48CD-84E2-E2E18065FEED}"/>
      </w:docPartPr>
      <w:docPartBody>
        <w:p w:rsidR="00A02EA5" w:rsidRDefault="00A02EA5" w:rsidP="00A02EA5">
          <w:pPr>
            <w:pStyle w:val="7E691131F3D143DA9C00A42E8E0EF989"/>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 Square Sans Pro">
    <w:altName w:val="EC Square Sans Pro"/>
    <w:panose1 w:val="020B0506040000020004"/>
    <w:charset w:val="00"/>
    <w:family w:val="swiss"/>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53DF0"/>
    <w:rsid w:val="007818B4"/>
    <w:rsid w:val="008F2A96"/>
    <w:rsid w:val="00983F83"/>
    <w:rsid w:val="00A02EA5"/>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2EA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70610D0350B445E88D82A7476169455">
    <w:name w:val="F70610D0350B445E88D82A7476169455"/>
    <w:rsid w:val="00A02EA5"/>
    <w:rPr>
      <w:kern w:val="2"/>
      <w:lang w:val="en-US" w:eastAsia="en-US"/>
      <w14:ligatures w14:val="standardContextual"/>
    </w:rPr>
  </w:style>
  <w:style w:type="paragraph" w:customStyle="1" w:styleId="47B79418811E44CDB1978211BFFD84AF">
    <w:name w:val="47B79418811E44CDB1978211BFFD84AF"/>
    <w:rsid w:val="00A02EA5"/>
    <w:rPr>
      <w:kern w:val="2"/>
      <w:lang w:val="en-US" w:eastAsia="en-US"/>
      <w14:ligatures w14:val="standardContextual"/>
    </w:rPr>
  </w:style>
  <w:style w:type="paragraph" w:customStyle="1" w:styleId="7E691131F3D143DA9C00A42E8E0EF989">
    <w:name w:val="7E691131F3D143DA9C00A42E8E0EF989"/>
    <w:rsid w:val="00A02EA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infopath/2007/PartnerControls"/>
    <ds:schemaRef ds:uri="http://purl.org/dc/dcmitype/"/>
    <ds:schemaRef ds:uri="http://schemas.microsoft.com/sharepoint/v3/fields"/>
    <ds:schemaRef ds:uri="http://www.w3.org/XML/1998/namespace"/>
    <ds:schemaRef ds:uri="http://purl.org/dc/elements/1.1/"/>
    <ds:schemaRef ds:uri="1929b814-5a78-4bdc-9841-d8b9ef424f65"/>
    <ds:schemaRef ds:uri="http://schemas.microsoft.com/office/2006/documentManagement/types"/>
    <ds:schemaRef ds:uri="08927195-b699-4be0-9ee2-6c66dc215b5a"/>
    <ds:schemaRef ds:uri="http://schemas.openxmlformats.org/package/2006/metadata/core-properties"/>
    <ds:schemaRef ds:uri="a41a97bf-0494-41d8-ba3d-259bd7771890"/>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1354</Words>
  <Characters>7719</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2024-05-15T13:01:00Z</dcterms:created>
  <dcterms:modified xsi:type="dcterms:W3CDTF">2024-05-15T13:01:00Z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