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C6D0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C6D0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C6D0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C6D0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C6D0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C6D0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D615643" w:rsidR="00546DB1" w:rsidRPr="00546DB1" w:rsidRDefault="004A1E3C" w:rsidP="00AB56F9">
                <w:pPr>
                  <w:tabs>
                    <w:tab w:val="left" w:pos="426"/>
                  </w:tabs>
                  <w:spacing w:before="120"/>
                  <w:rPr>
                    <w:bCs/>
                    <w:lang w:val="en-IE" w:eastAsia="en-GB"/>
                  </w:rPr>
                </w:pPr>
                <w:r>
                  <w:rPr>
                    <w:bCs/>
                    <w:lang w:eastAsia="en-GB"/>
                  </w:rPr>
                  <w:t xml:space="preserve">NEAR.A5 abgeordnet </w:t>
                </w:r>
                <w:proofErr w:type="spellStart"/>
                <w:r>
                  <w:rPr>
                    <w:bCs/>
                    <w:lang w:eastAsia="en-GB"/>
                  </w:rPr>
                  <w:t>to</w:t>
                </w:r>
                <w:proofErr w:type="spellEnd"/>
                <w:r>
                  <w:rPr>
                    <w:bCs/>
                    <w:lang w:eastAsia="en-GB"/>
                  </w:rPr>
                  <w:t xml:space="preserve"> </w:t>
                </w:r>
                <w:r w:rsidR="00781598">
                  <w:rPr>
                    <w:bCs/>
                    <w:lang w:eastAsia="en-GB"/>
                  </w:rPr>
                  <w:t>INTPA.E6</w:t>
                </w:r>
              </w:p>
            </w:tc>
          </w:sdtContent>
        </w:sdt>
      </w:tr>
      <w:tr w:rsidR="00546DB1" w:rsidRPr="004A1E3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0B3887F" w:rsidR="00546DB1" w:rsidRPr="003B2E38" w:rsidRDefault="008C6D09" w:rsidP="00AB56F9">
                <w:pPr>
                  <w:tabs>
                    <w:tab w:val="left" w:pos="426"/>
                  </w:tabs>
                  <w:spacing w:before="120"/>
                  <w:rPr>
                    <w:bCs/>
                    <w:lang w:val="en-IE" w:eastAsia="en-GB"/>
                  </w:rPr>
                </w:pPr>
                <w:r w:rsidRPr="008C6D09">
                  <w:rPr>
                    <w:bCs/>
                    <w:lang w:eastAsia="en-GB"/>
                  </w:rPr>
                  <w:t>275691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64D6243" w:rsidR="00546DB1" w:rsidRPr="00781598" w:rsidRDefault="00781598" w:rsidP="00AB56F9">
                <w:pPr>
                  <w:tabs>
                    <w:tab w:val="left" w:pos="426"/>
                  </w:tabs>
                  <w:spacing w:before="120"/>
                  <w:rPr>
                    <w:bCs/>
                    <w:lang w:eastAsia="en-GB"/>
                  </w:rPr>
                </w:pPr>
                <w:r>
                  <w:rPr>
                    <w:bCs/>
                    <w:lang w:eastAsia="en-GB"/>
                  </w:rPr>
                  <w:t>Torsten EWERBECK</w:t>
                </w:r>
              </w:p>
            </w:sdtContent>
          </w:sdt>
          <w:p w14:paraId="227D6F6E" w14:textId="6693FD4B" w:rsidR="00546DB1" w:rsidRPr="009F216F" w:rsidRDefault="008C6D0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81598">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81598">
                      <w:rPr>
                        <w:bCs/>
                        <w:lang w:eastAsia="en-GB"/>
                      </w:rPr>
                      <w:t>2024</w:t>
                    </w:r>
                  </w:sdtContent>
                </w:sdt>
              </w:sdtContent>
            </w:sdt>
          </w:p>
          <w:p w14:paraId="4128A55A" w14:textId="4484D3B8" w:rsidR="00546DB1" w:rsidRPr="00546DB1" w:rsidRDefault="008C6D0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81598">
                  <w:rPr>
                    <w:bCs/>
                    <w:lang w:eastAsia="en-GB"/>
                  </w:rPr>
                  <w:t>3</w:t>
                </w:r>
              </w:sdtContent>
            </w:sdt>
            <w:r w:rsidR="00546DB1" w:rsidRPr="00546DB1">
              <w:rPr>
                <w:bCs/>
                <w:lang w:eastAsia="en-GB"/>
              </w:rPr>
              <w:t xml:space="preserve"> </w:t>
            </w:r>
            <w:r w:rsidR="00546DB1">
              <w:rPr>
                <w:bCs/>
                <w:lang w:eastAsia="en-GB"/>
              </w:rPr>
              <w:t>Jahr</w:t>
            </w:r>
            <w:r w:rsidR="00781598">
              <w:rPr>
                <w:bCs/>
                <w:lang w:eastAsia="en-GB"/>
              </w:rPr>
              <w:t>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8159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46BF2D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9C7374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C6D0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C6D0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2D0A84B0" w:rsidR="00AB56F9" w:rsidRDefault="008C6D09" w:rsidP="005610FC">
            <w:pPr>
              <w:tabs>
                <w:tab w:val="left" w:pos="426"/>
              </w:tabs>
              <w:spacing w:after="120"/>
              <w:ind w:left="567"/>
              <w:jc w:val="left"/>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5610FC">
                  <w:rPr>
                    <w:rFonts w:ascii="MS Gothic" w:eastAsia="MS Gothic" w:hAnsi="MS Gothic" w:hint="eastAsia"/>
                    <w:bCs/>
                    <w:szCs w:val="24"/>
                    <w:lang w:eastAsia="en-GB"/>
                  </w:rPr>
                  <w:t>☒</w:t>
                </w:r>
              </w:sdtContent>
            </w:sdt>
            <w:r w:rsidR="00C27C81">
              <w:rPr>
                <w:bCs/>
                <w:szCs w:val="24"/>
                <w:lang w:eastAsia="en-GB"/>
              </w:rPr>
              <w:t xml:space="preserve"> </w:t>
            </w:r>
            <w:r w:rsidR="00AB56F9" w:rsidRPr="005610FC">
              <w:rPr>
                <w:bCs/>
                <w:szCs w:val="24"/>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5610FC" w:rsidRPr="005610FC">
                  <w:rPr>
                    <w:bCs/>
                    <w:szCs w:val="24"/>
                    <w:lang w:eastAsia="en-GB"/>
                  </w:rPr>
                  <w:t>Europäische Investitionsbank</w:t>
                </w:r>
              </w:sdtContent>
            </w:sdt>
            <w:r w:rsidR="005610FC">
              <w:rPr>
                <w:bCs/>
                <w:szCs w:val="24"/>
                <w:lang w:eastAsia="en-GB"/>
              </w:rPr>
              <w:t xml:space="preserve">, </w:t>
            </w:r>
            <w:r w:rsidR="005610FC" w:rsidRPr="005610FC">
              <w:rPr>
                <w:bCs/>
                <w:szCs w:val="24"/>
                <w:lang w:eastAsia="en-GB"/>
              </w:rPr>
              <w:t>Europäische Bank für Wiederaufbau und Entwicklung</w:t>
            </w:r>
            <w:r w:rsidR="002C5752" w:rsidRPr="00C27C81">
              <w:rPr>
                <w:bCs/>
                <w:szCs w:val="24"/>
                <w:lang w:eastAsia="en-GB"/>
              </w:rPr>
              <w:t xml:space="preserve"> </w:t>
            </w:r>
          </w:p>
          <w:p w14:paraId="1C760A76" w14:textId="1510F44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C0D46D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F1CE985" w:rsidR="00785A3F" w:rsidRPr="0007110E" w:rsidRDefault="00785A3F" w:rsidP="008C6D09">
            <w:pPr>
              <w:tabs>
                <w:tab w:val="left" w:pos="426"/>
                <w:tab w:val="left" w:pos="4788"/>
                <w:tab w:val="right" w:pos="5275"/>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Content>
                <w:r w:rsidR="008C6D09" w:rsidRPr="008C6D09">
                  <w:rPr>
                    <w:bCs/>
                    <w:lang w:val="en-IE" w:eastAsia="en-GB"/>
                  </w:rPr>
                  <w:t>25-06-2024</w:t>
                </w:r>
              </w:sdtContent>
            </w:sdt>
            <w:r w:rsidR="008C6D09">
              <w:rPr>
                <w:bCs/>
                <w:lang w:val="en-IE" w:eastAsia="en-GB"/>
              </w:rPr>
              <w:tab/>
            </w:r>
            <w:r w:rsidR="008C6D09" w:rsidRPr="008C6D09">
              <w:rPr>
                <w:b/>
                <w:lang w:val="en-IE" w:eastAsia="en-GB"/>
              </w:rPr>
              <w:t>(</w:t>
            </w:r>
            <w:r w:rsidR="008C6D09" w:rsidRPr="008C6D09">
              <w:rPr>
                <w:b/>
                <w:lang w:val="en-IE" w:eastAsia="en-GB"/>
              </w:rPr>
              <w:t xml:space="preserve">Die </w:t>
            </w:r>
            <w:proofErr w:type="spellStart"/>
            <w:r w:rsidR="008C6D09" w:rsidRPr="008C6D09">
              <w:rPr>
                <w:b/>
                <w:lang w:val="en-IE" w:eastAsia="en-GB"/>
              </w:rPr>
              <w:t>Auswahlgespräche</w:t>
            </w:r>
            <w:proofErr w:type="spellEnd"/>
            <w:r w:rsidR="008C6D09" w:rsidRPr="008C6D09">
              <w:rPr>
                <w:b/>
                <w:lang w:val="en-IE" w:eastAsia="en-GB"/>
              </w:rPr>
              <w:t xml:space="preserve"> </w:t>
            </w:r>
            <w:proofErr w:type="spellStart"/>
            <w:r w:rsidR="008C6D09" w:rsidRPr="008C6D09">
              <w:rPr>
                <w:b/>
                <w:lang w:val="en-IE" w:eastAsia="en-GB"/>
              </w:rPr>
              <w:t>werden</w:t>
            </w:r>
            <w:proofErr w:type="spellEnd"/>
            <w:r w:rsidR="008C6D09" w:rsidRPr="008C6D09">
              <w:rPr>
                <w:b/>
                <w:lang w:val="en-IE" w:eastAsia="en-GB"/>
              </w:rPr>
              <w:t xml:space="preserve"> </w:t>
            </w:r>
            <w:proofErr w:type="spellStart"/>
            <w:r w:rsidR="008C6D09" w:rsidRPr="008C6D09">
              <w:rPr>
                <w:b/>
                <w:lang w:val="en-IE" w:eastAsia="en-GB"/>
              </w:rPr>
              <w:t>zwischen</w:t>
            </w:r>
            <w:proofErr w:type="spellEnd"/>
            <w:r w:rsidR="008C6D09" w:rsidRPr="008C6D09">
              <w:rPr>
                <w:b/>
                <w:lang w:val="en-IE" w:eastAsia="en-GB"/>
              </w:rPr>
              <w:t xml:space="preserve"> </w:t>
            </w:r>
            <w:proofErr w:type="spellStart"/>
            <w:r w:rsidR="008C6D09" w:rsidRPr="008C6D09">
              <w:rPr>
                <w:b/>
                <w:lang w:val="en-IE" w:eastAsia="en-GB"/>
              </w:rPr>
              <w:t>dem</w:t>
            </w:r>
            <w:proofErr w:type="spellEnd"/>
            <w:r w:rsidR="008C6D09" w:rsidRPr="008C6D09">
              <w:rPr>
                <w:b/>
                <w:lang w:val="en-IE" w:eastAsia="en-GB"/>
              </w:rPr>
              <w:t xml:space="preserve"> 26.06.2024 und </w:t>
            </w:r>
            <w:proofErr w:type="spellStart"/>
            <w:r w:rsidR="008C6D09" w:rsidRPr="008C6D09">
              <w:rPr>
                <w:b/>
                <w:lang w:val="en-IE" w:eastAsia="en-GB"/>
              </w:rPr>
              <w:t>dem</w:t>
            </w:r>
            <w:proofErr w:type="spellEnd"/>
            <w:r w:rsidR="008C6D09" w:rsidRPr="008C6D09">
              <w:rPr>
                <w:b/>
                <w:lang w:val="en-IE" w:eastAsia="en-GB"/>
              </w:rPr>
              <w:t xml:space="preserve"> 02.07.2024 </w:t>
            </w:r>
            <w:proofErr w:type="spellStart"/>
            <w:r w:rsidR="008C6D09" w:rsidRPr="008C6D09">
              <w:rPr>
                <w:b/>
                <w:lang w:val="en-IE" w:eastAsia="en-GB"/>
              </w:rPr>
              <w:t>stattfinden</w:t>
            </w:r>
            <w:proofErr w:type="spellEnd"/>
            <w:r w:rsidR="008C6D09" w:rsidRPr="008C6D09">
              <w:rPr>
                <w:b/>
                <w:lang w:val="en-IE" w:eastAsia="en-GB"/>
              </w:rPr>
              <w:t>).</w:t>
            </w:r>
            <w:r w:rsidR="008C6D09" w:rsidRPr="008C6D09">
              <w:rPr>
                <w:b/>
                <w:lang w:val="en-IE" w:eastAsia="en-GB"/>
              </w:rPr>
              <w:tab/>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E4FAC" w:rsidRDefault="00803007" w:rsidP="007C07D8">
      <w:pPr>
        <w:pStyle w:val="ListNumber"/>
        <w:numPr>
          <w:ilvl w:val="0"/>
          <w:numId w:val="0"/>
        </w:numPr>
        <w:ind w:left="709" w:hanging="709"/>
        <w:rPr>
          <w:lang w:eastAsia="en-GB"/>
        </w:rPr>
      </w:pPr>
      <w:r w:rsidRPr="005E4FAC">
        <w:rPr>
          <w:b/>
          <w:bCs/>
          <w:lang w:eastAsia="en-GB"/>
        </w:rPr>
        <w:lastRenderedPageBreak/>
        <w:t>Wer wi</w:t>
      </w:r>
      <w:r w:rsidR="002F7504" w:rsidRPr="005E4FAC">
        <w:rPr>
          <w:b/>
          <w:bCs/>
          <w:lang w:eastAsia="en-GB"/>
        </w:rPr>
        <w:t>r</w:t>
      </w:r>
      <w:r w:rsidRPr="005E4FAC">
        <w:rPr>
          <w:b/>
          <w:bCs/>
          <w:lang w:eastAsia="en-GB"/>
        </w:rPr>
        <w:t xml:space="preserve"> sind</w:t>
      </w:r>
    </w:p>
    <w:sdt>
      <w:sdtPr>
        <w:rPr>
          <w:lang w:val="en-US" w:eastAsia="en-GB"/>
        </w:rPr>
        <w:id w:val="1822233941"/>
        <w:placeholder>
          <w:docPart w:val="FE6C9874556B47B1A65A432926DB0BCE"/>
        </w:placeholder>
      </w:sdtPr>
      <w:sdtEndPr/>
      <w:sdtContent>
        <w:sdt>
          <w:sdtPr>
            <w:rPr>
              <w:lang w:val="en-IE" w:eastAsia="en-GB"/>
            </w:rPr>
            <w:id w:val="451449509"/>
            <w:placeholder>
              <w:docPart w:val="63856332EE0F474E838BF06C902C23F6"/>
            </w:placeholder>
          </w:sdtPr>
          <w:sdtEndPr/>
          <w:sdtContent>
            <w:p w14:paraId="1502B8B9" w14:textId="7D1104CC" w:rsidR="00781598" w:rsidRPr="00781598" w:rsidRDefault="00781598" w:rsidP="00781598">
              <w:pPr>
                <w:rPr>
                  <w:lang w:val="de" w:eastAsia="en-GB"/>
                </w:rPr>
              </w:pPr>
              <w:r w:rsidRPr="00781598">
                <w:rPr>
                  <w:lang w:val="de" w:eastAsia="en-GB"/>
                </w:rPr>
                <w:t xml:space="preserve">Im Rahmen des Europäischen Fonds für nachhaltige Entwicklung+ (EFSD+) und der Garantie für Außenmaßnahmen werden das damit verbundene Kreditrisikomanagement und die entsprechenden Aufgaben vom </w:t>
              </w:r>
              <w:r w:rsidR="005E4FAC">
                <w:rPr>
                  <w:lang w:val="de" w:eastAsia="en-GB"/>
                </w:rPr>
                <w:t>einem</w:t>
              </w:r>
              <w:r w:rsidRPr="00781598">
                <w:rPr>
                  <w:lang w:val="de" w:eastAsia="en-GB"/>
                </w:rPr>
                <w:t xml:space="preserve"> Risikomanagementreferat durchgeführt, das </w:t>
              </w:r>
              <w:r w:rsidR="005E4FAC">
                <w:rPr>
                  <w:lang w:val="de" w:eastAsia="en-GB"/>
                </w:rPr>
                <w:t>ebenfalls die</w:t>
              </w:r>
              <w:r w:rsidRPr="00781598">
                <w:rPr>
                  <w:lang w:val="de" w:eastAsia="en-GB"/>
                </w:rPr>
                <w:t xml:space="preserve"> neue Fazilität für die Ukraine abdeckt.  </w:t>
              </w:r>
            </w:p>
            <w:p w14:paraId="247544AF" w14:textId="0FB59EFA" w:rsidR="00781598" w:rsidRPr="00781598" w:rsidRDefault="00781598" w:rsidP="00781598">
              <w:pPr>
                <w:rPr>
                  <w:lang w:val="de" w:eastAsia="en-GB"/>
                </w:rPr>
              </w:pPr>
              <w:r w:rsidRPr="00781598">
                <w:rPr>
                  <w:lang w:val="de" w:eastAsia="en-GB"/>
                </w:rPr>
                <w:t xml:space="preserve">Die Gewährleistung eines wirksamen Risikomanagements für die Umsetzung des EFSD+ und der neuen Fazilität für die Ukraine ist angesichts der Wirtschaftlichkeit der Haushaltsführung und der besonderen Herausforderungen bei der Investitionsförderung in der Ukraine und anderen Partnerländern von entscheidender Bedeutung. </w:t>
              </w:r>
              <w:r w:rsidR="00E21F46">
                <w:rPr>
                  <w:lang w:val="de" w:eastAsia="en-GB"/>
                </w:rPr>
                <w:t xml:space="preserve">In diesem Kontext </w:t>
              </w:r>
              <w:r w:rsidRPr="00781598">
                <w:rPr>
                  <w:lang w:val="de" w:eastAsia="en-GB"/>
                </w:rPr>
                <w:t>hat die Kommission ihre Kapazitäten zur Bewertung und Steuerung der Kreditrisiken ausgebaut, auch durch die Entsendung von Risikoexperten von Finanzinstituten</w:t>
              </w:r>
              <w:r w:rsidR="002F2F49">
                <w:rPr>
                  <w:lang w:val="de" w:eastAsia="en-GB"/>
                </w:rPr>
                <w:t xml:space="preserve"> und Mietgliedstaaten</w:t>
              </w:r>
              <w:r w:rsidRPr="00781598">
                <w:rPr>
                  <w:lang w:val="de" w:eastAsia="en-GB"/>
                </w:rPr>
                <w:t>.  </w:t>
              </w:r>
            </w:p>
          </w:sdtContent>
        </w:sdt>
        <w:p w14:paraId="76DD1EEA" w14:textId="41D8BF3F" w:rsidR="00803007" w:rsidRDefault="008C6D09" w:rsidP="00803007">
          <w:pPr>
            <w:rPr>
              <w:lang w:val="en-US" w:eastAsia="en-GB"/>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099290613"/>
            <w:placeholder>
              <w:docPart w:val="5E56E3B1CDAC45B898621CAD3135D746"/>
            </w:placeholder>
          </w:sdtPr>
          <w:sdtEndPr/>
          <w:sdtContent>
            <w:p w14:paraId="169C0814" w14:textId="4DF689DA" w:rsidR="00781598" w:rsidRPr="00781598" w:rsidRDefault="00781598" w:rsidP="00781598">
              <w:pPr>
                <w:rPr>
                  <w:lang w:val="de" w:eastAsia="en-GB"/>
                </w:rPr>
              </w:pPr>
              <w:r w:rsidRPr="00781598">
                <w:rPr>
                  <w:lang w:val="de" w:eastAsia="en-GB"/>
                </w:rPr>
                <w:t>Ein Risiko</w:t>
              </w:r>
              <w:r w:rsidR="00E21F46">
                <w:rPr>
                  <w:lang w:val="de" w:eastAsia="en-GB"/>
                </w:rPr>
                <w:t>experte</w:t>
              </w:r>
              <w:r w:rsidRPr="00781598">
                <w:rPr>
                  <w:lang w:val="de" w:eastAsia="en-GB"/>
                </w:rPr>
                <w:t>, der zur Gestaltung und Umsetzung von Haushaltsgarantien und Finanzierungsinstrumenten beitragen wird, die aus dem EU-Haushalt finanziert werden, wobei der Schwerpunkt auf der Ukraine-Fazilität liegt.</w:t>
              </w:r>
            </w:p>
            <w:p w14:paraId="2E4041DF" w14:textId="77777777" w:rsidR="00781598" w:rsidRPr="00781598" w:rsidRDefault="00781598" w:rsidP="00781598">
              <w:pPr>
                <w:rPr>
                  <w:i/>
                  <w:u w:val="single"/>
                  <w:lang w:val="de" w:eastAsia="en-GB"/>
                </w:rPr>
              </w:pPr>
              <w:r w:rsidRPr="00781598">
                <w:rPr>
                  <w:i/>
                  <w:u w:val="single"/>
                  <w:lang w:val="de" w:eastAsia="en-GB"/>
                </w:rPr>
                <w:t xml:space="preserve">Wichtigste Zuständigkeiten: </w:t>
              </w:r>
            </w:p>
            <w:p w14:paraId="722BC693" w14:textId="77777777" w:rsidR="00781598" w:rsidRPr="00781598" w:rsidRDefault="00781598" w:rsidP="00781598">
              <w:pPr>
                <w:rPr>
                  <w:lang w:val="de" w:eastAsia="en-GB"/>
                </w:rPr>
              </w:pPr>
              <w:r w:rsidRPr="00781598">
                <w:rPr>
                  <w:lang w:val="de" w:eastAsia="en-GB"/>
                </w:rPr>
                <w:t>• Beitrag zur Bewertung des erwarteten Risikoprofils von Garantien sowohl für einzelne Programme als auch im Verhältnis zum Gesamtrisiko.</w:t>
              </w:r>
            </w:p>
            <w:p w14:paraId="146DE8F2" w14:textId="353AA5D1" w:rsidR="00781598" w:rsidRPr="00781598" w:rsidRDefault="00781598" w:rsidP="00781598">
              <w:pPr>
                <w:rPr>
                  <w:lang w:val="de" w:eastAsia="en-GB"/>
                </w:rPr>
              </w:pPr>
              <w:r w:rsidRPr="00781598">
                <w:rPr>
                  <w:lang w:val="de" w:eastAsia="en-GB"/>
                </w:rPr>
                <w:t>• Unterstützung bei der Strukturierung von Garantievorschlägen und Beratung in Bezug auf die Garantie</w:t>
              </w:r>
              <w:r w:rsidR="00E21F46">
                <w:rPr>
                  <w:lang w:val="de" w:eastAsia="en-GB"/>
                </w:rPr>
                <w:t>gebühr</w:t>
              </w:r>
              <w:r w:rsidRPr="00781598">
                <w:rPr>
                  <w:lang w:val="de" w:eastAsia="en-GB"/>
                </w:rPr>
                <w:t xml:space="preserve"> auf der Grundlage der Risikopolitik und der </w:t>
              </w:r>
              <w:r w:rsidR="00E21F46">
                <w:rPr>
                  <w:lang w:val="de" w:eastAsia="en-GB"/>
                </w:rPr>
                <w:t>P</w:t>
              </w:r>
              <w:r w:rsidRPr="00781598">
                <w:rPr>
                  <w:lang w:val="de" w:eastAsia="en-GB"/>
                </w:rPr>
                <w:t>reisbildungsgrundsätze der Kommission</w:t>
              </w:r>
              <w:r w:rsidR="00E21F46">
                <w:rPr>
                  <w:lang w:val="de" w:eastAsia="en-GB"/>
                </w:rPr>
                <w:t xml:space="preserve"> für Garantien</w:t>
              </w:r>
              <w:r w:rsidRPr="00781598">
                <w:rPr>
                  <w:lang w:val="de" w:eastAsia="en-GB"/>
                </w:rPr>
                <w:t>.</w:t>
              </w:r>
            </w:p>
            <w:p w14:paraId="578E42FC" w14:textId="77777777" w:rsidR="00781598" w:rsidRPr="00781598" w:rsidRDefault="00781598" w:rsidP="00781598">
              <w:pPr>
                <w:rPr>
                  <w:lang w:val="de" w:eastAsia="en-GB"/>
                </w:rPr>
              </w:pPr>
              <w:r w:rsidRPr="00781598">
                <w:rPr>
                  <w:lang w:val="de" w:eastAsia="en-GB"/>
                </w:rPr>
                <w:t>• Beitrag zur Vorbereitung und Aushandlung von Finanzierungsvereinbarungen mit Finanzinstituten, die von der EU unterstützt werden, soweit es um risikobezogene Aspekte geht.</w:t>
              </w:r>
            </w:p>
            <w:p w14:paraId="07ACAACC" w14:textId="77777777" w:rsidR="00781598" w:rsidRPr="00781598" w:rsidRDefault="00781598" w:rsidP="00781598">
              <w:pPr>
                <w:rPr>
                  <w:lang w:val="de" w:eastAsia="en-GB"/>
                </w:rPr>
              </w:pPr>
              <w:r w:rsidRPr="00781598">
                <w:rPr>
                  <w:lang w:val="de" w:eastAsia="en-GB"/>
                </w:rPr>
                <w:t>• Unterstützung bei der Überwachung der Entwicklung des Risikoprofils der zugrunde liegenden Risikopositionen, für die eine EU-Garantie gewährt wird, sowie des gesamten Portfolios.</w:t>
              </w:r>
            </w:p>
            <w:p w14:paraId="06210125" w14:textId="251C8269" w:rsidR="00781598" w:rsidRPr="00781598" w:rsidRDefault="00781598" w:rsidP="00781598">
              <w:pPr>
                <w:rPr>
                  <w:lang w:val="de" w:eastAsia="en-GB"/>
                </w:rPr>
              </w:pPr>
              <w:r w:rsidRPr="00781598">
                <w:rPr>
                  <w:lang w:val="de" w:eastAsia="en-GB"/>
                </w:rPr>
                <w:t xml:space="preserve">• Beratung zur Angemessenheit der Haushaltsmittel und zum Liquiditätsbedarf. Durchführung von Szenario-Analysen und Stresstests für das </w:t>
              </w:r>
              <w:r w:rsidR="00E21F46">
                <w:rPr>
                  <w:lang w:val="de" w:eastAsia="en-GB"/>
                </w:rPr>
                <w:t>Ökonomische K</w:t>
              </w:r>
              <w:r w:rsidRPr="00781598">
                <w:rPr>
                  <w:lang w:val="de" w:eastAsia="en-GB"/>
                </w:rPr>
                <w:t>apital.</w:t>
              </w:r>
            </w:p>
            <w:p w14:paraId="3B35A249" w14:textId="77777777" w:rsidR="00781598" w:rsidRPr="00781598" w:rsidRDefault="00781598" w:rsidP="00781598">
              <w:pPr>
                <w:rPr>
                  <w:lang w:val="de" w:eastAsia="en-GB"/>
                </w:rPr>
              </w:pPr>
              <w:r w:rsidRPr="00781598">
                <w:rPr>
                  <w:lang w:val="de" w:eastAsia="en-GB"/>
                </w:rPr>
                <w:t>• Unterstützung der allgemeinen Risikoberichterstattung und der Risikoüberwachung.</w:t>
              </w:r>
            </w:p>
          </w:sdtContent>
        </w:sdt>
        <w:p w14:paraId="12B9C59B" w14:textId="139FAD0E" w:rsidR="00803007" w:rsidRPr="009F216F" w:rsidRDefault="008C6D09"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B48C78DC09DE434086CBD09E9CC926FF"/>
            </w:placeholder>
          </w:sdtPr>
          <w:sdtEndPr/>
          <w:sdtContent>
            <w:p w14:paraId="4FDEEB06" w14:textId="77777777" w:rsidR="00781598" w:rsidRPr="00781598" w:rsidRDefault="00781598" w:rsidP="00781598">
              <w:pPr>
                <w:rPr>
                  <w:lang w:val="de" w:eastAsia="en-GB"/>
                </w:rPr>
              </w:pPr>
              <w:r w:rsidRPr="00781598">
                <w:rPr>
                  <w:lang w:val="de" w:eastAsia="en-GB"/>
                </w:rPr>
                <w:t xml:space="preserve">Master-/PhD-Abschluss in Wirtschaftswissenschaften, Finanzen, Finanzökonomie (Statistik), Naturwissenschaften (Mathematik, Ingenieurwissenschaften), </w:t>
              </w:r>
              <w:r w:rsidRPr="00781598">
                <w:rPr>
                  <w:lang w:val="de" w:eastAsia="en-GB"/>
                </w:rPr>
                <w:lastRenderedPageBreak/>
                <w:t xml:space="preserve">Actuarialwissenschaften, gleichwertige Qualifikation oder ein ähnliches Fachgebiet. Zertifizierungen der Finanzbranche wie CFA oder FRM sind ein Plus. </w:t>
              </w:r>
            </w:p>
            <w:p w14:paraId="35EB167A" w14:textId="7E36E14F" w:rsidR="00781598" w:rsidRPr="00781598" w:rsidRDefault="00781598" w:rsidP="00781598">
              <w:pPr>
                <w:rPr>
                  <w:lang w:val="de" w:eastAsia="en-GB"/>
                </w:rPr>
              </w:pPr>
              <w:r w:rsidRPr="00781598">
                <w:rPr>
                  <w:lang w:val="de" w:eastAsia="en-GB"/>
                </w:rPr>
                <w:t xml:space="preserve">Mindestens drei Jahre einschlägige Berufserfahrung, idealerweise in einer öffentlichen oder privaten Finanzinstitution. </w:t>
              </w:r>
              <w:r w:rsidR="00E21F46">
                <w:rPr>
                  <w:lang w:val="de" w:eastAsia="en-GB"/>
                </w:rPr>
                <w:t>Programmierkenntnisse</w:t>
              </w:r>
              <w:r w:rsidRPr="00781598">
                <w:rPr>
                  <w:lang w:val="de" w:eastAsia="en-GB"/>
                </w:rPr>
                <w:t>, z. B.</w:t>
              </w:r>
              <w:r w:rsidR="00E21F46">
                <w:rPr>
                  <w:lang w:val="de" w:eastAsia="en-GB"/>
                </w:rPr>
                <w:t xml:space="preserve"> </w:t>
              </w:r>
              <w:r w:rsidRPr="00781598">
                <w:rPr>
                  <w:lang w:val="de" w:eastAsia="en-GB"/>
                </w:rPr>
                <w:t>Python, R, Excel, VBA oder SQL, sind ein Plus.</w:t>
              </w:r>
            </w:p>
            <w:p w14:paraId="16CA233C" w14:textId="23399514" w:rsidR="00781598" w:rsidRPr="00781598" w:rsidRDefault="00E21F46" w:rsidP="00781598">
              <w:pPr>
                <w:rPr>
                  <w:lang w:val="de" w:eastAsia="en-GB"/>
                </w:rPr>
              </w:pPr>
              <w:r>
                <w:rPr>
                  <w:lang w:val="de" w:eastAsia="en-GB"/>
                </w:rPr>
                <w:t>Erfahrungen</w:t>
              </w:r>
              <w:r w:rsidR="00781598" w:rsidRPr="00781598">
                <w:rPr>
                  <w:lang w:val="de" w:eastAsia="en-GB"/>
                </w:rPr>
                <w:t xml:space="preserve"> mit </w:t>
              </w:r>
              <w:r w:rsidR="00EA1001">
                <w:rPr>
                  <w:lang w:val="de" w:eastAsia="en-GB"/>
                </w:rPr>
                <w:t>bonitätsverbessernden</w:t>
              </w:r>
              <w:r w:rsidR="00781598" w:rsidRPr="00781598">
                <w:rPr>
                  <w:lang w:val="de" w:eastAsia="en-GB"/>
                </w:rPr>
                <w:t xml:space="preserve"> Mechanismen und Risiko</w:t>
              </w:r>
              <w:r w:rsidR="00EA1001">
                <w:rPr>
                  <w:lang w:val="de" w:eastAsia="en-GB"/>
                </w:rPr>
                <w:t>reduzi</w:t>
              </w:r>
              <w:r w:rsidR="00781598" w:rsidRPr="00781598">
                <w:rPr>
                  <w:lang w:val="de" w:eastAsia="en-GB"/>
                </w:rPr>
                <w:t xml:space="preserve">erung, Garantien, Kreditprodukten, strukturierten Finanzprodukten und Beteiligungsinvestitionen. Kenntnisse und Erfahrungen mit der Bewertung und den Verfahren im Zusammenhang mit Kredit- und Investitionsrisiken. Quantitative Fähigkeiten und Verständnis der Datenstruktur, der Systeminfrastruktur und </w:t>
              </w:r>
              <w:r w:rsidR="00EA1001">
                <w:rPr>
                  <w:lang w:val="de" w:eastAsia="en-GB"/>
                </w:rPr>
                <w:t>von</w:t>
              </w:r>
              <w:r w:rsidR="00781598" w:rsidRPr="00781598">
                <w:rPr>
                  <w:lang w:val="de" w:eastAsia="en-GB"/>
                </w:rPr>
                <w:t xml:space="preserve"> </w:t>
              </w:r>
              <w:r w:rsidR="00EA1001">
                <w:rPr>
                  <w:lang w:val="de" w:eastAsia="en-GB"/>
                </w:rPr>
                <w:t xml:space="preserve">mit der Thematik verbundenen </w:t>
              </w:r>
              <w:r w:rsidR="00781598" w:rsidRPr="00781598">
                <w:rPr>
                  <w:lang w:val="de" w:eastAsia="en-GB"/>
                </w:rPr>
                <w:t xml:space="preserve">Anwendungsfunktionen wären von Vorteil. </w:t>
              </w:r>
            </w:p>
            <w:p w14:paraId="63B67143" w14:textId="1B93E548" w:rsidR="00781598" w:rsidRPr="00781598" w:rsidRDefault="00781598" w:rsidP="00781598">
              <w:pPr>
                <w:rPr>
                  <w:lang w:val="de" w:eastAsia="en-GB"/>
                </w:rPr>
              </w:pPr>
              <w:r w:rsidRPr="00781598">
                <w:rPr>
                  <w:lang w:val="de" w:eastAsia="en-GB"/>
                </w:rPr>
                <w:t>Gute mündliche und schriftliche Kommunikationsfähigkeiten auf Englisch</w:t>
              </w:r>
              <w:r w:rsidR="00EA1001">
                <w:rPr>
                  <w:lang w:val="de" w:eastAsia="en-GB"/>
                </w:rPr>
                <w:t>.</w:t>
              </w:r>
              <w:r w:rsidRPr="00781598">
                <w:rPr>
                  <w:lang w:val="de" w:eastAsia="en-GB"/>
                </w:rPr>
                <w:t xml:space="preserve"> Französischkenntnisse wären von Vorteil. Fähigkeit, mit Kollegen außerhalb des Finanzsektors klar über komplexe Finanzthemen zu kommunizieren. </w:t>
              </w:r>
            </w:p>
          </w:sdtContent>
        </w:sdt>
        <w:p w14:paraId="2A0F153A" w14:textId="69240795" w:rsidR="009321C6" w:rsidRPr="009F216F" w:rsidRDefault="008C6D09"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7DE33632"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w:t>
      </w:r>
      <w:r w:rsidR="005610FC">
        <w:rPr>
          <w:lang w:eastAsia="en-GB"/>
        </w:rPr>
        <w:t>, eine Enwicklungsbank</w:t>
      </w:r>
      <w:r w:rsidRPr="00D605F4">
        <w:rPr>
          <w:lang w:eastAsia="en-GB"/>
        </w:rPr>
        <w:t xml:space="preserve">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Default="00546DB1" w:rsidP="007B514A">
      <w:pPr>
        <w:tabs>
          <w:tab w:val="left" w:pos="709"/>
        </w:tabs>
        <w:spacing w:after="0"/>
        <w:ind w:right="60"/>
        <w:rPr>
          <w:lang w:eastAsia="en-GB"/>
        </w:rPr>
      </w:pPr>
    </w:p>
    <w:p w14:paraId="2553A185" w14:textId="77777777" w:rsidR="00EA1001" w:rsidRDefault="00EA1001" w:rsidP="007B514A">
      <w:pPr>
        <w:tabs>
          <w:tab w:val="left" w:pos="709"/>
        </w:tabs>
        <w:spacing w:after="0"/>
        <w:ind w:right="60"/>
        <w:rPr>
          <w:lang w:eastAsia="en-GB"/>
        </w:rPr>
      </w:pPr>
    </w:p>
    <w:p w14:paraId="7CED3B53" w14:textId="77777777" w:rsidR="00EA1001" w:rsidRDefault="00EA1001" w:rsidP="007B514A">
      <w:pPr>
        <w:tabs>
          <w:tab w:val="left" w:pos="709"/>
        </w:tabs>
        <w:spacing w:after="0"/>
        <w:ind w:right="60"/>
        <w:rPr>
          <w:lang w:eastAsia="en-GB"/>
        </w:rPr>
      </w:pPr>
    </w:p>
    <w:p w14:paraId="77FE8C7F" w14:textId="77777777" w:rsidR="00EA1001" w:rsidRDefault="00EA1001" w:rsidP="007B514A">
      <w:pPr>
        <w:tabs>
          <w:tab w:val="left" w:pos="709"/>
        </w:tabs>
        <w:spacing w:after="0"/>
        <w:ind w:right="60"/>
        <w:rPr>
          <w:lang w:eastAsia="en-GB"/>
        </w:rPr>
      </w:pPr>
    </w:p>
    <w:p w14:paraId="4B72F9FA" w14:textId="77777777" w:rsidR="00EA1001" w:rsidRPr="00D605F4" w:rsidRDefault="00EA100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2F49"/>
    <w:rsid w:val="002F7504"/>
    <w:rsid w:val="00324D8D"/>
    <w:rsid w:val="0035094A"/>
    <w:rsid w:val="003874E2"/>
    <w:rsid w:val="0039387D"/>
    <w:rsid w:val="00394A86"/>
    <w:rsid w:val="003B2E38"/>
    <w:rsid w:val="004A1E3C"/>
    <w:rsid w:val="004D75AF"/>
    <w:rsid w:val="00546DB1"/>
    <w:rsid w:val="005610FC"/>
    <w:rsid w:val="005E4FAC"/>
    <w:rsid w:val="006243BB"/>
    <w:rsid w:val="00676119"/>
    <w:rsid w:val="006F44C9"/>
    <w:rsid w:val="00767E7E"/>
    <w:rsid w:val="007716E4"/>
    <w:rsid w:val="00781598"/>
    <w:rsid w:val="00785A3F"/>
    <w:rsid w:val="00795C41"/>
    <w:rsid w:val="007A795D"/>
    <w:rsid w:val="007A7CF4"/>
    <w:rsid w:val="007B514A"/>
    <w:rsid w:val="007C07D8"/>
    <w:rsid w:val="007D0EC6"/>
    <w:rsid w:val="00803007"/>
    <w:rsid w:val="008102E0"/>
    <w:rsid w:val="0089735C"/>
    <w:rsid w:val="008C6D09"/>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21F46"/>
    <w:rsid w:val="00E35460"/>
    <w:rsid w:val="00EA1001"/>
    <w:rsid w:val="00EB3060"/>
    <w:rsid w:val="00EC5C6B"/>
    <w:rsid w:val="00ED6452"/>
    <w:rsid w:val="00EF12D5"/>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63856332EE0F474E838BF06C902C23F6"/>
        <w:category>
          <w:name w:val="General"/>
          <w:gallery w:val="placeholder"/>
        </w:category>
        <w:types>
          <w:type w:val="bbPlcHdr"/>
        </w:types>
        <w:behaviors>
          <w:behavior w:val="content"/>
        </w:behaviors>
        <w:guid w:val="{426F5F26-4995-469C-8962-8D0074F08A77}"/>
      </w:docPartPr>
      <w:docPartBody>
        <w:p w:rsidR="008662E1" w:rsidRDefault="008662E1" w:rsidP="008662E1">
          <w:pPr>
            <w:pStyle w:val="63856332EE0F474E838BF06C902C23F6"/>
          </w:pPr>
          <w:r>
            <w:rPr>
              <w:rStyle w:val="PlaceholderText"/>
            </w:rPr>
            <w:t>Klicken oder schreiben Sie hier, um Text einzugeben.</w:t>
          </w:r>
        </w:p>
      </w:docPartBody>
    </w:docPart>
    <w:docPart>
      <w:docPartPr>
        <w:name w:val="5E56E3B1CDAC45B898621CAD3135D746"/>
        <w:category>
          <w:name w:val="General"/>
          <w:gallery w:val="placeholder"/>
        </w:category>
        <w:types>
          <w:type w:val="bbPlcHdr"/>
        </w:types>
        <w:behaviors>
          <w:behavior w:val="content"/>
        </w:behaviors>
        <w:guid w:val="{3235623D-E5CC-4294-9827-737A519958D6}"/>
      </w:docPartPr>
      <w:docPartBody>
        <w:p w:rsidR="008662E1" w:rsidRDefault="008662E1" w:rsidP="008662E1">
          <w:pPr>
            <w:pStyle w:val="5E56E3B1CDAC45B898621CAD3135D746"/>
          </w:pPr>
          <w:r>
            <w:rPr>
              <w:rStyle w:val="PlaceholderText"/>
            </w:rPr>
            <w:t>Klicken oder schreiben Sie hier, um Text einzugeben.</w:t>
          </w:r>
        </w:p>
      </w:docPartBody>
    </w:docPart>
    <w:docPart>
      <w:docPartPr>
        <w:name w:val="B48C78DC09DE434086CBD09E9CC926FF"/>
        <w:category>
          <w:name w:val="General"/>
          <w:gallery w:val="placeholder"/>
        </w:category>
        <w:types>
          <w:type w:val="bbPlcHdr"/>
        </w:types>
        <w:behaviors>
          <w:behavior w:val="content"/>
        </w:behaviors>
        <w:guid w:val="{C02B0390-1549-4225-8894-E76F5B5DCB30}"/>
      </w:docPartPr>
      <w:docPartBody>
        <w:p w:rsidR="008662E1" w:rsidRDefault="008662E1" w:rsidP="008662E1">
          <w:pPr>
            <w:pStyle w:val="B48C78DC09DE434086CBD09E9CC926FF"/>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662E1"/>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662E1"/>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3856332EE0F474E838BF06C902C23F6">
    <w:name w:val="63856332EE0F474E838BF06C902C23F6"/>
    <w:rsid w:val="008662E1"/>
    <w:rPr>
      <w:kern w:val="2"/>
      <w14:ligatures w14:val="standardContextual"/>
    </w:rPr>
  </w:style>
  <w:style w:type="paragraph" w:customStyle="1" w:styleId="5E56E3B1CDAC45B898621CAD3135D746">
    <w:name w:val="5E56E3B1CDAC45B898621CAD3135D746"/>
    <w:rsid w:val="008662E1"/>
    <w:rPr>
      <w:kern w:val="2"/>
      <w14:ligatures w14:val="standardContextual"/>
    </w:rPr>
  </w:style>
  <w:style w:type="paragraph" w:customStyle="1" w:styleId="B48C78DC09DE434086CBD09E9CC926FF">
    <w:name w:val="B48C78DC09DE434086CBD09E9CC926FF"/>
    <w:rsid w:val="008662E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264AC718-AF23-442A-92F5-08EA22515F3E}">
  <ds:schemaRefs>
    <ds:schemaRef ds:uri="1929b814-5a78-4bdc-9841-d8b9ef424f65"/>
    <ds:schemaRef ds:uri="http://schemas.microsoft.com/office/2006/metadata/properties"/>
    <ds:schemaRef ds:uri="http://purl.org/dc/elements/1.1/"/>
    <ds:schemaRef ds:uri="http://purl.org/dc/dcmitype/"/>
    <ds:schemaRef ds:uri="http://schemas.microsoft.com/office/infopath/2007/PartnerControls"/>
    <ds:schemaRef ds:uri="http://purl.org/dc/terms/"/>
    <ds:schemaRef ds:uri="http://schemas.microsoft.com/sharepoint/v3/fields"/>
    <ds:schemaRef ds:uri="08927195-b699-4be0-9ee2-6c66dc215b5a"/>
    <ds:schemaRef ds:uri="http://schemas.microsoft.com/office/2006/documentManagement/types"/>
    <ds:schemaRef ds:uri="http://schemas.openxmlformats.org/package/2006/metadata/core-properties"/>
    <ds:schemaRef ds:uri="a41a97bf-0494-41d8-ba3d-259bd7771890"/>
    <ds:schemaRef ds:uri="http://www.w3.org/XML/1998/namespace"/>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1260</Words>
  <Characters>7187</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2024-05-15T10:16:00Z</dcterms:created>
  <dcterms:modified xsi:type="dcterms:W3CDTF">2024-05-15T10:16:00Z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