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2552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2552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2552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2552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2552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2552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sdt>
                <w:sdtPr>
                  <w:rPr>
                    <w:lang w:val="en-IE" w:eastAsia="en-GB"/>
                  </w:rPr>
                  <w:id w:val="-1729989648"/>
                  <w:placeholder>
                    <w:docPart w:val="EC683A7A244C47FCB781E77CF3ACEA52"/>
                  </w:placeholder>
                </w:sdtPr>
                <w:sdtEndPr/>
                <w:sdtContent>
                  <w:p w14:paraId="6CE3225B" w14:textId="7BE41D13" w:rsidR="003D5FD3" w:rsidRDefault="003D5FD3" w:rsidP="003D5FD3">
                    <w:pPr>
                      <w:tabs>
                        <w:tab w:val="left" w:pos="426"/>
                      </w:tabs>
                    </w:pPr>
                    <w:r>
                      <w:t>Generalsekretariat</w:t>
                    </w:r>
                  </w:p>
                  <w:p w14:paraId="60A9F8FD" w14:textId="77777777" w:rsidR="003D5FD3" w:rsidRDefault="003D5FD3" w:rsidP="003D5FD3">
                    <w:pPr>
                      <w:tabs>
                        <w:tab w:val="left" w:pos="426"/>
                      </w:tabs>
                    </w:pPr>
                    <w:r>
                      <w:t xml:space="preserve">Direktion </w:t>
                    </w:r>
                    <w:proofErr w:type="gramStart"/>
                    <w:r>
                      <w:t>SG.F</w:t>
                    </w:r>
                    <w:proofErr w:type="gramEnd"/>
                    <w:r>
                      <w:t xml:space="preserve"> – Interinstitutionelle Beziehungen</w:t>
                    </w:r>
                  </w:p>
                  <w:p w14:paraId="163192D7" w14:textId="73C1EC88" w:rsidR="00546DB1" w:rsidRPr="003D5FD3" w:rsidRDefault="003D5FD3" w:rsidP="003D5FD3">
                    <w:pPr>
                      <w:tabs>
                        <w:tab w:val="left" w:pos="426"/>
                      </w:tabs>
                      <w:rPr>
                        <w:bCs/>
                        <w:lang w:eastAsia="en-GB"/>
                      </w:rPr>
                    </w:pPr>
                    <w:r>
                      <w:t>Referat SG.F.1 – Beziehungen zum Europäischen Parlament</w:t>
                    </w:r>
                  </w:p>
                </w:sdtContent>
              </w:sdt>
            </w:tc>
          </w:sdtContent>
        </w:sdt>
      </w:tr>
      <w:tr w:rsidR="00546DB1" w:rsidRPr="003D5FD3"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867CD17" w:rsidR="00546DB1" w:rsidRPr="003D5FD3" w:rsidRDefault="00DA12E2" w:rsidP="005F6927">
                <w:pPr>
                  <w:tabs>
                    <w:tab w:val="left" w:pos="426"/>
                  </w:tabs>
                  <w:rPr>
                    <w:bCs/>
                    <w:lang w:val="en-IE" w:eastAsia="en-GB"/>
                  </w:rPr>
                </w:pPr>
                <w:r>
                  <w:rPr>
                    <w:bCs/>
                    <w:lang w:eastAsia="en-GB"/>
                  </w:rPr>
                  <w:t>29</w:t>
                </w:r>
                <w:r w:rsidR="00216085">
                  <w:rPr>
                    <w:bCs/>
                    <w:lang w:eastAsia="en-GB"/>
                  </w:rPr>
                  <w:t>8</w:t>
                </w:r>
                <w:r>
                  <w:rPr>
                    <w:bCs/>
                    <w:lang w:eastAsia="en-GB"/>
                  </w:rPr>
                  <w:t>985</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1851751551"/>
                  <w:placeholder>
                    <w:docPart w:val="9ECD18EB90FC46A380865A8195CBF78C"/>
                  </w:placeholder>
                </w:sdtPr>
                <w:sdtEndPr/>
                <w:sdtContent>
                  <w:p w14:paraId="65EBCF52" w14:textId="1B47A63F" w:rsidR="00546DB1" w:rsidRPr="003D5FD3" w:rsidRDefault="003D5FD3" w:rsidP="005F6927">
                    <w:pPr>
                      <w:tabs>
                        <w:tab w:val="left" w:pos="426"/>
                      </w:tabs>
                      <w:rPr>
                        <w:lang w:val="en-IE" w:eastAsia="en-GB"/>
                      </w:rPr>
                    </w:pPr>
                    <w:r>
                      <w:t>Raquel CORTES HERRERA – Referatsleiter</w:t>
                    </w:r>
                    <w:r w:rsidR="00E75603">
                      <w:t>in</w:t>
                    </w:r>
                    <w:r>
                      <w:t xml:space="preserve"> SG.F.1</w:t>
                    </w:r>
                  </w:p>
                </w:sdtContent>
              </w:sdt>
            </w:sdtContent>
          </w:sdt>
          <w:p w14:paraId="227D6F6E" w14:textId="6F8A6E0F" w:rsidR="00546DB1" w:rsidRPr="009F216F" w:rsidRDefault="0002552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D5FD3">
                  <w:rPr>
                    <w:bCs/>
                    <w:lang w:eastAsia="en-GB"/>
                  </w:rPr>
                  <w:t>Drittes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3D5FD3">
                  <w:rPr>
                    <w:bCs/>
                    <w:lang w:eastAsia="en-GB"/>
                  </w:rPr>
                  <w:t>4</w:t>
                </w:r>
              </w:sdtContent>
            </w:sdt>
          </w:p>
          <w:p w14:paraId="4128A55A" w14:textId="2CB1A819" w:rsidR="00546DB1" w:rsidRPr="00546DB1" w:rsidRDefault="0002552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D5FD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D5FD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7CD3EBDB" w:rsidR="00546DB1" w:rsidRPr="00546DB1" w:rsidRDefault="00025525"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3D5FD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1189D3AE" w:rsidR="00546DB1" w:rsidRPr="00546DB1" w:rsidRDefault="00025525"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3D5FD3">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025525"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025525"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025525"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025525"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A2FAD98" w:rsidR="00546DB1" w:rsidRPr="00546DB1" w:rsidRDefault="00025525"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3D5FD3">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bookmarkStart w:id="0" w:name="_Hlk166060248" w:displacedByCustomXml="next"/>
    <w:bookmarkStart w:id="1" w:name="_Hlk166060051" w:displacedByCustomXml="next"/>
    <w:sdt>
      <w:sdtPr>
        <w:rPr>
          <w:lang w:val="en-US" w:eastAsia="en-GB"/>
        </w:rPr>
        <w:id w:val="1822233941"/>
        <w:placeholder>
          <w:docPart w:val="FE6C9874556B47B1A65A432926DB0BCE"/>
        </w:placeholder>
      </w:sdtPr>
      <w:sdtEndPr/>
      <w:sdtContent>
        <w:p w14:paraId="57726353" w14:textId="77777777" w:rsidR="00216085" w:rsidRPr="00E35013" w:rsidRDefault="00216085" w:rsidP="00216085">
          <w:r w:rsidRPr="00E35013">
            <w:t xml:space="preserve">Das Referat SG.F.1 ist für die allgemeinen Beziehungen der Kommission zum Europäischen Parlament zuständig (einschließlich der Beziehungen zu den Leitungsgremien des EP, der Organisation und Berichterstattung über die Plenartagungen </w:t>
          </w:r>
          <w:r w:rsidRPr="00E35013">
            <w:lastRenderedPageBreak/>
            <w:t>des EP in Brüssel und Straßburg, der Bearbeitung parlamentarischer Anfragen und Petitionen sowie der Beziehungen zum PETI-Ausschuss).</w:t>
          </w:r>
        </w:p>
        <w:p w14:paraId="5A59469C" w14:textId="77777777" w:rsidR="00216085" w:rsidRPr="00E35013" w:rsidRDefault="00216085" w:rsidP="00216085">
          <w:r w:rsidRPr="00E35013">
            <w:t>Das Referat ist auch für die Koordinierung und das Follow-</w:t>
          </w:r>
          <w:proofErr w:type="spellStart"/>
          <w:r w:rsidRPr="00E35013">
            <w:t>up</w:t>
          </w:r>
          <w:proofErr w:type="spellEnd"/>
          <w:r w:rsidRPr="00E35013">
            <w:t xml:space="preserve"> einer Reihe von Dossiers zuständig, darunter die Rahmenvereinbarung zwischen der Kommission und dem Europäischen Parlament, die Geschäftsordnung des Europäischen Parlaments, das Untersuchungsrecht des Europäischen Parlaments und die Verordnung über das Statut und die Finanzierung der europäischen politischen Parteien und Stiftungen.</w:t>
          </w:r>
        </w:p>
        <w:p w14:paraId="2DF6B83F" w14:textId="77777777" w:rsidR="00216085" w:rsidRPr="00E35013" w:rsidRDefault="00216085" w:rsidP="00216085">
          <w:r w:rsidRPr="00E35013">
            <w:t>Das Referat ist sehr aktiv im Bereich der politischen Information; es erstellt mehrere Produkte zur politischen Beobachtung, die der Führungsebene des Generalsekretariats und den Kabinetten zur Kenntnis gebracht werden, und unterstützt das Netz der EP-Korrespondenten in den Generaldirektionen und Dienststellen.</w:t>
          </w:r>
        </w:p>
        <w:p w14:paraId="76DD1EEA" w14:textId="1179FB1C" w:rsidR="00803007" w:rsidRPr="00216085" w:rsidRDefault="00216085" w:rsidP="00803007">
          <w:r w:rsidRPr="00E35013">
            <w:t>Im Jahr 2024 wird das Referat auch für die Koordinierung der wichtigsten Aspekte des interinstitutionellen Übergangs verantwortlich sein, der zur Einsetzung eines neuen Parlaments und einer neuen Kommission führen wird</w:t>
          </w:r>
          <w:bookmarkEnd w:id="0"/>
          <w:r w:rsidRPr="00E35013">
            <w:t>.</w:t>
          </w:r>
        </w:p>
      </w:sdtContent>
    </w:sdt>
    <w:bookmarkEnd w:id="1" w:displacedByCustomXml="prev"/>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bookmarkStart w:id="2" w:name="_Hlk166056240" w:displacedByCustomXml="next"/>
    <w:sdt>
      <w:sdtPr>
        <w:rPr>
          <w:lang w:val="en-US" w:eastAsia="en-GB"/>
        </w:rPr>
        <w:id w:val="-723136291"/>
        <w:placeholder>
          <w:docPart w:val="2D9A90DC0280475D996998F2F9FD95D5"/>
        </w:placeholder>
      </w:sdtPr>
      <w:sdtEndPr/>
      <w:sdtContent>
        <w:p w14:paraId="2884DA5E" w14:textId="14F1940D" w:rsidR="001E1E02" w:rsidRPr="00AC0518" w:rsidRDefault="00216085" w:rsidP="001E1E02">
          <w:pPr>
            <w:spacing w:after="0"/>
            <w:rPr>
              <w:sz w:val="22"/>
              <w:szCs w:val="22"/>
            </w:rPr>
          </w:pPr>
          <w:r w:rsidRPr="00216085">
            <w:rPr>
              <w:lang w:eastAsia="en-GB"/>
            </w:rPr>
            <w:t>D</w:t>
          </w:r>
          <w:r w:rsidR="001E1E02" w:rsidRPr="00AC0518">
            <w:rPr>
              <w:sz w:val="22"/>
              <w:szCs w:val="22"/>
            </w:rPr>
            <w:t xml:space="preserve">er ANS hat drei Aufgaben zu erfüllen: </w:t>
          </w:r>
        </w:p>
        <w:p w14:paraId="0BBA06B8" w14:textId="77777777" w:rsidR="001E1E02" w:rsidRPr="002462F3" w:rsidRDefault="001E1E02" w:rsidP="001E1E02">
          <w:pPr>
            <w:spacing w:after="0"/>
            <w:rPr>
              <w:szCs w:val="24"/>
            </w:rPr>
          </w:pPr>
        </w:p>
        <w:p w14:paraId="7AA067A7" w14:textId="77777777" w:rsidR="001E1E02" w:rsidRPr="002462F3" w:rsidRDefault="001E1E02" w:rsidP="001E1E02">
          <w:pPr>
            <w:spacing w:after="0"/>
            <w:ind w:left="360" w:hanging="360"/>
          </w:pPr>
          <w:r w:rsidRPr="002462F3">
            <w:t>-</w:t>
          </w:r>
          <w:r>
            <w:tab/>
          </w:r>
          <w:r w:rsidRPr="002462F3">
            <w:t xml:space="preserve">Beziehungen zum Europäischen Parlament (auf der Ebene des Plenums, der parlamentarischen Ausschüsse und der Leitungsgremien), einschließlich Öffentlichkeitsarbeit zu institutionellen, horizontalen und erforderlichenfalls sektorspezifischen Dossiers. </w:t>
          </w:r>
        </w:p>
        <w:p w14:paraId="76B57550" w14:textId="77777777" w:rsidR="001E1E02" w:rsidRPr="002462F3" w:rsidRDefault="001E1E02" w:rsidP="001E1E02">
          <w:pPr>
            <w:spacing w:after="0"/>
            <w:ind w:left="360" w:hanging="360"/>
          </w:pPr>
          <w:r w:rsidRPr="002462F3">
            <w:t>-</w:t>
          </w:r>
          <w:r>
            <w:tab/>
          </w:r>
          <w:r w:rsidRPr="002462F3">
            <w:t xml:space="preserve">Sammlung politischer </w:t>
          </w:r>
          <w:r>
            <w:t>Informationen</w:t>
          </w:r>
          <w:r w:rsidRPr="002462F3">
            <w:t xml:space="preserve"> im Europäischen Parlament und Entwicklung von Instrumenten zur politischen Beobachtung</w:t>
          </w:r>
          <w:r>
            <w:t>, zur Unterrichtung</w:t>
          </w:r>
          <w:r w:rsidRPr="002462F3">
            <w:t xml:space="preserve"> der Führungsebene und der Kabinette.</w:t>
          </w:r>
        </w:p>
        <w:p w14:paraId="2A6283D0" w14:textId="77777777" w:rsidR="001E1E02" w:rsidRDefault="001E1E02" w:rsidP="001E1E02">
          <w:pPr>
            <w:spacing w:after="0"/>
            <w:ind w:left="360" w:hanging="360"/>
          </w:pPr>
          <w:r w:rsidRPr="002462F3">
            <w:t>-</w:t>
          </w:r>
          <w:r>
            <w:tab/>
            <w:t>Vorbereitung</w:t>
          </w:r>
          <w:r w:rsidRPr="002462F3">
            <w:t xml:space="preserve"> und Ausarbeitung von Standpunkten/Vorschlägen der Kommission zu inhaltlichen Dossiers, die in den Zuständigkeitsbereich des Referats fallen. Insbesondere die Verordnung über das Statut und die Finanzierung europäischer politischer Parteien und Stiftungen, aber auch die Rahmenvereinbarung über die Beziehungen zwischen Parlament und Kommission, die Geschäftsordnung des EP und das Untersuchungsrecht des EP.</w:t>
          </w:r>
        </w:p>
        <w:p w14:paraId="20677EE2" w14:textId="77777777" w:rsidR="001E1E02" w:rsidRPr="002462F3" w:rsidRDefault="001E1E02" w:rsidP="001E1E02">
          <w:pPr>
            <w:spacing w:after="0"/>
            <w:ind w:left="360" w:hanging="360"/>
          </w:pPr>
        </w:p>
        <w:p w14:paraId="3D7B600B" w14:textId="77777777" w:rsidR="001E1E02" w:rsidRDefault="001E1E02" w:rsidP="001E1E02">
          <w:pPr>
            <w:spacing w:after="0"/>
            <w:ind w:left="360" w:hanging="360"/>
          </w:pPr>
          <w:r w:rsidRPr="002462F3">
            <w:t>Die konkreten Funktionen und Aufgaben können Folgendes umfassen:</w:t>
          </w:r>
        </w:p>
        <w:p w14:paraId="41206BD3" w14:textId="77777777" w:rsidR="001E1E02" w:rsidRPr="002462F3" w:rsidRDefault="001E1E02" w:rsidP="001E1E02">
          <w:pPr>
            <w:spacing w:after="0"/>
            <w:ind w:left="360" w:hanging="360"/>
          </w:pPr>
        </w:p>
        <w:p w14:paraId="13D551BA" w14:textId="77777777" w:rsidR="001E1E02" w:rsidRPr="002462F3" w:rsidRDefault="001E1E02" w:rsidP="001E1E02">
          <w:pPr>
            <w:spacing w:after="0"/>
            <w:ind w:left="360" w:hanging="360"/>
          </w:pPr>
          <w:r w:rsidRPr="002462F3">
            <w:t>-</w:t>
          </w:r>
          <w:r>
            <w:tab/>
          </w:r>
          <w:r w:rsidRPr="002462F3">
            <w:t>Die Kommission über die Entwicklungen im Europäischen Parlament im Allgemeinen auf dem Laufenden zu halten</w:t>
          </w:r>
          <w:r>
            <w:t xml:space="preserve"> </w:t>
          </w:r>
          <w:r w:rsidRPr="002462F3">
            <w:t>(Leitungsorgane des EP, Fraktionen, nationale Delegationen usw.).</w:t>
          </w:r>
        </w:p>
        <w:p w14:paraId="79ACF866" w14:textId="77777777" w:rsidR="001E1E02" w:rsidRPr="002462F3" w:rsidRDefault="001E1E02" w:rsidP="001E1E02">
          <w:pPr>
            <w:spacing w:after="0"/>
            <w:ind w:left="360" w:hanging="360"/>
          </w:pPr>
          <w:r w:rsidRPr="002462F3">
            <w:t>-</w:t>
          </w:r>
          <w:r>
            <w:tab/>
          </w:r>
          <w:r w:rsidRPr="002462F3">
            <w:t>Teilnahme an dreiseitigen Kontakten mit dem Rat (insbesondere GA</w:t>
          </w:r>
          <w:r>
            <w:t>G</w:t>
          </w:r>
          <w:r w:rsidRPr="002462F3">
            <w:t>) und dem Europäischen Parlament (insbesondere AFCO) sowie in der Interinstitutionellen Koordinierungsgruppe (GCI) des Parlaments.</w:t>
          </w:r>
        </w:p>
        <w:p w14:paraId="7BC26B38" w14:textId="77777777" w:rsidR="001E1E02" w:rsidRPr="002462F3" w:rsidRDefault="001E1E02" w:rsidP="001E1E02">
          <w:pPr>
            <w:spacing w:after="0"/>
            <w:ind w:left="360" w:hanging="360"/>
          </w:pPr>
          <w:r w:rsidRPr="002462F3">
            <w:t>-</w:t>
          </w:r>
          <w:r>
            <w:tab/>
          </w:r>
          <w:r w:rsidRPr="002462F3">
            <w:t xml:space="preserve">Vorbereitung der Teilnahme der Kommission an Plenartagungen, Ausschusssitzungen und anderen parlamentarischen Gremien </w:t>
          </w:r>
          <w:r>
            <w:t>nach</w:t>
          </w:r>
          <w:r w:rsidRPr="002462F3">
            <w:t xml:space="preserve"> Bedarf.</w:t>
          </w:r>
        </w:p>
        <w:p w14:paraId="6C984172" w14:textId="77777777" w:rsidR="001E1E02" w:rsidRPr="002462F3" w:rsidRDefault="001E1E02" w:rsidP="001E1E02">
          <w:pPr>
            <w:spacing w:after="0"/>
            <w:ind w:left="360" w:hanging="360"/>
          </w:pPr>
          <w:r w:rsidRPr="002462F3">
            <w:t>-</w:t>
          </w:r>
          <w:r>
            <w:tab/>
          </w:r>
          <w:r w:rsidRPr="002462F3">
            <w:t>Teilnahme an Plenartagungen des Europäischen Parlaments, Sitzungen von Ausschüssen oder anderen parlamentarischen Gremien</w:t>
          </w:r>
          <w:r>
            <w:t xml:space="preserve"> </w:t>
          </w:r>
          <w:r w:rsidRPr="002462F3">
            <w:t xml:space="preserve">sowie </w:t>
          </w:r>
          <w:r>
            <w:t xml:space="preserve">an </w:t>
          </w:r>
          <w:r w:rsidRPr="002462F3">
            <w:t>anderen damit zusammenhängenden Veranstaltungen.</w:t>
          </w:r>
        </w:p>
        <w:p w14:paraId="2813A73B" w14:textId="77777777" w:rsidR="001E1E02" w:rsidRPr="002462F3" w:rsidRDefault="001E1E02" w:rsidP="001E1E02">
          <w:pPr>
            <w:spacing w:after="0"/>
            <w:ind w:left="360" w:hanging="360"/>
          </w:pPr>
          <w:r w:rsidRPr="002462F3">
            <w:lastRenderedPageBreak/>
            <w:t>-</w:t>
          </w:r>
          <w:r>
            <w:tab/>
          </w:r>
          <w:bookmarkStart w:id="3" w:name="_Hlk166060144"/>
          <w:r w:rsidRPr="002462F3">
            <w:t xml:space="preserve">Unterrichtung der Kommissionsdienststellen, der </w:t>
          </w:r>
          <w:r>
            <w:t>Führungsebene</w:t>
          </w:r>
          <w:r w:rsidRPr="002462F3">
            <w:t xml:space="preserve"> </w:t>
          </w:r>
          <w:r>
            <w:t xml:space="preserve">des Generalsekretariats </w:t>
          </w:r>
          <w:r w:rsidRPr="002462F3">
            <w:t xml:space="preserve">und der Kabinette über </w:t>
          </w:r>
          <w:r>
            <w:t>maßgebliche</w:t>
          </w:r>
          <w:r w:rsidRPr="002462F3">
            <w:t xml:space="preserve"> Sitzungen und </w:t>
          </w:r>
          <w:r>
            <w:t>Themen</w:t>
          </w:r>
          <w:r w:rsidRPr="002462F3">
            <w:t>, vor allem durch Zusammenfassungen, Informationen und analytische Vermerke.</w:t>
          </w:r>
        </w:p>
        <w:p w14:paraId="15033CCE" w14:textId="77777777" w:rsidR="001E1E02" w:rsidRPr="002462F3" w:rsidRDefault="001E1E02" w:rsidP="001E1E02">
          <w:pPr>
            <w:spacing w:after="0"/>
            <w:ind w:left="360" w:hanging="360"/>
          </w:pPr>
          <w:r w:rsidRPr="002462F3">
            <w:t>-</w:t>
          </w:r>
          <w:r w:rsidRPr="002462F3">
            <w:tab/>
            <w:t>Unterstützung der Kommission bei Entscheidung</w:t>
          </w:r>
          <w:r>
            <w:t>en</w:t>
          </w:r>
          <w:r w:rsidRPr="002462F3">
            <w:t xml:space="preserve"> i</w:t>
          </w:r>
          <w:r>
            <w:t>m Rahmen</w:t>
          </w:r>
          <w:r w:rsidRPr="002462F3">
            <w:t xml:space="preserve"> de</w:t>
          </w:r>
          <w:r>
            <w:t>r</w:t>
          </w:r>
          <w:r w:rsidRPr="002462F3">
            <w:t xml:space="preserve"> entsprechenden Verfahren.</w:t>
          </w:r>
        </w:p>
        <w:p w14:paraId="3840716B" w14:textId="77777777" w:rsidR="001E1E02" w:rsidRPr="002462F3" w:rsidRDefault="001E1E02" w:rsidP="001E1E02">
          <w:pPr>
            <w:spacing w:after="0"/>
            <w:ind w:left="360" w:hanging="360"/>
          </w:pPr>
          <w:r w:rsidRPr="002462F3">
            <w:t>-</w:t>
          </w:r>
          <w:r w:rsidRPr="002462F3">
            <w:tab/>
            <w:t>Vorbereitung von Antworten auf Ersuchen um Beratung und/oder Rechtsauslegung zur Unterstützung der Vorbereitung und Umsetzung von EU-Rechtsvorschriften.</w:t>
          </w:r>
        </w:p>
        <w:p w14:paraId="1B4BF3C2" w14:textId="77777777" w:rsidR="001E1E02" w:rsidRPr="002462F3" w:rsidRDefault="001E1E02" w:rsidP="001E1E02">
          <w:pPr>
            <w:spacing w:after="0"/>
            <w:ind w:left="360" w:hanging="360"/>
          </w:pPr>
          <w:r w:rsidRPr="002462F3">
            <w:t>-</w:t>
          </w:r>
          <w:r w:rsidRPr="002462F3">
            <w:tab/>
            <w:t xml:space="preserve">Beratung des Managements in Bezug auf </w:t>
          </w:r>
          <w:r>
            <w:t>Rechtsg</w:t>
          </w:r>
          <w:r w:rsidRPr="002462F3">
            <w:t xml:space="preserve">ültigkeit und Konformität </w:t>
          </w:r>
          <w:r>
            <w:t>von</w:t>
          </w:r>
          <w:r w:rsidRPr="002462F3">
            <w:t xml:space="preserve"> Verfahren mit </w:t>
          </w:r>
          <w:r>
            <w:t>Satzungen</w:t>
          </w:r>
          <w:r w:rsidRPr="002462F3">
            <w:t xml:space="preserve"> und Vorschriften.</w:t>
          </w:r>
        </w:p>
        <w:p w14:paraId="4BD323CE" w14:textId="77777777" w:rsidR="001E1E02" w:rsidRPr="002462F3" w:rsidRDefault="001E1E02" w:rsidP="001E1E02">
          <w:pPr>
            <w:spacing w:after="0"/>
            <w:ind w:left="360" w:hanging="360"/>
          </w:pPr>
          <w:r w:rsidRPr="002462F3">
            <w:t>-</w:t>
          </w:r>
          <w:r w:rsidRPr="002462F3">
            <w:tab/>
          </w:r>
          <w:r w:rsidRPr="001E6ECC">
            <w:t xml:space="preserve">Vorbereitung und/oder Entwurf von Briefings, Reden und/oder Redemanuskripten zu dem jeweiligen Politikbereich und den damit verbundenen </w:t>
          </w:r>
          <w:r>
            <w:t>Themen</w:t>
          </w:r>
          <w:r w:rsidRPr="001E6ECC">
            <w:t>.</w:t>
          </w:r>
        </w:p>
        <w:p w14:paraId="12B9C59B" w14:textId="7E1176DD" w:rsidR="00803007" w:rsidRPr="009F216F" w:rsidRDefault="00025525" w:rsidP="001E1E02">
          <w:pPr>
            <w:rPr>
              <w:lang w:eastAsia="en-GB"/>
            </w:rPr>
          </w:pPr>
        </w:p>
      </w:sdtContent>
    </w:sdt>
    <w:bookmarkEnd w:id="3" w:displacedByCustomXml="prev"/>
    <w:bookmarkEnd w:id="2"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bookmarkStart w:id="4" w:name="_Hlk166060115" w:displacedByCustomXml="next"/>
    <w:sdt>
      <w:sdtPr>
        <w:rPr>
          <w:b/>
          <w:bCs/>
          <w:lang w:eastAsia="en-GB"/>
        </w:rPr>
        <w:id w:val="-689827953"/>
        <w:placeholder>
          <w:docPart w:val="0623C2C4607F4C2C8BD24DBE22928098"/>
        </w:placeholder>
      </w:sdtPr>
      <w:sdtEndPr/>
      <w:sdtContent>
        <w:p w14:paraId="7F661769" w14:textId="77777777" w:rsidR="00216085" w:rsidRPr="00C37254" w:rsidRDefault="00216085" w:rsidP="00216085">
          <w:pPr>
            <w:rPr>
              <w:szCs w:val="24"/>
            </w:rPr>
          </w:pPr>
          <w:r w:rsidRPr="00C37254">
            <w:rPr>
              <w:szCs w:val="24"/>
            </w:rPr>
            <w:t xml:space="preserve">Der erfolgreiche Bewerber sollte über eine gründliche Kenntnis der Organisation und der Verfahren der EU-Organe sowie über ein gutes Verständnis der interinstitutionellen Politikgestaltung und der Entscheidungsprozesse verfügen. Erfahrungen in der Zusammenarbeit mit dem Europäischen Parlament, im Umgang mit Gesetzgebungsverfahren oder in der Wahrnehmung von Koordinierungsaufgaben sind von Vorteil. </w:t>
          </w:r>
        </w:p>
        <w:p w14:paraId="0A9D0884" w14:textId="77777777" w:rsidR="00216085" w:rsidRPr="00C37254" w:rsidRDefault="00216085" w:rsidP="00216085">
          <w:pPr>
            <w:rPr>
              <w:szCs w:val="24"/>
            </w:rPr>
          </w:pPr>
          <w:r w:rsidRPr="00C37254">
            <w:rPr>
              <w:szCs w:val="24"/>
            </w:rPr>
            <w:t>Ein juristischer oder politikwissenschaftlicher Hintergrund wäre von Vorteil.</w:t>
          </w:r>
        </w:p>
        <w:p w14:paraId="455C5CAF" w14:textId="77777777" w:rsidR="00216085" w:rsidRPr="00C37254" w:rsidRDefault="00216085" w:rsidP="00216085">
          <w:pPr>
            <w:rPr>
              <w:szCs w:val="24"/>
            </w:rPr>
          </w:pPr>
          <w:r w:rsidRPr="00C37254">
            <w:rPr>
              <w:szCs w:val="24"/>
            </w:rPr>
            <w:t xml:space="preserve">Er/sie sollte über einen ausgeprägten Teamgeist verfügen, aber auch in der Lage sein, selbständig, organisiert und sorgfältig zu arbeiten. Ein ausgeprägter Sinn für Diskretion und ein hoher ethischer Standard sind unerlässlich. </w:t>
          </w:r>
        </w:p>
        <w:p w14:paraId="035C9047" w14:textId="77777777" w:rsidR="00216085" w:rsidRPr="00C37254" w:rsidRDefault="00216085" w:rsidP="00216085">
          <w:pPr>
            <w:rPr>
              <w:szCs w:val="24"/>
            </w:rPr>
          </w:pPr>
          <w:r w:rsidRPr="00C37254">
            <w:rPr>
              <w:szCs w:val="24"/>
            </w:rPr>
            <w:t>Die Position erfordert die Fähigkeit, mehrere Aufgaben und widersprüchliche Prioritäten effizient zu bewältigen sowie unter Druck zu arbeiten und rasch auf Fristen zu reagieren. Ein gewisses Maß an Flexibilität und die Bereitschaft, gelegentlich auch außerhalb der normalen Arbeitszeiten zu arbeiten, sind erforderlich, insbesondere während der Plenartagungswochen in Brüssel und Straßburg. Die Bereitschaft zu regelmäßigen Dienstreisen nach Straßburg ist erforderlich.</w:t>
          </w:r>
        </w:p>
        <w:p w14:paraId="2387419D" w14:textId="11179A16" w:rsidR="00803007" w:rsidRPr="009F216F" w:rsidRDefault="00216085" w:rsidP="00216085">
          <w:pPr>
            <w:pStyle w:val="ListNumber"/>
            <w:numPr>
              <w:ilvl w:val="0"/>
              <w:numId w:val="0"/>
            </w:numPr>
            <w:rPr>
              <w:b/>
              <w:bCs/>
              <w:lang w:eastAsia="en-GB"/>
            </w:rPr>
          </w:pPr>
          <w:r w:rsidRPr="00C37254">
            <w:rPr>
              <w:szCs w:val="24"/>
            </w:rPr>
            <w:t>Er/sie sollte in der Lage sein, Texte von hoher Qualität, auch zu rechtlichen/institutionellen Fragen, zu verfassen und komplexe und fachspezifische Informationen klar und verständlich zu präsentieren. Ausgeprägte Kommunikationsfähigkeiten – sowohl mündlich als auch schriftlich – sind von Vorteil. Die schriftlichen Arbeiten des Referats werden in englischer Sprache verfasst, in der mündlichen Kommunikation wird jedoch häufig Französisch verwendet. Die Beherrschung einer weiteren Sprache wäre ein Plus.</w:t>
          </w:r>
        </w:p>
      </w:sdtContent>
    </w:sdt>
    <w:bookmarkEnd w:id="4" w:displacedByCustomXml="prev"/>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lastRenderedPageBreak/>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lastRenderedPageBreak/>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1E8428"/>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137144111">
    <w:abstractNumId w:val="0"/>
  </w:num>
  <w:num w:numId="31" w16cid:durableId="1748307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48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5525"/>
    <w:rsid w:val="000331EC"/>
    <w:rsid w:val="00086CD7"/>
    <w:rsid w:val="000D7B5E"/>
    <w:rsid w:val="001203F8"/>
    <w:rsid w:val="001E1E02"/>
    <w:rsid w:val="00216085"/>
    <w:rsid w:val="002F7504"/>
    <w:rsid w:val="0035094A"/>
    <w:rsid w:val="003874E2"/>
    <w:rsid w:val="003D5FD3"/>
    <w:rsid w:val="005323B1"/>
    <w:rsid w:val="00542711"/>
    <w:rsid w:val="00546DB1"/>
    <w:rsid w:val="006F44C9"/>
    <w:rsid w:val="00716866"/>
    <w:rsid w:val="007716E4"/>
    <w:rsid w:val="007C07D8"/>
    <w:rsid w:val="007D0EC6"/>
    <w:rsid w:val="00803007"/>
    <w:rsid w:val="0089735C"/>
    <w:rsid w:val="008D52CF"/>
    <w:rsid w:val="009442BE"/>
    <w:rsid w:val="009F216F"/>
    <w:rsid w:val="009F75BE"/>
    <w:rsid w:val="00CE79D9"/>
    <w:rsid w:val="00DA12E2"/>
    <w:rsid w:val="00E75603"/>
    <w:rsid w:val="00E75A27"/>
    <w:rsid w:val="00EC5C6B"/>
    <w:rsid w:val="00F072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customStyle="1" w:styleId="P68B1DB1-Normal2">
    <w:name w:val="P68B1DB1-Normal2"/>
    <w:basedOn w:val="Normal"/>
    <w:rsid w:val="003D5FD3"/>
    <w:rPr>
      <w:rFonts w:ascii="Arial" w:hAnsi="Arial" w:cs="Arial"/>
      <w:sz w:val="17"/>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514679"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514679"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514679"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514679" w:rsidRDefault="00DB168D" w:rsidP="00DB168D">
          <w:pPr>
            <w:pStyle w:val="6801C21AD23447B88917F1258506DBA11"/>
          </w:pPr>
          <w:r>
            <w:rPr>
              <w:b/>
            </w:rPr>
            <w:t xml:space="preserve">     </w:t>
          </w:r>
        </w:p>
      </w:docPartBody>
    </w:docPart>
    <w:docPart>
      <w:docPartPr>
        <w:name w:val="EC683A7A244C47FCB781E77CF3ACEA52"/>
        <w:category>
          <w:name w:val="General"/>
          <w:gallery w:val="placeholder"/>
        </w:category>
        <w:types>
          <w:type w:val="bbPlcHdr"/>
        </w:types>
        <w:behaviors>
          <w:behavior w:val="content"/>
        </w:behaviors>
        <w:guid w:val="{B2C592A7-A1AC-450A-90BF-C3C1B6EA13FC}"/>
      </w:docPartPr>
      <w:docPartBody>
        <w:p w:rsidR="00C210CB" w:rsidRDefault="00C210CB" w:rsidP="00C210CB">
          <w:pPr>
            <w:pStyle w:val="EC683A7A244C47FCB781E77CF3ACEA52"/>
          </w:pPr>
          <w:r>
            <w:rPr>
              <w:rStyle w:val="PlaceholderText"/>
            </w:rPr>
            <w:t>Klicken oder schreiben Sie hier, um Text einzugeben.</w:t>
          </w:r>
        </w:p>
      </w:docPartBody>
    </w:docPart>
    <w:docPart>
      <w:docPartPr>
        <w:name w:val="9ECD18EB90FC46A380865A8195CBF78C"/>
        <w:category>
          <w:name w:val="General"/>
          <w:gallery w:val="placeholder"/>
        </w:category>
        <w:types>
          <w:type w:val="bbPlcHdr"/>
        </w:types>
        <w:behaviors>
          <w:behavior w:val="content"/>
        </w:behaviors>
        <w:guid w:val="{68F5BEA5-E7DB-4995-9CFC-07CF4962E6CF}"/>
      </w:docPartPr>
      <w:docPartBody>
        <w:p w:rsidR="00C210CB" w:rsidRDefault="00C210CB" w:rsidP="00C210CB">
          <w:pPr>
            <w:pStyle w:val="9ECD18EB90FC46A380865A8195CBF78C"/>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F5204C"/>
    <w:multiLevelType w:val="multilevel"/>
    <w:tmpl w:val="6FBCFC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8197693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14679"/>
    <w:rsid w:val="008A7C76"/>
    <w:rsid w:val="008D04E3"/>
    <w:rsid w:val="00C210CB"/>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210CB"/>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EC683A7A244C47FCB781E77CF3ACEA52">
    <w:name w:val="EC683A7A244C47FCB781E77CF3ACEA52"/>
    <w:rsid w:val="00C210CB"/>
    <w:rPr>
      <w:kern w:val="2"/>
      <w14:ligatures w14:val="standardContextual"/>
    </w:rPr>
  </w:style>
  <w:style w:type="paragraph" w:customStyle="1" w:styleId="9ECD18EB90FC46A380865A8195CBF78C">
    <w:name w:val="9ECD18EB90FC46A380865A8195CBF78C"/>
    <w:rsid w:val="00C210C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1566</Words>
  <Characters>8930</Characters>
  <Application>Microsoft Office Word</Application>
  <DocSecurity>4</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dcterms:created xsi:type="dcterms:W3CDTF">2024-05-15T12:51:00Z</dcterms:created>
  <dcterms:modified xsi:type="dcterms:W3CDTF">2024-05-15T12:51:00Z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