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B7CB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B7CB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B7CB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B7CB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B7CB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B7CB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47CF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0F7C82BD" w14:textId="77777777" w:rsidR="00F47CF7" w:rsidRPr="00F47CF7" w:rsidRDefault="00F47CF7" w:rsidP="00F47CF7">
                <w:pPr>
                  <w:tabs>
                    <w:tab w:val="left" w:pos="426"/>
                  </w:tabs>
                  <w:rPr>
                    <w:bCs/>
                    <w:lang w:val="fr-BE" w:eastAsia="en-GB"/>
                  </w:rPr>
                </w:pPr>
                <w:r w:rsidRPr="00F47CF7">
                  <w:rPr>
                    <w:bCs/>
                    <w:lang w:val="fr-BE" w:eastAsia="en-GB"/>
                  </w:rPr>
                  <w:t>DIRECTION GÉNÉRALE DE L’AGRICULTURE ET DU DÉVELOPPEMENT RURAL</w:t>
                </w:r>
              </w:p>
              <w:p w14:paraId="241D5EEE" w14:textId="77777777" w:rsidR="00F47CF7" w:rsidRPr="00F47CF7" w:rsidRDefault="00F47CF7" w:rsidP="00F47CF7">
                <w:pPr>
                  <w:tabs>
                    <w:tab w:val="left" w:pos="426"/>
                  </w:tabs>
                  <w:rPr>
                    <w:bCs/>
                    <w:lang w:val="fr-BE" w:eastAsia="en-GB"/>
                  </w:rPr>
                </w:pPr>
                <w:r w:rsidRPr="00F47CF7">
                  <w:rPr>
                    <w:bCs/>
                    <w:lang w:val="fr-BE" w:eastAsia="en-GB"/>
                  </w:rPr>
                  <w:t>Direction H – Assurance et audit</w:t>
                </w:r>
              </w:p>
              <w:p w14:paraId="2AA4F572" w14:textId="15CF9699" w:rsidR="00377580" w:rsidRPr="00F47CF7" w:rsidRDefault="00F47CF7" w:rsidP="00F47CF7">
                <w:pPr>
                  <w:tabs>
                    <w:tab w:val="left" w:pos="426"/>
                  </w:tabs>
                  <w:rPr>
                    <w:bCs/>
                    <w:lang w:val="fr-BE" w:eastAsia="en-GB"/>
                  </w:rPr>
                </w:pPr>
                <w:r w:rsidRPr="00F47CF7">
                  <w:rPr>
                    <w:bCs/>
                    <w:lang w:val="fr-BE" w:eastAsia="en-GB"/>
                  </w:rPr>
                  <w:t>H.2 – Assurance et audit - Systèmes de gouvernance I</w:t>
                </w:r>
              </w:p>
            </w:tc>
          </w:sdtContent>
        </w:sdt>
      </w:tr>
      <w:tr w:rsidR="00377580" w:rsidRPr="00935C5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CE6224B" w:rsidR="00377580" w:rsidRPr="00080A71" w:rsidRDefault="007B7CB2" w:rsidP="005F6927">
                <w:pPr>
                  <w:tabs>
                    <w:tab w:val="left" w:pos="426"/>
                  </w:tabs>
                  <w:rPr>
                    <w:bCs/>
                    <w:lang w:val="en-IE" w:eastAsia="en-GB"/>
                  </w:rPr>
                </w:pPr>
                <w:r w:rsidRPr="007B7CB2">
                  <w:rPr>
                    <w:bCs/>
                    <w:lang w:val="fr-BE" w:eastAsia="en-GB"/>
                  </w:rPr>
                  <w:t>415121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6C03262" w:rsidR="00377580" w:rsidRPr="00F47CF7" w:rsidRDefault="00F47CF7" w:rsidP="00F47CF7">
                <w:pPr>
                  <w:tabs>
                    <w:tab w:val="left" w:pos="426"/>
                  </w:tabs>
                  <w:rPr>
                    <w:bCs/>
                    <w:lang w:val="fr-BE" w:eastAsia="en-GB"/>
                  </w:rPr>
                </w:pPr>
                <w:r w:rsidRPr="00F47CF7">
                  <w:rPr>
                    <w:bCs/>
                    <w:lang w:val="fr-BE" w:eastAsia="en-GB"/>
                  </w:rPr>
                  <w:t>Christophe BERTRAND</w:t>
                </w:r>
                <w:r>
                  <w:rPr>
                    <w:bCs/>
                    <w:lang w:val="fr-BE" w:eastAsia="en-GB"/>
                  </w:rPr>
                  <w:t xml:space="preserve">, </w:t>
                </w:r>
                <w:r w:rsidRPr="00F47CF7">
                  <w:rPr>
                    <w:bCs/>
                    <w:lang w:val="fr-BE" w:eastAsia="en-GB"/>
                  </w:rPr>
                  <w:t>Chef d'unité</w:t>
                </w:r>
              </w:p>
            </w:sdtContent>
          </w:sdt>
          <w:p w14:paraId="32DD8032" w14:textId="06E206C3" w:rsidR="00377580" w:rsidRPr="00A8355A" w:rsidRDefault="007B7CB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5BFB">
                  <w:rPr>
                    <w:bCs/>
                    <w:lang w:val="fr-BE" w:eastAsia="en-GB"/>
                  </w:rPr>
                  <w:t>4</w:t>
                </w:r>
              </w:sdtContent>
            </w:sdt>
            <w:r w:rsidR="00377580" w:rsidRPr="00A8355A">
              <w:rPr>
                <w:bCs/>
                <w:lang w:val="fr-BE" w:eastAsia="en-GB"/>
              </w:rPr>
              <w:t xml:space="preserve"> trimestre</w:t>
            </w:r>
            <w:r w:rsidR="00377580" w:rsidRPr="001D3EEC">
              <w:rPr>
                <w:bCs/>
                <w:lang w:val="fr-BE" w:eastAsia="en-GB"/>
              </w:rPr>
              <w:t xml:space="preserv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87ACE">
                      <w:rPr>
                        <w:bCs/>
                        <w:lang w:val="fr-BE" w:eastAsia="en-GB"/>
                      </w:rPr>
                      <w:t>2024</w:t>
                    </w:r>
                  </w:sdtContent>
                </w:sdt>
              </w:sdtContent>
            </w:sdt>
          </w:p>
          <w:p w14:paraId="768BBE26" w14:textId="24357A59" w:rsidR="00377580" w:rsidRPr="001D3EEC" w:rsidRDefault="007B7CB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95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559A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47CF7">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tbl>
            <w:tblPr>
              <w:tblOverlap w:val="never"/>
              <w:tblW w:w="0" w:type="auto"/>
              <w:jc w:val="center"/>
              <w:tblLayout w:type="fixed"/>
              <w:tblCellMar>
                <w:left w:w="10" w:type="dxa"/>
                <w:right w:w="10" w:type="dxa"/>
              </w:tblCellMar>
              <w:tblLook w:val="04A0" w:firstRow="1" w:lastRow="0" w:firstColumn="1" w:lastColumn="0" w:noHBand="0" w:noVBand="1"/>
            </w:tblPr>
            <w:tblGrid>
              <w:gridCol w:w="5501"/>
            </w:tblGrid>
            <w:tr w:rsidR="00B305D3" w:rsidRPr="00B305D3" w14:paraId="3B4FB82E" w14:textId="77777777" w:rsidTr="000671CF">
              <w:trPr>
                <w:trHeight w:hRule="exact" w:val="806"/>
                <w:jc w:val="center"/>
              </w:trPr>
              <w:tc>
                <w:tcPr>
                  <w:tcW w:w="5501" w:type="dxa"/>
                  <w:tcBorders>
                    <w:top w:val="single" w:sz="4" w:space="0" w:color="auto"/>
                    <w:left w:val="single" w:sz="4" w:space="0" w:color="auto"/>
                    <w:right w:val="single" w:sz="4" w:space="0" w:color="auto"/>
                  </w:tcBorders>
                  <w:shd w:val="clear" w:color="auto" w:fill="auto"/>
                </w:tcPr>
                <w:p w14:paraId="160E3D3B" w14:textId="548E8D3E" w:rsidR="00B305D3" w:rsidRPr="00B305D3" w:rsidRDefault="00B305D3" w:rsidP="00B305D3">
                  <w:pPr>
                    <w:widowControl w:val="0"/>
                    <w:tabs>
                      <w:tab w:val="left" w:pos="2141"/>
                    </w:tabs>
                    <w:spacing w:before="160" w:after="0"/>
                    <w:jc w:val="left"/>
                    <w:rPr>
                      <w:szCs w:val="24"/>
                      <w:lang w:val="hr-HR" w:eastAsia="hr-HR" w:bidi="hr-HR"/>
                    </w:rPr>
                  </w:pPr>
                  <w:r>
                    <w:rPr>
                      <w:szCs w:val="24"/>
                      <w:lang w:val="hr-HR" w:eastAsia="hr-HR" w:bidi="hr-HR"/>
                    </w:rPr>
                    <w:t xml:space="preserve"> ●  </w:t>
                  </w:r>
                  <w:r w:rsidRPr="00B305D3">
                    <w:rPr>
                      <w:szCs w:val="24"/>
                      <w:lang w:val="hr-HR" w:eastAsia="hr-HR" w:bidi="hr-HR"/>
                    </w:rPr>
                    <w:t xml:space="preserve">Avec </w:t>
                  </w:r>
                  <w:r w:rsidRPr="00B305D3">
                    <w:rPr>
                      <w:szCs w:val="24"/>
                      <w:lang w:val="cs-CZ" w:eastAsia="cs-CZ" w:bidi="cs-CZ"/>
                    </w:rPr>
                    <w:t>indemnités</w:t>
                  </w:r>
                  <w:r w:rsidRPr="00B305D3">
                    <w:rPr>
                      <w:szCs w:val="24"/>
                      <w:lang w:val="cs-CZ" w:eastAsia="cs-CZ" w:bidi="cs-CZ"/>
                    </w:rPr>
                    <w:tab/>
                  </w:r>
                  <w:r w:rsidRPr="00B305D3">
                    <w:rPr>
                      <w:b/>
                      <w:bCs/>
                      <w:sz w:val="32"/>
                      <w:szCs w:val="32"/>
                      <w:lang w:val="hr-HR" w:eastAsia="hr-HR" w:bidi="hr-HR"/>
                    </w:rPr>
                    <w:t>◦</w:t>
                  </w:r>
                  <w:r w:rsidRPr="00B305D3">
                    <w:rPr>
                      <w:color w:val="696969"/>
                      <w:szCs w:val="24"/>
                      <w:lang w:val="lt-LT" w:eastAsia="lt-LT" w:bidi="lt-LT"/>
                    </w:rPr>
                    <w:t xml:space="preserve"> </w:t>
                  </w:r>
                  <w:r w:rsidRPr="00B305D3">
                    <w:rPr>
                      <w:szCs w:val="24"/>
                      <w:lang w:val="lt-LT" w:eastAsia="lt-LT" w:bidi="lt-LT"/>
                    </w:rPr>
                    <w:t>Sans frais</w:t>
                  </w:r>
                </w:p>
              </w:tc>
            </w:tr>
          </w:tbl>
          <w:p w14:paraId="414E5C9C" w14:textId="2B55CFB6" w:rsidR="00E850B7" w:rsidRPr="00B305D3" w:rsidRDefault="00E850B7" w:rsidP="00BC2C0C">
            <w:pPr>
              <w:tabs>
                <w:tab w:val="left" w:pos="426"/>
              </w:tabs>
              <w:spacing w:before="120"/>
              <w:rPr>
                <w:bCs/>
                <w:lang w:val="hr-HR" w:eastAsia="en-GB"/>
              </w:rPr>
            </w:pPr>
          </w:p>
        </w:tc>
      </w:tr>
      <w:tr w:rsidR="00377580" w:rsidRPr="007B7CB2" w14:paraId="52DCBCF8" w14:textId="77777777" w:rsidTr="005F6927">
        <w:tc>
          <w:tcPr>
            <w:tcW w:w="8602" w:type="dxa"/>
            <w:gridSpan w:val="2"/>
          </w:tcPr>
          <w:p w14:paraId="45663A80" w14:textId="309D1264" w:rsidR="00A8355A" w:rsidRPr="00A8355A" w:rsidRDefault="00B305D3" w:rsidP="00A8355A">
            <w:pPr>
              <w:widowControl w:val="0"/>
              <w:spacing w:after="340"/>
              <w:jc w:val="left"/>
              <w:rPr>
                <w:szCs w:val="24"/>
                <w:lang w:val="hr-HR" w:eastAsia="hr-HR" w:bidi="hr-HR"/>
              </w:rPr>
            </w:pPr>
            <w:r>
              <w:rPr>
                <w:szCs w:val="24"/>
                <w:lang w:val="hr-HR" w:eastAsia="hr-HR" w:bidi="hr-HR"/>
              </w:rPr>
              <w:t xml:space="preserve"> </w:t>
            </w:r>
            <w:r w:rsidR="00A8355A" w:rsidRPr="00A8355A">
              <w:rPr>
                <w:szCs w:val="24"/>
                <w:lang w:val="hr-HR" w:eastAsia="hr-HR" w:bidi="hr-HR"/>
              </w:rPr>
              <w:t>Cet avis de vacance est ouvert aux:</w:t>
            </w:r>
          </w:p>
          <w:p w14:paraId="7DDF0C40" w14:textId="39133320" w:rsidR="00A8355A" w:rsidRPr="00A8355A" w:rsidRDefault="00A8355A" w:rsidP="00A8355A">
            <w:pPr>
              <w:widowControl w:val="0"/>
              <w:spacing w:after="80"/>
              <w:jc w:val="left"/>
              <w:rPr>
                <w:szCs w:val="24"/>
                <w:lang w:val="hr-HR" w:eastAsia="hr-HR" w:bidi="hr-HR"/>
              </w:rPr>
            </w:pPr>
            <w:r>
              <w:rPr>
                <w:szCs w:val="24"/>
                <w:lang w:val="cs-CZ" w:eastAsia="cs-CZ" w:bidi="cs-CZ"/>
              </w:rPr>
              <w:t xml:space="preserve"> </w:t>
            </w:r>
            <w:r w:rsidR="00B305D3">
              <w:rPr>
                <w:szCs w:val="24"/>
                <w:lang w:val="cs-CZ" w:eastAsia="cs-CZ" w:bidi="cs-CZ"/>
              </w:rPr>
              <w:t>●</w:t>
            </w:r>
            <w:r>
              <w:rPr>
                <w:szCs w:val="24"/>
                <w:lang w:val="cs-CZ" w:eastAsia="cs-CZ" w:bidi="cs-CZ"/>
              </w:rPr>
              <w:t xml:space="preserve"> </w:t>
            </w:r>
            <w:r w:rsidRPr="00A8355A">
              <w:rPr>
                <w:szCs w:val="24"/>
                <w:lang w:val="cs-CZ" w:eastAsia="cs-CZ" w:bidi="cs-CZ"/>
              </w:rPr>
              <w:t xml:space="preserve">États </w:t>
            </w:r>
            <w:r w:rsidRPr="00A8355A">
              <w:rPr>
                <w:szCs w:val="24"/>
                <w:lang w:val="hr-HR" w:eastAsia="hr-HR" w:bidi="hr-HR"/>
              </w:rPr>
              <w:t>Membres de l’UE</w:t>
            </w:r>
          </w:p>
          <w:p w14:paraId="70E5E597" w14:textId="77777777" w:rsidR="00A8355A" w:rsidRPr="00A8355A" w:rsidRDefault="00A8355A" w:rsidP="00A8355A">
            <w:pPr>
              <w:widowControl w:val="0"/>
              <w:spacing w:after="140"/>
              <w:ind w:firstLine="680"/>
              <w:jc w:val="left"/>
              <w:rPr>
                <w:szCs w:val="24"/>
                <w:lang w:val="hr-HR" w:eastAsia="hr-HR" w:bidi="hr-HR"/>
              </w:rPr>
            </w:pPr>
            <w:r w:rsidRPr="00A8355A">
              <w:rPr>
                <w:szCs w:val="24"/>
                <w:lang w:val="hr-HR" w:eastAsia="hr-HR" w:bidi="hr-HR"/>
              </w:rPr>
              <w:t>ainsi qu’aux</w:t>
            </w:r>
          </w:p>
          <w:p w14:paraId="3EA5B2E3"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pays AELE suivants:</w:t>
            </w:r>
          </w:p>
          <w:p w14:paraId="75CC90FE" w14:textId="77777777" w:rsidR="00A8355A" w:rsidRPr="00A8355A" w:rsidRDefault="00A8355A" w:rsidP="00A8355A">
            <w:pPr>
              <w:widowControl w:val="0"/>
              <w:spacing w:after="40"/>
              <w:jc w:val="center"/>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Islande </w:t>
            </w: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Liechtenstein </w:t>
            </w:r>
            <w:r w:rsidRPr="00A8355A">
              <w:rPr>
                <w:rFonts w:ascii="MS Gothic" w:eastAsia="MS Gothic" w:hAnsi="MS Gothic" w:cs="MS Gothic"/>
                <w:szCs w:val="24"/>
                <w:lang w:val="bg-BG" w:eastAsia="bg-BG" w:bidi="bg-BG"/>
              </w:rPr>
              <w:t xml:space="preserve">☐ </w:t>
            </w:r>
            <w:r w:rsidRPr="007B7CB2">
              <w:rPr>
                <w:szCs w:val="24"/>
                <w:lang w:val="fr-BE" w:eastAsia="nl-NL" w:bidi="nl-NL"/>
              </w:rPr>
              <w:t xml:space="preserve">Norvège </w:t>
            </w:r>
            <w:r w:rsidRPr="00A8355A">
              <w:rPr>
                <w:rFonts w:ascii="MS Gothic" w:eastAsia="MS Gothic" w:hAnsi="MS Gothic" w:cs="MS Gothic"/>
                <w:szCs w:val="24"/>
                <w:lang w:val="bg-BG" w:eastAsia="bg-BG" w:bidi="bg-BG"/>
              </w:rPr>
              <w:t xml:space="preserve">☐ </w:t>
            </w:r>
            <w:r w:rsidRPr="00A8355A">
              <w:rPr>
                <w:szCs w:val="24"/>
                <w:lang w:val="hr-HR" w:eastAsia="hr-HR" w:bidi="hr-HR"/>
              </w:rPr>
              <w:t>Suisse</w:t>
            </w:r>
          </w:p>
          <w:p w14:paraId="43E35B02" w14:textId="77777777" w:rsidR="00A8355A" w:rsidRPr="00A8355A" w:rsidRDefault="00A8355A" w:rsidP="00A8355A">
            <w:pPr>
              <w:widowControl w:val="0"/>
              <w:spacing w:after="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pays tiers suivants: </w:t>
            </w:r>
            <w:r w:rsidRPr="00A8355A">
              <w:rPr>
                <w:color w:val="288061"/>
                <w:szCs w:val="24"/>
                <w:lang w:val="bg-BG" w:eastAsia="bg-BG" w:bidi="bg-BG"/>
              </w:rPr>
              <w:t>…</w:t>
            </w:r>
          </w:p>
          <w:p w14:paraId="04272396" w14:textId="77777777" w:rsidR="00A8355A" w:rsidRPr="00A8355A" w:rsidRDefault="00A8355A" w:rsidP="00A8355A">
            <w:pPr>
              <w:widowControl w:val="0"/>
              <w:spacing w:after="340"/>
              <w:ind w:firstLine="680"/>
              <w:jc w:val="left"/>
              <w:rPr>
                <w:szCs w:val="24"/>
                <w:lang w:val="hr-HR" w:eastAsia="hr-HR" w:bidi="hr-HR"/>
              </w:rPr>
            </w:pPr>
            <w:r w:rsidRPr="00A8355A">
              <w:rPr>
                <w:rFonts w:ascii="MS Gothic" w:eastAsia="MS Gothic" w:hAnsi="MS Gothic" w:cs="MS Gothic"/>
                <w:szCs w:val="24"/>
                <w:lang w:val="bg-BG" w:eastAsia="bg-BG" w:bidi="bg-BG"/>
              </w:rPr>
              <w:t xml:space="preserve">☐ </w:t>
            </w:r>
            <w:r w:rsidRPr="00A8355A">
              <w:rPr>
                <w:szCs w:val="24"/>
                <w:lang w:val="hr-HR" w:eastAsia="hr-HR" w:bidi="hr-HR"/>
              </w:rPr>
              <w:t xml:space="preserve">organisations intergouvernementales suivantes: </w:t>
            </w:r>
            <w:r w:rsidRPr="00A8355A">
              <w:rPr>
                <w:color w:val="288061"/>
                <w:szCs w:val="24"/>
                <w:lang w:val="bg-BG" w:eastAsia="bg-BG" w:bidi="bg-BG"/>
              </w:rPr>
              <w:t>…</w:t>
            </w:r>
          </w:p>
          <w:p w14:paraId="2B5ABBA0" w14:textId="603ED4B2" w:rsidR="00A65B97" w:rsidRPr="007B7CB2" w:rsidRDefault="00A8355A" w:rsidP="00A8355A">
            <w:pPr>
              <w:tabs>
                <w:tab w:val="left" w:pos="426"/>
              </w:tabs>
              <w:rPr>
                <w:bCs/>
                <w:szCs w:val="24"/>
                <w:lang w:val="nl-BE" w:eastAsia="en-GB"/>
              </w:rPr>
            </w:pPr>
            <w:r>
              <w:rPr>
                <w:color w:val="000000"/>
                <w:szCs w:val="24"/>
                <w:lang w:val="hr-HR" w:eastAsia="hr-HR" w:bidi="hr-HR"/>
              </w:rPr>
              <w:t xml:space="preserve"> </w:t>
            </w:r>
            <w:r w:rsidR="0008734D" w:rsidRPr="00B305D3">
              <w:rPr>
                <w:b/>
                <w:bCs/>
                <w:sz w:val="32"/>
                <w:szCs w:val="32"/>
                <w:lang w:val="hr-HR" w:eastAsia="hr-HR" w:bidi="hr-HR"/>
              </w:rPr>
              <w:t>◦</w:t>
            </w:r>
            <w:r>
              <w:rPr>
                <w:color w:val="000000"/>
                <w:szCs w:val="24"/>
                <w:lang w:val="hr-HR" w:eastAsia="hr-HR" w:bidi="hr-HR"/>
              </w:rPr>
              <w:t xml:space="preserve"> </w:t>
            </w:r>
            <w:r w:rsidRPr="00A8355A">
              <w:rPr>
                <w:color w:val="000000"/>
                <w:szCs w:val="24"/>
                <w:lang w:val="hr-HR" w:eastAsia="hr-HR" w:bidi="hr-HR"/>
              </w:rPr>
              <w:t xml:space="preserve">Accord AELE-EEE In-Kind (Islande, Liechtenstein, </w:t>
            </w:r>
            <w:r w:rsidRPr="00A8355A">
              <w:rPr>
                <w:color w:val="000000"/>
                <w:szCs w:val="24"/>
                <w:lang w:val="nl-NL" w:eastAsia="nl-NL" w:bidi="nl-NL"/>
              </w:rPr>
              <w:t>Norvège)</w:t>
            </w:r>
          </w:p>
        </w:tc>
      </w:tr>
      <w:tr w:rsidR="00E850B7" w:rsidRPr="00B87A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bookmarkStart w:id="0" w:name="_Hlk158972146"/>
            <w:r w:rsidRPr="001D3EEC">
              <w:rPr>
                <w:bCs/>
                <w:lang w:val="fr-BE" w:eastAsia="en-GB"/>
              </w:rPr>
              <w:t>Délai des candidatures</w:t>
            </w:r>
          </w:p>
        </w:tc>
        <w:tc>
          <w:tcPr>
            <w:tcW w:w="5491" w:type="dxa"/>
          </w:tcPr>
          <w:p w14:paraId="4F3E9AAB" w14:textId="6330EEB4" w:rsidR="00B305D3" w:rsidRPr="00B305D3" w:rsidRDefault="00B305D3" w:rsidP="00B305D3">
            <w:pPr>
              <w:widowControl w:val="0"/>
              <w:tabs>
                <w:tab w:val="left" w:pos="2279"/>
              </w:tabs>
              <w:spacing w:after="320"/>
              <w:jc w:val="left"/>
              <w:rPr>
                <w:szCs w:val="24"/>
                <w:lang w:val="hr-HR" w:eastAsia="hr-HR" w:bidi="hr-HR"/>
              </w:rPr>
            </w:pPr>
            <w:r>
              <w:rPr>
                <w:szCs w:val="24"/>
                <w:lang w:val="fr-CA" w:eastAsia="bg-BG" w:bidi="bg-BG"/>
              </w:rPr>
              <w:t xml:space="preserve">   ●   </w:t>
            </w:r>
            <w:r w:rsidRPr="00B305D3">
              <w:rPr>
                <w:szCs w:val="24"/>
                <w:lang w:val="bg-BG" w:eastAsia="bg-BG" w:bidi="bg-BG"/>
              </w:rPr>
              <w:t xml:space="preserve">2 </w:t>
            </w:r>
            <w:r w:rsidRPr="00B305D3">
              <w:rPr>
                <w:szCs w:val="24"/>
                <w:lang w:val="lt-LT" w:eastAsia="lt-LT" w:bidi="lt-LT"/>
              </w:rPr>
              <w:t>mois</w:t>
            </w:r>
            <w:r w:rsidRPr="00B305D3">
              <w:rPr>
                <w:szCs w:val="24"/>
                <w:lang w:val="lt-LT" w:eastAsia="lt-LT" w:bidi="lt-LT"/>
              </w:rPr>
              <w:tab/>
            </w:r>
            <w:r>
              <w:rPr>
                <w:color w:val="696969"/>
                <w:szCs w:val="24"/>
                <w:lang w:val="lt-LT" w:eastAsia="lt-LT" w:bidi="lt-LT"/>
              </w:rPr>
              <w:t>◦</w:t>
            </w:r>
            <w:r w:rsidRPr="00B305D3">
              <w:rPr>
                <w:color w:val="696969"/>
                <w:szCs w:val="24"/>
                <w:lang w:val="lt-LT" w:eastAsia="lt-LT" w:bidi="lt-LT"/>
              </w:rPr>
              <w:t xml:space="preserve"> </w:t>
            </w:r>
            <w:r w:rsidRPr="00B305D3">
              <w:rPr>
                <w:szCs w:val="24"/>
                <w:lang w:val="lt-LT" w:eastAsia="lt-LT" w:bidi="lt-LT"/>
              </w:rPr>
              <w:t>1 mois</w:t>
            </w:r>
          </w:p>
          <w:p w14:paraId="63DD2FA8" w14:textId="2FC06538" w:rsidR="00E850B7" w:rsidRPr="00B305D3" w:rsidRDefault="00B305D3" w:rsidP="00B305D3">
            <w:pPr>
              <w:tabs>
                <w:tab w:val="left" w:pos="426"/>
              </w:tabs>
              <w:spacing w:before="120" w:after="120"/>
              <w:rPr>
                <w:bCs/>
                <w:lang w:val="fr-BE" w:eastAsia="en-GB"/>
              </w:rPr>
            </w:pPr>
            <w:r w:rsidRPr="00B305D3">
              <w:rPr>
                <w:color w:val="000000"/>
                <w:szCs w:val="24"/>
                <w:lang w:val="lt-LT" w:eastAsia="lt-LT" w:bidi="lt-LT"/>
              </w:rPr>
              <w:t>Date limite pour postuler: 25-06-2024</w:t>
            </w:r>
          </w:p>
        </w:tc>
      </w:tr>
      <w:bookmarkEnd w:id="0"/>
    </w:tbl>
    <w:p w14:paraId="64E3B7F7" w14:textId="4ACBF2E8" w:rsidR="00E850B7" w:rsidRPr="00B305D3" w:rsidRDefault="00E850B7" w:rsidP="00377580">
      <w:pPr>
        <w:rPr>
          <w:b/>
          <w:bCs/>
          <w:lang w:val="fr-BE" w:eastAsia="en-GB"/>
        </w:rPr>
      </w:pPr>
    </w:p>
    <w:p w14:paraId="58425216" w14:textId="77777777" w:rsidR="00250C40" w:rsidRPr="00B305D3" w:rsidRDefault="00250C40" w:rsidP="00377580">
      <w:pPr>
        <w:rPr>
          <w:b/>
          <w:bCs/>
          <w:lang w:val="fr-BE" w:eastAsia="en-GB"/>
        </w:rPr>
      </w:pPr>
    </w:p>
    <w:p w14:paraId="56FF37FF" w14:textId="7820A366" w:rsidR="001A0074" w:rsidRPr="0053405E" w:rsidRDefault="00B31DC8" w:rsidP="00250C40">
      <w:pPr>
        <w:pStyle w:val="ListNumber"/>
        <w:keepNext/>
        <w:numPr>
          <w:ilvl w:val="0"/>
          <w:numId w:val="0"/>
        </w:numPr>
        <w:ind w:left="709" w:hanging="709"/>
        <w:rPr>
          <w:lang w:val="fr-BE" w:eastAsia="en-GB"/>
        </w:rPr>
      </w:pPr>
      <w:r w:rsidRPr="001D3EEC">
        <w:rPr>
          <w:b/>
          <w:bCs/>
          <w:lang w:val="fr-BE" w:eastAsia="en-GB"/>
        </w:rPr>
        <w:lastRenderedPageBreak/>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1" w:name="_Hlk152682023" w:displacedByCustomXml="next"/>
        <w:sdt>
          <w:sdtPr>
            <w:rPr>
              <w:lang w:val="fr-BE" w:eastAsia="en-GB"/>
            </w:rPr>
            <w:id w:val="971636171"/>
            <w:placeholder>
              <w:docPart w:val="B7BEB91AFDAA472F8448459AEB41AF74"/>
            </w:placeholder>
          </w:sdtPr>
          <w:sdtEndPr/>
          <w:sdtContent>
            <w:p w14:paraId="07106C3A" w14:textId="6BF4B11F" w:rsidR="00206E8E" w:rsidRPr="00206E8E" w:rsidRDefault="00393B90" w:rsidP="00250C40">
              <w:pPr>
                <w:pStyle w:val="LegalNumPar"/>
                <w:numPr>
                  <w:ilvl w:val="0"/>
                  <w:numId w:val="0"/>
                </w:numPr>
                <w:spacing w:line="240" w:lineRule="auto"/>
                <w:rPr>
                  <w:lang w:val="fr-BE" w:eastAsia="en-GB"/>
                </w:rPr>
              </w:pPr>
              <w:r>
                <w:rPr>
                  <w:lang w:val="fr-BE" w:eastAsia="en-GB"/>
                </w:rPr>
                <w:t xml:space="preserve">L'unité H.2 est en charge de l'audit des dépenses des mesures de marché et du développement rural, dont les États membres ont la responsabilité de la gestion et du contrôle. </w:t>
              </w:r>
              <w:r w:rsidR="00082A32">
                <w:rPr>
                  <w:lang w:val="fr-BE" w:eastAsia="en-GB"/>
                </w:rPr>
                <w:t xml:space="preserve">Le montant des dépenses concernées est d'environ 10 milliards d'euros par an . </w:t>
              </w:r>
              <w:r>
                <w:rPr>
                  <w:lang w:val="fr-BE" w:eastAsia="en-GB"/>
                </w:rPr>
                <w:t xml:space="preserve">L'objectif de l'unité est de fournir à la Commission l'assurance raisonnable que les dépenses déclarées par les organismes payeurs ont été engagées dans le respect des règles communautaires. Pour atteindre cet objectif, des enquêtes de conformité sont réalisées au moyen de missions d'audit des systèmes de gestion et de contrôle des États membres.  Les autres tâches de l'unité comprennent la promotion de systèmes de contrôle efficaces,  l'assistance aux États membres pour </w:t>
              </w:r>
              <w:r w:rsidR="00082A32">
                <w:rPr>
                  <w:lang w:val="fr-BE" w:eastAsia="en-GB"/>
                </w:rPr>
                <w:t xml:space="preserve">permettre </w:t>
              </w:r>
              <w:r>
                <w:rPr>
                  <w:lang w:val="fr-BE" w:eastAsia="en-GB"/>
                </w:rPr>
                <w:t xml:space="preserve">une </w:t>
              </w:r>
              <w:r w:rsidR="00082A32">
                <w:rPr>
                  <w:lang w:val="fr-BE" w:eastAsia="en-GB"/>
                </w:rPr>
                <w:t xml:space="preserve">bonne </w:t>
              </w:r>
              <w:r>
                <w:rPr>
                  <w:lang w:val="fr-BE" w:eastAsia="en-GB"/>
                </w:rPr>
                <w:t xml:space="preserve">mise en œuvre  des mesures </w:t>
              </w:r>
              <w:r w:rsidR="00082A32">
                <w:rPr>
                  <w:lang w:val="fr-BE" w:eastAsia="en-GB"/>
                </w:rPr>
                <w:t xml:space="preserve">tombant dans le domaine de compétences de l’unité , l’exploitation des audits d’autres organisations , telles que la Cour des comptes européenne et , de manière générale , l’appui de la direction générale dans tous les domaines relevant de l’audit . </w:t>
              </w:r>
              <w:r>
                <w:rPr>
                  <w:lang w:val="fr-BE" w:eastAsia="en-GB"/>
                </w:rPr>
                <w:t xml:space="preserve"> </w:t>
              </w:r>
            </w:p>
          </w:sdtContent>
        </w:sdt>
        <w:bookmarkEnd w:id="1" w:displacedByCustomXml="next"/>
      </w:sdtContent>
    </w:sdt>
    <w:p w14:paraId="30B422AA" w14:textId="77777777" w:rsidR="00301CA3" w:rsidRPr="00206E8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988390542"/>
            <w:placeholder>
              <w:docPart w:val="D81C1BA446414116A4D6841D5C7339FC"/>
            </w:placeholder>
          </w:sdtPr>
          <w:sdtEndPr/>
          <w:sdtContent>
            <w:p w14:paraId="77AEC325" w14:textId="18C0C499" w:rsidR="00393B90" w:rsidRDefault="00A63DD7" w:rsidP="00393B90">
              <w:pPr>
                <w:rPr>
                  <w:lang w:val="fr-BE" w:eastAsia="en-GB"/>
                </w:rPr>
              </w:pPr>
              <w:r w:rsidRPr="00206E8E">
                <w:rPr>
                  <w:lang w:val="fr-BE" w:eastAsia="en-GB"/>
                </w:rPr>
                <w:t>Nous recherchons un collègue expérimenté pour rejoindre notre équipe</w:t>
              </w:r>
              <w:r>
                <w:rPr>
                  <w:lang w:val="fr-BE" w:eastAsia="en-GB"/>
                </w:rPr>
                <w:t xml:space="preserve"> « D</w:t>
              </w:r>
              <w:r>
                <w:rPr>
                  <w:lang w:val="fr-CA" w:eastAsia="en-GB"/>
                </w:rPr>
                <w:t>éveloppement rural</w:t>
              </w:r>
              <w:r>
                <w:rPr>
                  <w:lang w:val="fr-BE" w:eastAsia="en-GB"/>
                </w:rPr>
                <w:t xml:space="preserve"> » , partie hors système intégré de </w:t>
              </w:r>
              <w:r w:rsidR="00FF5BFB">
                <w:rPr>
                  <w:lang w:val="fr-BE" w:eastAsia="en-GB"/>
                </w:rPr>
                <w:t xml:space="preserve">gestion et </w:t>
              </w:r>
              <w:r>
                <w:rPr>
                  <w:lang w:val="fr-BE" w:eastAsia="en-GB"/>
                </w:rPr>
                <w:t xml:space="preserve">contrôle . </w:t>
              </w:r>
              <w:r w:rsidR="00393B90" w:rsidRPr="00206E8E">
                <w:rPr>
                  <w:lang w:val="fr-BE" w:eastAsia="en-GB"/>
                </w:rPr>
                <w:t>Le travail consiste à préparer et réaliser des audits dans les États membres afin d'évaluer leurs systèmes de gestion et de contrôle. L</w:t>
              </w:r>
              <w:r w:rsidR="00393B90">
                <w:rPr>
                  <w:lang w:val="fr-BE" w:eastAsia="en-GB"/>
                </w:rPr>
                <w:t xml:space="preserve">a fonction implique </w:t>
              </w:r>
              <w:r w:rsidR="00393B90" w:rsidRPr="00206E8E">
                <w:rPr>
                  <w:lang w:val="fr-BE" w:eastAsia="en-GB"/>
                </w:rPr>
                <w:t xml:space="preserve">la </w:t>
              </w:r>
              <w:r w:rsidR="00082A32">
                <w:rPr>
                  <w:lang w:val="fr-BE" w:eastAsia="en-GB"/>
                </w:rPr>
                <w:t xml:space="preserve">réalisation de missions sur place et la </w:t>
              </w:r>
              <w:r w:rsidR="00393B90" w:rsidRPr="00206E8E">
                <w:rPr>
                  <w:lang w:val="fr-BE" w:eastAsia="en-GB"/>
                </w:rPr>
                <w:t>rédaction de rapports d'audit</w:t>
              </w:r>
              <w:r w:rsidR="00082A32">
                <w:rPr>
                  <w:lang w:val="fr-BE" w:eastAsia="en-GB"/>
                </w:rPr>
                <w:t xml:space="preserve"> y afférent </w:t>
              </w:r>
              <w:r w:rsidR="00393B90" w:rsidRPr="00206E8E">
                <w:rPr>
                  <w:lang w:val="fr-BE" w:eastAsia="en-GB"/>
                </w:rPr>
                <w:t xml:space="preserve">, </w:t>
              </w:r>
              <w:r w:rsidR="00082A32">
                <w:rPr>
                  <w:lang w:val="fr-BE" w:eastAsia="en-GB"/>
                </w:rPr>
                <w:t xml:space="preserve">l’analyse de rapports des organismes de certification nationaux ,  </w:t>
              </w:r>
              <w:r w:rsidR="00393B90" w:rsidRPr="00206E8E">
                <w:rPr>
                  <w:lang w:val="fr-BE" w:eastAsia="en-GB"/>
                </w:rPr>
                <w:t xml:space="preserve">l’organisation de réunions bilatérales avec les autorités des États membres et le suivi de l'enquête dans le cadre de la procédure d'apurement des comptes. Le nombre de missions d'audit </w:t>
              </w:r>
              <w:r>
                <w:rPr>
                  <w:lang w:val="fr-BE" w:eastAsia="en-GB"/>
                </w:rPr>
                <w:t xml:space="preserve">dans les États membres </w:t>
              </w:r>
              <w:r w:rsidR="00393B90" w:rsidRPr="00206E8E">
                <w:rPr>
                  <w:lang w:val="fr-BE" w:eastAsia="en-GB"/>
                </w:rPr>
                <w:t>est en moyenne de quatre par an. Les missions durent généralement une semaine.</w:t>
              </w:r>
            </w:p>
            <w:p w14:paraId="13545DA9" w14:textId="554B8AAF" w:rsidR="00A63DD7" w:rsidRPr="00206E8E" w:rsidRDefault="00A63DD7" w:rsidP="00393B90">
              <w:pPr>
                <w:rPr>
                  <w:lang w:val="fr-BE" w:eastAsia="en-GB"/>
                </w:rPr>
              </w:pPr>
              <w:r>
                <w:rPr>
                  <w:lang w:val="fr-BE" w:eastAsia="en-GB"/>
                </w:rPr>
                <w:t xml:space="preserve">La fonction requiert également la participation à des réunions avec d’autres Institutions , pour des questions relative à l’audit et , de manière générale , l’appui et le conseil au management de la DG AGRI </w:t>
              </w:r>
            </w:p>
            <w:p w14:paraId="06815D7A" w14:textId="4AE7C570" w:rsidR="00393B90" w:rsidRDefault="00393B90" w:rsidP="00393B90">
              <w:pPr>
                <w:rPr>
                  <w:lang w:val="fr-BE" w:eastAsia="en-GB"/>
                </w:rPr>
              </w:pPr>
            </w:p>
            <w:p w14:paraId="74F56D6D" w14:textId="075DEE29" w:rsidR="00206E8E" w:rsidRPr="00206E8E" w:rsidRDefault="007B7CB2" w:rsidP="00393B90">
              <w:pPr>
                <w:rPr>
                  <w:lang w:val="fr-BE" w:eastAsia="en-GB"/>
                </w:rPr>
              </w:pPr>
            </w:p>
          </w:sdtContent>
        </w:sdt>
      </w:sdtContent>
    </w:sdt>
    <w:p w14:paraId="3D69C09B" w14:textId="77777777" w:rsidR="00301CA3" w:rsidRPr="00206E8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786850385"/>
            <w:placeholder>
              <w:docPart w:val="344B1B5DE08A4654981F34D1C0BDE34A"/>
            </w:placeholder>
          </w:sdtPr>
          <w:sdtEndPr/>
          <w:sdtContent>
            <w:p w14:paraId="3B65F200" w14:textId="6CFFBAFF" w:rsidR="00393B90" w:rsidRDefault="00393B90" w:rsidP="00393B90">
              <w:pPr>
                <w:pStyle w:val="ListNumber"/>
                <w:numPr>
                  <w:ilvl w:val="0"/>
                  <w:numId w:val="0"/>
                </w:numPr>
                <w:rPr>
                  <w:lang w:val="fr-BE" w:eastAsia="en-GB"/>
                </w:rPr>
              </w:pPr>
              <w:r w:rsidRPr="00206E8E">
                <w:rPr>
                  <w:lang w:val="fr-BE" w:eastAsia="en-GB"/>
                </w:rPr>
                <w:t xml:space="preserve"> </w:t>
              </w:r>
            </w:p>
            <w:p w14:paraId="2AC84BBC" w14:textId="0BF938AD" w:rsidR="00A63DD7" w:rsidRDefault="00393B90" w:rsidP="00A63DD7">
              <w:pPr>
                <w:rPr>
                  <w:lang w:val="fr-BE" w:eastAsia="en-GB"/>
                </w:rPr>
              </w:pPr>
              <w:r w:rsidRPr="00206E8E">
                <w:rPr>
                  <w:lang w:val="fr-BE" w:eastAsia="en-GB"/>
                </w:rPr>
                <w:t xml:space="preserve">Les candidats doivent avoir complété des études universitaires en rapport avec </w:t>
              </w:r>
              <w:r w:rsidR="00DD7662">
                <w:rPr>
                  <w:lang w:val="fr-BE" w:eastAsia="en-GB"/>
                </w:rPr>
                <w:t>l</w:t>
              </w:r>
              <w:r w:rsidRPr="00206E8E">
                <w:rPr>
                  <w:lang w:val="fr-BE" w:eastAsia="en-GB"/>
                </w:rPr>
                <w:t xml:space="preserve">es fonctions </w:t>
              </w:r>
              <w:r w:rsidR="007C2E2B">
                <w:rPr>
                  <w:lang w:val="fr-BE" w:eastAsia="en-GB"/>
                </w:rPr>
                <w:t xml:space="preserve">, </w:t>
              </w:r>
              <w:r w:rsidRPr="00206E8E">
                <w:rPr>
                  <w:lang w:val="fr-BE" w:eastAsia="en-GB"/>
                </w:rPr>
                <w:t xml:space="preserve">(par exemple, </w:t>
              </w:r>
              <w:r w:rsidR="007C2E2B">
                <w:rPr>
                  <w:lang w:val="fr-BE" w:eastAsia="en-GB"/>
                </w:rPr>
                <w:t xml:space="preserve">dans </w:t>
              </w:r>
              <w:r w:rsidR="00A63DD7">
                <w:rPr>
                  <w:lang w:val="fr-BE" w:eastAsia="en-GB"/>
                </w:rPr>
                <w:t xml:space="preserve">l’audit , </w:t>
              </w:r>
              <w:r w:rsidRPr="00206E8E">
                <w:rPr>
                  <w:lang w:val="fr-BE" w:eastAsia="en-GB"/>
                </w:rPr>
                <w:t xml:space="preserve">l'économie, le droit, l'agronomie, </w:t>
              </w:r>
              <w:r>
                <w:rPr>
                  <w:lang w:val="fr-BE" w:eastAsia="en-GB"/>
                </w:rPr>
                <w:t xml:space="preserve">la </w:t>
              </w:r>
              <w:r w:rsidRPr="00206E8E">
                <w:rPr>
                  <w:lang w:val="fr-BE" w:eastAsia="en-GB"/>
                </w:rPr>
                <w:t>gestion)</w:t>
              </w:r>
              <w:r w:rsidR="00DD7662" w:rsidRPr="00DD7662">
                <w:rPr>
                  <w:lang w:val="fr-BE" w:eastAsia="en-GB"/>
                </w:rPr>
                <w:t xml:space="preserve"> </w:t>
              </w:r>
              <w:r w:rsidR="00DD7662" w:rsidRPr="00206E8E">
                <w:rPr>
                  <w:lang w:val="fr-BE" w:eastAsia="en-GB"/>
                </w:rPr>
                <w:t>sanctionné</w:t>
              </w:r>
              <w:r w:rsidR="00DD7662">
                <w:rPr>
                  <w:lang w:val="fr-BE" w:eastAsia="en-GB"/>
                </w:rPr>
                <w:t xml:space="preserve">es </w:t>
              </w:r>
              <w:r w:rsidR="00DD7662" w:rsidRPr="00206E8E">
                <w:rPr>
                  <w:lang w:val="fr-BE" w:eastAsia="en-GB"/>
                </w:rPr>
                <w:t xml:space="preserve"> par un diplôme</w:t>
              </w:r>
              <w:r w:rsidRPr="00206E8E">
                <w:rPr>
                  <w:lang w:val="fr-BE" w:eastAsia="en-GB"/>
                </w:rPr>
                <w:t>.</w:t>
              </w:r>
              <w:r w:rsidR="00A63DD7" w:rsidRPr="00A63DD7">
                <w:rPr>
                  <w:lang w:val="fr-BE" w:eastAsia="en-GB"/>
                </w:rPr>
                <w:t xml:space="preserve"> </w:t>
              </w:r>
              <w:r w:rsidR="00A63DD7" w:rsidRPr="00206E8E">
                <w:rPr>
                  <w:lang w:val="fr-BE" w:eastAsia="en-GB"/>
                </w:rPr>
                <w:t xml:space="preserve">Le poste nécessite une </w:t>
              </w:r>
              <w:r w:rsidR="00A63DD7">
                <w:rPr>
                  <w:lang w:val="fr-BE" w:eastAsia="en-GB"/>
                </w:rPr>
                <w:t xml:space="preserve">très </w:t>
              </w:r>
              <w:r w:rsidR="00A63DD7" w:rsidRPr="00206E8E">
                <w:rPr>
                  <w:lang w:val="fr-BE" w:eastAsia="en-GB"/>
                </w:rPr>
                <w:t xml:space="preserve">bonne capacité d'analyse </w:t>
              </w:r>
              <w:r w:rsidR="00A63DD7">
                <w:rPr>
                  <w:lang w:val="fr-BE" w:eastAsia="en-GB"/>
                </w:rPr>
                <w:t xml:space="preserve"> , une </w:t>
              </w:r>
              <w:r w:rsidR="007C2E2B">
                <w:rPr>
                  <w:lang w:val="fr-BE" w:eastAsia="en-GB"/>
                </w:rPr>
                <w:t xml:space="preserve"> bonne organisation </w:t>
              </w:r>
              <w:r w:rsidR="00DD7662">
                <w:rPr>
                  <w:lang w:val="fr-BE" w:eastAsia="en-GB"/>
                </w:rPr>
                <w:t xml:space="preserve">des tâches </w:t>
              </w:r>
              <w:r w:rsidR="007C2E2B">
                <w:rPr>
                  <w:lang w:val="fr-BE" w:eastAsia="en-GB"/>
                </w:rPr>
                <w:t xml:space="preserve">, une </w:t>
              </w:r>
              <w:r w:rsidR="00A63DD7">
                <w:rPr>
                  <w:lang w:val="fr-BE" w:eastAsia="en-GB"/>
                </w:rPr>
                <w:t xml:space="preserve">aptitude à rédiger </w:t>
              </w:r>
              <w:r w:rsidR="007C2E2B">
                <w:rPr>
                  <w:lang w:val="fr-BE" w:eastAsia="en-GB"/>
                </w:rPr>
                <w:t xml:space="preserve">aisément et rapidement </w:t>
              </w:r>
              <w:r w:rsidR="00A63DD7">
                <w:rPr>
                  <w:lang w:val="fr-BE" w:eastAsia="en-GB"/>
                </w:rPr>
                <w:t xml:space="preserve">des documents </w:t>
              </w:r>
              <w:r w:rsidR="00A63DD7" w:rsidRPr="00206E8E">
                <w:rPr>
                  <w:lang w:val="fr-BE" w:eastAsia="en-GB"/>
                </w:rPr>
                <w:t xml:space="preserve"> </w:t>
              </w:r>
              <w:r w:rsidR="00A63DD7">
                <w:rPr>
                  <w:lang w:val="fr-BE" w:eastAsia="en-GB"/>
                </w:rPr>
                <w:t xml:space="preserve">en anglais , </w:t>
              </w:r>
              <w:r w:rsidR="007C2E2B">
                <w:rPr>
                  <w:lang w:val="fr-BE" w:eastAsia="en-GB"/>
                </w:rPr>
                <w:t xml:space="preserve">la capacité </w:t>
              </w:r>
              <w:r w:rsidR="00A63DD7" w:rsidRPr="00206E8E">
                <w:rPr>
                  <w:lang w:val="fr-BE" w:eastAsia="en-GB"/>
                </w:rPr>
                <w:t xml:space="preserve"> à mener des missions d'audit, </w:t>
              </w:r>
              <w:r w:rsidR="007C2E2B">
                <w:rPr>
                  <w:lang w:val="fr-BE" w:eastAsia="en-GB"/>
                </w:rPr>
                <w:t xml:space="preserve">en duo avec un collègue </w:t>
              </w:r>
              <w:r w:rsidR="00DD7662">
                <w:rPr>
                  <w:lang w:val="fr-BE" w:eastAsia="en-GB"/>
                </w:rPr>
                <w:t>et à s’exprimer aisément en public , en général en an</w:t>
              </w:r>
              <w:r w:rsidR="00FF5BFB">
                <w:rPr>
                  <w:lang w:val="fr-BE" w:eastAsia="en-GB"/>
                </w:rPr>
                <w:t>g</w:t>
              </w:r>
              <w:r w:rsidR="00DD7662">
                <w:rPr>
                  <w:lang w:val="fr-BE" w:eastAsia="en-GB"/>
                </w:rPr>
                <w:t xml:space="preserve">lais </w:t>
              </w:r>
              <w:r w:rsidR="00A63DD7" w:rsidRPr="00206E8E">
                <w:rPr>
                  <w:lang w:val="fr-BE" w:eastAsia="en-GB"/>
                </w:rPr>
                <w:t>. Une connaissance de la Politique Agricole Commune et/ou d'autres politiques de l'UE en gestion partagée ou comparable serait un atout.</w:t>
              </w:r>
            </w:p>
            <w:p w14:paraId="5101AE69" w14:textId="10170D10" w:rsidR="00393B90" w:rsidRPr="00206E8E" w:rsidRDefault="00A63DD7" w:rsidP="00393B90">
              <w:pPr>
                <w:pStyle w:val="ListNumber"/>
                <w:numPr>
                  <w:ilvl w:val="0"/>
                  <w:numId w:val="0"/>
                </w:numPr>
                <w:rPr>
                  <w:lang w:val="fr-BE" w:eastAsia="en-GB"/>
                </w:rPr>
              </w:pPr>
              <w:r w:rsidRPr="00206E8E">
                <w:rPr>
                  <w:lang w:val="fr-BE" w:eastAsia="en-GB"/>
                </w:rPr>
                <w:lastRenderedPageBreak/>
                <w:t xml:space="preserve">Le travail requiert </w:t>
              </w:r>
              <w:r>
                <w:rPr>
                  <w:lang w:val="fr-BE" w:eastAsia="en-GB"/>
                </w:rPr>
                <w:t xml:space="preserve">une bonne </w:t>
              </w:r>
              <w:r w:rsidRPr="00206E8E">
                <w:rPr>
                  <w:lang w:val="fr-BE" w:eastAsia="en-GB"/>
                </w:rPr>
                <w:t xml:space="preserve">capacité </w:t>
              </w:r>
              <w:r>
                <w:rPr>
                  <w:lang w:val="fr-BE" w:eastAsia="en-GB"/>
                </w:rPr>
                <w:t>d’organisation</w:t>
              </w:r>
              <w:r w:rsidRPr="00206E8E">
                <w:rPr>
                  <w:lang w:val="fr-BE" w:eastAsia="en-GB"/>
                </w:rPr>
                <w:t>, ainsi qu'un excellent esprit d'équipe mais également la capacité de travailler de manière indépendante.</w:t>
              </w:r>
            </w:p>
            <w:p w14:paraId="488CC5C4" w14:textId="5E328341" w:rsidR="00393B90" w:rsidRPr="00206E8E" w:rsidRDefault="00393B90" w:rsidP="00393B90">
              <w:pPr>
                <w:pStyle w:val="ListNumber"/>
                <w:numPr>
                  <w:ilvl w:val="0"/>
                  <w:numId w:val="0"/>
                </w:numPr>
                <w:rPr>
                  <w:lang w:val="fr-BE" w:eastAsia="en-GB"/>
                </w:rPr>
              </w:pPr>
              <w:r w:rsidRPr="00206E8E">
                <w:rPr>
                  <w:lang w:val="fr-BE" w:eastAsia="en-GB"/>
                </w:rPr>
                <w:t xml:space="preserve">Les candidats doivent être capables d’effectuer des audits </w:t>
              </w:r>
              <w:r>
                <w:rPr>
                  <w:lang w:val="fr-BE" w:eastAsia="en-GB"/>
                </w:rPr>
                <w:t xml:space="preserve">de système </w:t>
              </w:r>
              <w:r w:rsidRPr="00206E8E">
                <w:rPr>
                  <w:lang w:val="fr-BE" w:eastAsia="en-GB"/>
                </w:rPr>
                <w:t xml:space="preserve">et d’assurer un suivi </w:t>
              </w:r>
              <w:r>
                <w:rPr>
                  <w:lang w:val="fr-BE" w:eastAsia="en-GB"/>
                </w:rPr>
                <w:t xml:space="preserve">précis </w:t>
              </w:r>
              <w:r w:rsidRPr="00206E8E">
                <w:rPr>
                  <w:lang w:val="fr-BE" w:eastAsia="en-GB"/>
                </w:rPr>
                <w:t>des constatations. De même, les candidats doivent pouvoir défendre leurs points de vue au cours de réunions</w:t>
              </w:r>
              <w:r w:rsidR="00495C85">
                <w:rPr>
                  <w:lang w:val="fr-BE" w:eastAsia="en-GB"/>
                </w:rPr>
                <w:t xml:space="preserve"> avec</w:t>
              </w:r>
              <w:r w:rsidRPr="00206E8E">
                <w:rPr>
                  <w:lang w:val="fr-BE" w:eastAsia="en-GB"/>
                </w:rPr>
                <w:t xml:space="preserve"> les États Membres ainsi que d'autres institutions et instances. Ils auront de préférence une expérience en matière d'audit ou similaire. La connaissance de la PAC et de la politique de développement rural constituerait un avantage.</w:t>
              </w:r>
            </w:p>
            <w:p w14:paraId="541DADA6" w14:textId="4D70DE73" w:rsidR="00206E8E" w:rsidRPr="00206E8E" w:rsidRDefault="00393B90" w:rsidP="00393B90">
              <w:pPr>
                <w:pStyle w:val="ListNumber"/>
                <w:numPr>
                  <w:ilvl w:val="0"/>
                  <w:numId w:val="0"/>
                </w:numPr>
                <w:rPr>
                  <w:lang w:val="fr-BE" w:eastAsia="en-GB"/>
                </w:rPr>
              </w:pPr>
              <w:r w:rsidRPr="00206E8E">
                <w:rPr>
                  <w:lang w:val="fr-BE" w:eastAsia="en-GB"/>
                </w:rPr>
                <w:t xml:space="preserve">Très bonnes capacités de communication et de rédaction en anglais. La connaissance d'autres langues de l'Union européenne, notamment le </w:t>
              </w:r>
              <w:r w:rsidR="00E62E8B">
                <w:rPr>
                  <w:lang w:val="fr-BE" w:eastAsia="en-GB"/>
                </w:rPr>
                <w:t>f</w:t>
              </w:r>
              <w:r w:rsidRPr="00206E8E">
                <w:rPr>
                  <w:lang w:val="fr-BE" w:eastAsia="en-GB"/>
                </w:rPr>
                <w:t>rançais, constituerait un avantage</w:t>
              </w:r>
              <w:r>
                <w:rPr>
                  <w:lang w:val="fr-BE" w:eastAsia="en-GB"/>
                </w:rPr>
                <w:t>.</w:t>
              </w:r>
            </w:p>
          </w:sdtContent>
        </w:sdt>
      </w:sdtContent>
    </w:sdt>
    <w:p w14:paraId="5D76C15C" w14:textId="77777777" w:rsidR="00F65CC2" w:rsidRPr="00206E8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1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8732E" w14:textId="77777777" w:rsidR="001A0B15" w:rsidRDefault="001A0B15">
      <w:pPr>
        <w:spacing w:after="0"/>
      </w:pPr>
      <w:r>
        <w:separator/>
      </w:r>
    </w:p>
  </w:endnote>
  <w:endnote w:type="continuationSeparator" w:id="0">
    <w:p w14:paraId="1A75AFAA" w14:textId="77777777" w:rsidR="001A0B15" w:rsidRDefault="001A0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8273" w14:textId="77777777" w:rsidR="001A0B15" w:rsidRDefault="001A0B15">
      <w:pPr>
        <w:spacing w:after="0"/>
      </w:pPr>
      <w:r>
        <w:separator/>
      </w:r>
    </w:p>
  </w:footnote>
  <w:footnote w:type="continuationSeparator" w:id="0">
    <w:p w14:paraId="2A17206D" w14:textId="77777777" w:rsidR="001A0B15" w:rsidRDefault="001A0B15">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CA" w:vendorID="64" w:dllVersion="0" w:nlCheck="1" w:checkStyle="0"/>
  <w:activeWritingStyle w:appName="MSWord" w:lang="cs-CZ" w:vendorID="64" w:dllVersion="0" w:nlCheck="1" w:checkStyle="0"/>
  <w:activeWritingStyle w:appName="MSWord" w:lang="fr-CA"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A32"/>
    <w:rsid w:val="0008734D"/>
    <w:rsid w:val="000914BF"/>
    <w:rsid w:val="00097587"/>
    <w:rsid w:val="000C1D71"/>
    <w:rsid w:val="00107E3C"/>
    <w:rsid w:val="00137DCA"/>
    <w:rsid w:val="001A0074"/>
    <w:rsid w:val="001A0B15"/>
    <w:rsid w:val="001D3EEC"/>
    <w:rsid w:val="00206E8E"/>
    <w:rsid w:val="00215A56"/>
    <w:rsid w:val="00250C40"/>
    <w:rsid w:val="0028413D"/>
    <w:rsid w:val="002841B7"/>
    <w:rsid w:val="002A6E30"/>
    <w:rsid w:val="002B37EB"/>
    <w:rsid w:val="00301CA3"/>
    <w:rsid w:val="00377580"/>
    <w:rsid w:val="00393B90"/>
    <w:rsid w:val="00394581"/>
    <w:rsid w:val="00443957"/>
    <w:rsid w:val="00462268"/>
    <w:rsid w:val="00495C85"/>
    <w:rsid w:val="004A4BB7"/>
    <w:rsid w:val="004D24A7"/>
    <w:rsid w:val="004D3B51"/>
    <w:rsid w:val="00517EF9"/>
    <w:rsid w:val="0053405E"/>
    <w:rsid w:val="00556CBD"/>
    <w:rsid w:val="006A1CB2"/>
    <w:rsid w:val="006F23BA"/>
    <w:rsid w:val="0074301E"/>
    <w:rsid w:val="007A10AA"/>
    <w:rsid w:val="007A1396"/>
    <w:rsid w:val="007B5FAE"/>
    <w:rsid w:val="007B7CB2"/>
    <w:rsid w:val="007C2E2B"/>
    <w:rsid w:val="007E131B"/>
    <w:rsid w:val="008241B0"/>
    <w:rsid w:val="008315CD"/>
    <w:rsid w:val="00866E7F"/>
    <w:rsid w:val="008A0FF3"/>
    <w:rsid w:val="00921957"/>
    <w:rsid w:val="0092295D"/>
    <w:rsid w:val="00935C5C"/>
    <w:rsid w:val="009559A1"/>
    <w:rsid w:val="00A63DD7"/>
    <w:rsid w:val="00A65B97"/>
    <w:rsid w:val="00A80D23"/>
    <w:rsid w:val="00A8355A"/>
    <w:rsid w:val="00A917BE"/>
    <w:rsid w:val="00B305D3"/>
    <w:rsid w:val="00B31DC8"/>
    <w:rsid w:val="00B87ACE"/>
    <w:rsid w:val="00C518F5"/>
    <w:rsid w:val="00D703FC"/>
    <w:rsid w:val="00D82B48"/>
    <w:rsid w:val="00DC5C83"/>
    <w:rsid w:val="00DD7662"/>
    <w:rsid w:val="00E0579E"/>
    <w:rsid w:val="00E5708E"/>
    <w:rsid w:val="00E62E8B"/>
    <w:rsid w:val="00E850B7"/>
    <w:rsid w:val="00E927FE"/>
    <w:rsid w:val="00E94645"/>
    <w:rsid w:val="00EF751D"/>
    <w:rsid w:val="00F47CF7"/>
    <w:rsid w:val="00F65CC2"/>
    <w:rsid w:val="00FF5B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FF5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B7BEB91AFDAA472F8448459AEB41AF74"/>
        <w:category>
          <w:name w:val="General"/>
          <w:gallery w:val="placeholder"/>
        </w:category>
        <w:types>
          <w:type w:val="bbPlcHdr"/>
        </w:types>
        <w:behaviors>
          <w:behavior w:val="content"/>
        </w:behaviors>
        <w:guid w:val="{37C61D17-A1F1-4027-B4B4-92889AB7CA9E}"/>
      </w:docPartPr>
      <w:docPartBody>
        <w:p w:rsidR="00C42F6A" w:rsidRDefault="0009141B" w:rsidP="0009141B">
          <w:pPr>
            <w:pStyle w:val="B7BEB91AFDAA472F8448459AEB41AF74"/>
          </w:pPr>
          <w:r>
            <w:rPr>
              <w:rStyle w:val="PlaceholderText"/>
            </w:rPr>
            <w:t>Click or tap here to enter text.</w:t>
          </w:r>
        </w:p>
      </w:docPartBody>
    </w:docPart>
    <w:docPart>
      <w:docPartPr>
        <w:name w:val="D81C1BA446414116A4D6841D5C7339FC"/>
        <w:category>
          <w:name w:val="General"/>
          <w:gallery w:val="placeholder"/>
        </w:category>
        <w:types>
          <w:type w:val="bbPlcHdr"/>
        </w:types>
        <w:behaviors>
          <w:behavior w:val="content"/>
        </w:behaviors>
        <w:guid w:val="{BBF3C9D0-9E18-4D6B-94C9-0E69084AE78C}"/>
      </w:docPartPr>
      <w:docPartBody>
        <w:p w:rsidR="00C42F6A" w:rsidRDefault="0009141B" w:rsidP="0009141B">
          <w:pPr>
            <w:pStyle w:val="D81C1BA446414116A4D6841D5C7339FC"/>
          </w:pPr>
          <w:r w:rsidRPr="0028413D">
            <w:rPr>
              <w:rStyle w:val="PlaceholderText"/>
            </w:rPr>
            <w:t>Click or tap here to enter text.</w:t>
          </w:r>
        </w:p>
      </w:docPartBody>
    </w:docPart>
    <w:docPart>
      <w:docPartPr>
        <w:name w:val="344B1B5DE08A4654981F34D1C0BDE34A"/>
        <w:category>
          <w:name w:val="General"/>
          <w:gallery w:val="placeholder"/>
        </w:category>
        <w:types>
          <w:type w:val="bbPlcHdr"/>
        </w:types>
        <w:behaviors>
          <w:behavior w:val="content"/>
        </w:behaviors>
        <w:guid w:val="{DCBC1D5E-9B89-47DF-83CC-417DF7CD1F57}"/>
      </w:docPartPr>
      <w:docPartBody>
        <w:p w:rsidR="00C42F6A" w:rsidRDefault="0009141B" w:rsidP="0009141B">
          <w:pPr>
            <w:pStyle w:val="344B1B5DE08A4654981F34D1C0BDE34A"/>
          </w:pPr>
          <w:r w:rsidRPr="00E927F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975AB"/>
    <w:multiLevelType w:val="multilevel"/>
    <w:tmpl w:val="D516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83016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9141B"/>
    <w:rsid w:val="00132F46"/>
    <w:rsid w:val="00534FB6"/>
    <w:rsid w:val="005F7E7D"/>
    <w:rsid w:val="00725537"/>
    <w:rsid w:val="007818B4"/>
    <w:rsid w:val="008F2A96"/>
    <w:rsid w:val="009120D3"/>
    <w:rsid w:val="00983F83"/>
    <w:rsid w:val="00B36F01"/>
    <w:rsid w:val="00C42F6A"/>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32F4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BEB91AFDAA472F8448459AEB41AF74">
    <w:name w:val="B7BEB91AFDAA472F8448459AEB41AF74"/>
    <w:rsid w:val="0009141B"/>
  </w:style>
  <w:style w:type="paragraph" w:customStyle="1" w:styleId="D81C1BA446414116A4D6841D5C7339FC">
    <w:name w:val="D81C1BA446414116A4D6841D5C7339FC"/>
    <w:rsid w:val="0009141B"/>
  </w:style>
  <w:style w:type="paragraph" w:customStyle="1" w:styleId="344B1B5DE08A4654981F34D1C0BDE34A">
    <w:name w:val="344B1B5DE08A4654981F34D1C0BDE34A"/>
    <w:rsid w:val="00091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0CDE25-B075-4406-9A2F-D7A6BB9442E8}">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1291</Words>
  <Characters>7363</Characters>
  <Application>Microsoft Office Word</Application>
  <DocSecurity>4</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DELMARCHE Anne (AGRI)</cp:lastModifiedBy>
  <cp:revision>2</cp:revision>
  <cp:lastPrinted>2024-04-03T12:25:00Z</cp:lastPrinted>
  <dcterms:created xsi:type="dcterms:W3CDTF">2024-04-09T15:00:00Z</dcterms:created>
  <dcterms:modified xsi:type="dcterms:W3CDTF">2024-04-09T15:00:00Z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