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744C51">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744C51">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744C51">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744C51">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744C51">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744C51"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BF518F"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188C2890" w:rsidR="00377580" w:rsidRPr="00080A71" w:rsidRDefault="00326F0A" w:rsidP="005F6927">
                <w:pPr>
                  <w:tabs>
                    <w:tab w:val="left" w:pos="426"/>
                  </w:tabs>
                  <w:rPr>
                    <w:bCs/>
                    <w:lang w:val="en-IE" w:eastAsia="en-GB"/>
                  </w:rPr>
                </w:pPr>
                <w:r>
                  <w:rPr>
                    <w:bCs/>
                    <w:lang w:val="fr-BE" w:eastAsia="en-GB"/>
                  </w:rPr>
                  <w:t>FISMA C 4</w:t>
                </w:r>
              </w:p>
            </w:tc>
          </w:sdtContent>
        </w:sdt>
      </w:tr>
      <w:tr w:rsidR="00377580" w:rsidRPr="00BF518F"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640164916"/>
                <w:placeholder>
                  <w:docPart w:val="719DADAA25614EC69C9846AB3592CAD1"/>
                </w:placeholder>
              </w:sdtPr>
              <w:sdtEndPr>
                <w:rPr>
                  <w:lang w:val="en-IE"/>
                </w:rPr>
              </w:sdtEndPr>
              <w:sdtContent>
                <w:tc>
                  <w:tcPr>
                    <w:tcW w:w="5491" w:type="dxa"/>
                  </w:tcPr>
                  <w:p w14:paraId="51C87C16" w14:textId="1FDA2CDB" w:rsidR="00377580" w:rsidRPr="00080A71" w:rsidRDefault="00114A8A" w:rsidP="005F6927">
                    <w:pPr>
                      <w:tabs>
                        <w:tab w:val="left" w:pos="426"/>
                      </w:tabs>
                      <w:rPr>
                        <w:bCs/>
                        <w:lang w:val="en-IE" w:eastAsia="en-GB"/>
                      </w:rPr>
                    </w:pPr>
                    <w:r>
                      <w:rPr>
                        <w:bCs/>
                        <w:lang w:val="en-IE" w:eastAsia="en-GB"/>
                      </w:rPr>
                      <w:t>57247</w:t>
                    </w:r>
                  </w:p>
                </w:tc>
              </w:sdtContent>
            </w:sdt>
          </w:sdtContent>
        </w:sdt>
      </w:tr>
      <w:tr w:rsidR="00377580" w:rsidRPr="004137A6"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42CC2F46" w:rsidR="00377580" w:rsidRPr="00326F0A" w:rsidRDefault="00326F0A" w:rsidP="005F6927">
                <w:pPr>
                  <w:tabs>
                    <w:tab w:val="left" w:pos="426"/>
                  </w:tabs>
                  <w:rPr>
                    <w:bCs/>
                    <w:lang w:val="fr-BE" w:eastAsia="en-GB"/>
                  </w:rPr>
                </w:pPr>
                <w:r>
                  <w:rPr>
                    <w:bCs/>
                    <w:lang w:val="fr-BE" w:eastAsia="en-GB"/>
                  </w:rPr>
                  <w:t>Mme Hélène Bussières</w:t>
                </w:r>
              </w:p>
            </w:sdtContent>
          </w:sdt>
          <w:p w14:paraId="32DD8032" w14:textId="597147D2" w:rsidR="00377580" w:rsidRPr="001D3EEC" w:rsidRDefault="00744C51"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4137A6">
                  <w:rPr>
                    <w:bCs/>
                    <w:lang w:val="fr-BE" w:eastAsia="en-GB"/>
                  </w:rPr>
                  <w:t>3ème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DE36A2">
                      <w:rPr>
                        <w:bCs/>
                        <w:lang w:val="fr-BE" w:eastAsia="en-GB"/>
                      </w:rPr>
                      <w:t>2024</w:t>
                    </w:r>
                  </w:sdtContent>
                </w:sdt>
              </w:sdtContent>
            </w:sdt>
          </w:p>
          <w:p w14:paraId="768BBE26" w14:textId="769B32CC" w:rsidR="00377580" w:rsidRPr="008F6139" w:rsidRDefault="00744C51" w:rsidP="005F6927">
            <w:pPr>
              <w:tabs>
                <w:tab w:val="left" w:pos="426"/>
              </w:tabs>
              <w:contextualSpacing/>
              <w:jc w:val="left"/>
              <w:rPr>
                <w:bCs/>
                <w:szCs w:val="24"/>
                <w:lang w:val="en-IE" w:eastAsia="en-GB"/>
              </w:rPr>
            </w:pPr>
            <w:sdt>
              <w:sdtPr>
                <w:rPr>
                  <w:bCs/>
                  <w:lang w:val="fr-BE" w:eastAsia="en-GB"/>
                </w:rPr>
                <w:id w:val="202528730"/>
                <w:placeholder>
                  <w:docPart w:val="8C22AB55BBA54E638A78E6CCB625149B"/>
                </w:placeholder>
              </w:sdtPr>
              <w:sdtEndPr/>
              <w:sdtContent>
                <w:r w:rsidR="00326F0A" w:rsidRPr="008F6139">
                  <w:rPr>
                    <w:bCs/>
                    <w:lang w:val="en-IE" w:eastAsia="en-GB"/>
                  </w:rPr>
                  <w:t>2</w:t>
                </w:r>
              </w:sdtContent>
            </w:sdt>
            <w:r w:rsidR="00377580" w:rsidRPr="008F6139">
              <w:rPr>
                <w:bCs/>
                <w:lang w:val="en-IE" w:eastAsia="en-GB"/>
              </w:rPr>
              <w:t xml:space="preserve"> années</w:t>
            </w:r>
            <w:r w:rsidR="00377580" w:rsidRPr="008F6139">
              <w:rPr>
                <w:bCs/>
                <w:lang w:val="en-IE" w:eastAsia="en-GB"/>
              </w:rPr>
              <w:br/>
            </w:r>
            <w:sdt>
              <w:sdtPr>
                <w:rPr>
                  <w:bCs/>
                  <w:szCs w:val="24"/>
                  <w:lang w:val="en-IE" w:eastAsia="en-GB"/>
                </w:rPr>
                <w:id w:val="-69433268"/>
                <w14:checkbox>
                  <w14:checked w14:val="1"/>
                  <w14:checkedState w14:val="2612" w14:font="MS Gothic"/>
                  <w14:uncheckedState w14:val="2610" w14:font="MS Gothic"/>
                </w14:checkbox>
              </w:sdtPr>
              <w:sdtEndPr/>
              <w:sdtContent>
                <w:r w:rsidR="00326F0A" w:rsidRPr="008F6139">
                  <w:rPr>
                    <w:rFonts w:ascii="MS Gothic" w:eastAsia="MS Gothic" w:hAnsi="MS Gothic" w:hint="eastAsia"/>
                    <w:bCs/>
                    <w:szCs w:val="24"/>
                    <w:lang w:val="en-IE" w:eastAsia="en-GB"/>
                  </w:rPr>
                  <w:t>☒</w:t>
                </w:r>
              </w:sdtContent>
            </w:sdt>
            <w:r w:rsidR="00377580" w:rsidRPr="008F6139">
              <w:rPr>
                <w:bCs/>
                <w:lang w:val="en-IE" w:eastAsia="en-GB"/>
              </w:rPr>
              <w:t xml:space="preserve"> Bruxelles </w:t>
            </w:r>
            <w:r w:rsidR="0092295D" w:rsidRPr="008F6139">
              <w:rPr>
                <w:bCs/>
                <w:lang w:val="en-IE" w:eastAsia="en-GB"/>
              </w:rPr>
              <w:t xml:space="preserve"> </w:t>
            </w:r>
            <w:r w:rsidR="00377580" w:rsidRPr="008F6139">
              <w:rPr>
                <w:bCs/>
                <w:lang w:val="en-IE" w:eastAsia="en-GB"/>
              </w:rPr>
              <w:t xml:space="preserve"> </w:t>
            </w:r>
            <w:sdt>
              <w:sdtPr>
                <w:rPr>
                  <w:bCs/>
                  <w:szCs w:val="24"/>
                  <w:lang w:val="en-IE" w:eastAsia="en-GB"/>
                </w:rPr>
                <w:id w:val="1282158214"/>
                <w14:checkbox>
                  <w14:checked w14:val="0"/>
                  <w14:checkedState w14:val="2612" w14:font="MS Gothic"/>
                  <w14:uncheckedState w14:val="2610" w14:font="MS Gothic"/>
                </w14:checkbox>
              </w:sdtPr>
              <w:sdtEndPr/>
              <w:sdtContent>
                <w:r w:rsidR="00377580" w:rsidRPr="008F6139">
                  <w:rPr>
                    <w:rFonts w:ascii="MS Gothic" w:eastAsia="MS Gothic" w:hAnsi="MS Gothic"/>
                    <w:bCs/>
                    <w:szCs w:val="24"/>
                    <w:lang w:val="en-IE" w:eastAsia="en-GB"/>
                  </w:rPr>
                  <w:t>☐</w:t>
                </w:r>
              </w:sdtContent>
            </w:sdt>
            <w:r w:rsidR="00377580" w:rsidRPr="008F6139">
              <w:rPr>
                <w:bCs/>
                <w:szCs w:val="24"/>
                <w:lang w:val="en-IE" w:eastAsia="en-GB"/>
              </w:rPr>
              <w:t xml:space="preserve"> Luxembourg   </w:t>
            </w:r>
            <w:sdt>
              <w:sdtPr>
                <w:rPr>
                  <w:bCs/>
                  <w:szCs w:val="24"/>
                  <w:lang w:val="en-IE" w:eastAsia="en-GB"/>
                </w:rPr>
                <w:id w:val="-432676822"/>
                <w14:checkbox>
                  <w14:checked w14:val="0"/>
                  <w14:checkedState w14:val="2612" w14:font="MS Gothic"/>
                  <w14:uncheckedState w14:val="2610" w14:font="MS Gothic"/>
                </w14:checkbox>
              </w:sdtPr>
              <w:sdtEndPr/>
              <w:sdtContent>
                <w:r w:rsidR="00377580" w:rsidRPr="008F6139">
                  <w:rPr>
                    <w:rFonts w:ascii="MS Gothic" w:eastAsia="MS Gothic" w:hAnsi="MS Gothic"/>
                    <w:bCs/>
                    <w:szCs w:val="24"/>
                    <w:lang w:val="en-IE" w:eastAsia="en-GB"/>
                  </w:rPr>
                  <w:t>☐</w:t>
                </w:r>
              </w:sdtContent>
            </w:sdt>
            <w:r w:rsidR="00377580" w:rsidRPr="008F6139">
              <w:rPr>
                <w:bCs/>
                <w:szCs w:val="24"/>
                <w:lang w:val="en-IE" w:eastAsia="en-GB"/>
              </w:rPr>
              <w:t xml:space="preserve"> Autre: </w:t>
            </w:r>
            <w:sdt>
              <w:sdtPr>
                <w:rPr>
                  <w:bCs/>
                  <w:szCs w:val="24"/>
                  <w:lang w:val="fr-BE" w:eastAsia="en-GB"/>
                </w:rPr>
                <w:id w:val="-186994276"/>
                <w:placeholder>
                  <w:docPart w:val="8C22AB55BBA54E638A78E6CCB625149B"/>
                </w:placeholder>
              </w:sdtPr>
              <w:sdtEndPr/>
              <w:sdtContent>
                <w:r w:rsidR="008E72EF">
                  <w:rPr>
                    <w:bCs/>
                    <w:szCs w:val="24"/>
                    <w:lang w:val="fr-BE" w:eastAsia="en-GB"/>
                  </w:rPr>
                  <w:t>.</w:t>
                </w:r>
              </w:sdtContent>
            </w:sdt>
          </w:p>
          <w:p w14:paraId="6A0ABCA6" w14:textId="77777777" w:rsidR="00377580" w:rsidRPr="008F6139" w:rsidRDefault="00377580" w:rsidP="005F6927">
            <w:pPr>
              <w:tabs>
                <w:tab w:val="left" w:pos="426"/>
              </w:tabs>
              <w:spacing w:after="0"/>
              <w:contextualSpacing/>
              <w:rPr>
                <w:bCs/>
                <w:lang w:val="en-I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295A623E"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2044FA80"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744C51"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744C51"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744C51"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070C8889"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8E72EF"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2B513537"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9" type="#_x0000_t75" style="width:108pt;height:21.6pt" o:ole="">
                  <v:imagedata r:id="rId22" o:title=""/>
                </v:shape>
                <w:control r:id="rId23" w:name="OptionButton2" w:shapeid="_x0000_i1049"/>
              </w:object>
            </w:r>
            <w:r>
              <w:rPr>
                <w:bCs/>
                <w:szCs w:val="24"/>
                <w:lang w:val="en-GB" w:eastAsia="en-GB"/>
              </w:rPr>
              <w:object w:dxaOrig="225" w:dyaOrig="225" w14:anchorId="7A15FAEE">
                <v:shape id="_x0000_i1050" type="#_x0000_t75" style="width:108pt;height:21.6pt" o:ole="">
                  <v:imagedata r:id="rId24" o:title=""/>
                </v:shape>
                <w:control r:id="rId25" w:name="OptionButton3" w:shapeid="_x0000_i1050"/>
              </w:object>
            </w:r>
          </w:p>
          <w:p w14:paraId="63DD2FA8" w14:textId="122F43FA" w:rsidR="006B47B6" w:rsidRPr="0007110E" w:rsidRDefault="00BF389A" w:rsidP="00DE0E7F">
            <w:pPr>
              <w:tabs>
                <w:tab w:val="left" w:pos="426"/>
              </w:tabs>
              <w:spacing w:before="120" w:after="120"/>
              <w:rPr>
                <w:bCs/>
                <w:lang w:val="en-IE" w:eastAsia="en-GB"/>
              </w:rPr>
            </w:pPr>
            <w:r w:rsidRPr="00BF518F">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05-27T00:00:00Z">
                  <w:dateFormat w:val="dd-MM-yyyy"/>
                  <w:lid w:val="fr-BE"/>
                  <w:storeMappedDataAs w:val="dateTime"/>
                  <w:calendar w:val="gregorian"/>
                </w:date>
              </w:sdtPr>
              <w:sdtEndPr/>
              <w:sdtContent>
                <w:r w:rsidR="00744C51">
                  <w:rPr>
                    <w:bCs/>
                    <w:lang w:val="fr-BE" w:eastAsia="en-GB"/>
                  </w:rPr>
                  <w:t>27-05-2024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5C557E3B" w14:textId="46CF01D4" w:rsidR="009A4DAB" w:rsidRPr="007B5888" w:rsidRDefault="009A4DAB" w:rsidP="009A4DAB">
          <w:pPr>
            <w:rPr>
              <w:lang w:val="fr-BE"/>
            </w:rPr>
          </w:pPr>
          <w:r w:rsidRPr="007B5888">
            <w:rPr>
              <w:lang w:val="fr-BE"/>
            </w:rPr>
            <w:t xml:space="preserve">L’unité </w:t>
          </w:r>
          <w:r w:rsidR="00DE36A2">
            <w:rPr>
              <w:lang w:val="fr-BE"/>
            </w:rPr>
            <w:t>G</w:t>
          </w:r>
          <w:r w:rsidRPr="007B5888">
            <w:rPr>
              <w:lang w:val="fr-BE"/>
            </w:rPr>
            <w:t xml:space="preserve">estion </w:t>
          </w:r>
          <w:r w:rsidR="00DE36A2">
            <w:rPr>
              <w:lang w:val="fr-BE"/>
            </w:rPr>
            <w:t>d’</w:t>
          </w:r>
          <w:r w:rsidRPr="007B5888">
            <w:rPr>
              <w:lang w:val="fr-BE"/>
            </w:rPr>
            <w:t xml:space="preserve">actifs de la </w:t>
          </w:r>
          <w:r w:rsidR="00DE36A2">
            <w:rPr>
              <w:lang w:val="fr-BE"/>
            </w:rPr>
            <w:t>D</w:t>
          </w:r>
          <w:r w:rsidRPr="007B5888">
            <w:rPr>
              <w:lang w:val="fr-BE"/>
            </w:rPr>
            <w:t xml:space="preserve">irection </w:t>
          </w:r>
          <w:r w:rsidR="00DE36A2">
            <w:rPr>
              <w:lang w:val="fr-BE"/>
            </w:rPr>
            <w:t>G</w:t>
          </w:r>
          <w:r w:rsidRPr="007B5888">
            <w:rPr>
              <w:lang w:val="fr-BE"/>
            </w:rPr>
            <w:t xml:space="preserve">énérale de la stabilité financière, des services financiers et de l’union des marchés des capitaux (FISMA) recherche un </w:t>
          </w:r>
          <w:r w:rsidR="00DE36A2">
            <w:rPr>
              <w:lang w:val="fr-BE"/>
            </w:rPr>
            <w:t>expert national</w:t>
          </w:r>
          <w:r w:rsidRPr="007B5888">
            <w:rPr>
              <w:lang w:val="fr-BE"/>
            </w:rPr>
            <w:t xml:space="preserve"> qualifié et expérimenté. </w:t>
          </w:r>
        </w:p>
        <w:p w14:paraId="56D8825C" w14:textId="42F7560D" w:rsidR="009A4DAB" w:rsidRPr="007B5888" w:rsidRDefault="009A4DAB" w:rsidP="009A4DAB">
          <w:pPr>
            <w:rPr>
              <w:lang w:val="fr-BE"/>
            </w:rPr>
          </w:pPr>
          <w:r w:rsidRPr="007B5888">
            <w:rPr>
              <w:lang w:val="fr-BE"/>
            </w:rPr>
            <w:t xml:space="preserve">L’objectif de l’unité est de favoriser le développement d’un marché intérieur de la gestion d’actifs et des fonds d’investissement au sein de l’UE. L’unité </w:t>
          </w:r>
          <w:r w:rsidR="00DE36A2">
            <w:rPr>
              <w:lang w:val="fr-BE"/>
            </w:rPr>
            <w:t xml:space="preserve">gère </w:t>
          </w:r>
          <w:r w:rsidRPr="007B5888">
            <w:rPr>
              <w:lang w:val="fr-BE"/>
            </w:rPr>
            <w:t xml:space="preserve">un nombre </w:t>
          </w:r>
          <w:r w:rsidR="00DE36A2">
            <w:rPr>
              <w:lang w:val="fr-BE"/>
            </w:rPr>
            <w:t>importants de dossiers</w:t>
          </w:r>
          <w:r w:rsidRPr="007B5888">
            <w:rPr>
              <w:lang w:val="fr-BE"/>
            </w:rPr>
            <w:t xml:space="preserve"> nouveaux ou </w:t>
          </w:r>
          <w:r w:rsidR="00DE36A2">
            <w:rPr>
              <w:lang w:val="fr-BE"/>
            </w:rPr>
            <w:t>récemment révisés</w:t>
          </w:r>
          <w:r w:rsidRPr="007B5888">
            <w:rPr>
              <w:lang w:val="fr-BE"/>
            </w:rPr>
            <w:t xml:space="preserve"> qui constituent des éléments centraux du </w:t>
          </w:r>
          <w:r w:rsidRPr="007B5888">
            <w:rPr>
              <w:lang w:val="fr-BE"/>
            </w:rPr>
            <w:lastRenderedPageBreak/>
            <w:t>programme de la Commission pour l’</w:t>
          </w:r>
          <w:r w:rsidR="00DE36A2">
            <w:rPr>
              <w:lang w:val="fr-BE"/>
            </w:rPr>
            <w:t>U</w:t>
          </w:r>
          <w:r w:rsidRPr="007B5888">
            <w:rPr>
              <w:lang w:val="fr-BE"/>
            </w:rPr>
            <w:t xml:space="preserve">nion des </w:t>
          </w:r>
          <w:r w:rsidR="00DE36A2">
            <w:rPr>
              <w:lang w:val="fr-BE"/>
            </w:rPr>
            <w:t>M</w:t>
          </w:r>
          <w:r w:rsidRPr="007B5888">
            <w:rPr>
              <w:lang w:val="fr-BE"/>
            </w:rPr>
            <w:t xml:space="preserve">archés des </w:t>
          </w:r>
          <w:r w:rsidR="00DE36A2">
            <w:rPr>
              <w:lang w:val="fr-BE"/>
            </w:rPr>
            <w:t>C</w:t>
          </w:r>
          <w:r w:rsidRPr="007B5888">
            <w:rPr>
              <w:lang w:val="fr-BE"/>
            </w:rPr>
            <w:t xml:space="preserve">apitaux et la </w:t>
          </w:r>
          <w:r w:rsidR="00DE36A2">
            <w:rPr>
              <w:lang w:val="fr-BE"/>
            </w:rPr>
            <w:t>F</w:t>
          </w:r>
          <w:r w:rsidRPr="007B5888">
            <w:rPr>
              <w:lang w:val="fr-BE"/>
            </w:rPr>
            <w:t xml:space="preserve">inance </w:t>
          </w:r>
          <w:r w:rsidR="00DE36A2">
            <w:rPr>
              <w:lang w:val="fr-BE"/>
            </w:rPr>
            <w:t>D</w:t>
          </w:r>
          <w:r w:rsidRPr="007B5888">
            <w:rPr>
              <w:lang w:val="fr-BE"/>
            </w:rPr>
            <w:t xml:space="preserve">urable. </w:t>
          </w:r>
        </w:p>
        <w:p w14:paraId="4B0DF6F6" w14:textId="2C053AD7" w:rsidR="009A4DAB" w:rsidRPr="007B5888" w:rsidRDefault="009A4DAB" w:rsidP="009A4DAB">
          <w:pPr>
            <w:rPr>
              <w:lang w:val="fr-BE"/>
            </w:rPr>
          </w:pPr>
          <w:r w:rsidRPr="007B5888">
            <w:rPr>
              <w:lang w:val="fr-BE"/>
            </w:rPr>
            <w:t xml:space="preserve">Dans le domaine des fonds de placement collectif, l’unité est responsable de </w:t>
          </w:r>
          <w:r w:rsidR="00DE36A2">
            <w:rPr>
              <w:lang w:val="fr-BE"/>
            </w:rPr>
            <w:t>plusieurs cadres réglementaires applicables aux</w:t>
          </w:r>
          <w:r w:rsidRPr="007B5888">
            <w:rPr>
              <w:lang w:val="fr-BE"/>
            </w:rPr>
            <w:t xml:space="preserve"> fonds d’investissement, dont un certain nombre ont récemment été modernisés: les directives sur les OPCVM et les gestionnaires de fonds d’investissement</w:t>
          </w:r>
          <w:r w:rsidR="00DE36A2">
            <w:rPr>
              <w:lang w:val="fr-BE"/>
            </w:rPr>
            <w:t xml:space="preserve"> alternatifs</w:t>
          </w:r>
          <w:r w:rsidRPr="007B5888">
            <w:rPr>
              <w:lang w:val="fr-BE"/>
            </w:rPr>
            <w:t>, qui sont les pierres angulaires des cadres des fonds d’investissement en Europe, le règlement sur les fonds monétaires</w:t>
          </w:r>
          <w:r w:rsidR="00DE36A2">
            <w:rPr>
              <w:lang w:val="fr-BE"/>
            </w:rPr>
            <w:t xml:space="preserve"> (MMFs)</w:t>
          </w:r>
          <w:r w:rsidRPr="007B5888">
            <w:rPr>
              <w:lang w:val="fr-BE"/>
            </w:rPr>
            <w:t>, les ELTIF, les EUVECA et les EUSEF, qui s’appliquent à des types spécifiques de produits d’investissement. L’unité assume également des responsabilités transversales en ce qui concerne les produits d’investissement packagés proposés aux investisseurs de détail (</w:t>
          </w:r>
          <w:r w:rsidR="00DE36A2">
            <w:rPr>
              <w:lang w:val="fr-BE"/>
            </w:rPr>
            <w:t>PRIIPs</w:t>
          </w:r>
          <w:r w:rsidRPr="007B5888">
            <w:rPr>
              <w:lang w:val="fr-BE"/>
            </w:rPr>
            <w:t xml:space="preserve">) et travaille en étroite collaboration avec d’autres unités sur la stratégie d’investissement de détail de la Commission. Dans le cadre du pacte vert, l’unité est chargée de la mise en œuvre et du suivi du règlement sur la publication d’informations en matière de finance durable et de la création du règlement sur les normes de l’UE en matière d’obligations vertes. </w:t>
          </w:r>
        </w:p>
        <w:p w14:paraId="18140A21" w14:textId="0F68FBD0" w:rsidR="001A0074" w:rsidRPr="009A4DAB" w:rsidRDefault="009A4DAB" w:rsidP="001A0074">
          <w:pPr>
            <w:rPr>
              <w:lang w:val="fr-BE"/>
            </w:rPr>
          </w:pPr>
          <w:r w:rsidRPr="007B5888">
            <w:rPr>
              <w:lang w:val="fr-BE"/>
            </w:rPr>
            <w:t xml:space="preserve">Enfin, l’unité suit de près les évolutions macroéconomiques et les questions de stabilité financière, notamment dans le contexte des axes de travail du CSF et de l’OICV). Il traite en permanence </w:t>
          </w:r>
          <w:r w:rsidR="00DE36A2">
            <w:rPr>
              <w:lang w:val="fr-BE"/>
            </w:rPr>
            <w:t xml:space="preserve">avec </w:t>
          </w:r>
          <w:r w:rsidRPr="007B5888">
            <w:rPr>
              <w:lang w:val="fr-BE"/>
            </w:rPr>
            <w:t>les États membres, le Parlement européen, l’AEMF et d’autres autorités publiques.</w:t>
          </w:r>
        </w:p>
      </w:sdtContent>
    </w:sdt>
    <w:p w14:paraId="30B422AA" w14:textId="77777777" w:rsidR="00301CA3" w:rsidRPr="009A4DAB"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1B4C432D" w14:textId="2671F59A" w:rsidR="009A4DAB" w:rsidRPr="009A4DAB" w:rsidRDefault="009A4DAB" w:rsidP="009A4DAB">
          <w:pPr>
            <w:rPr>
              <w:lang w:val="fr-BE" w:eastAsia="en-GB"/>
            </w:rPr>
          </w:pPr>
          <w:r w:rsidRPr="009A4DAB">
            <w:rPr>
              <w:lang w:val="fr-BE" w:eastAsia="en-GB"/>
            </w:rPr>
            <w:t xml:space="preserve">L’END contribuera à la définition et à la conception des politiques de la Commission en ce qui concerne les fonds d’investissement et les </w:t>
          </w:r>
          <w:r w:rsidR="00096A17">
            <w:rPr>
              <w:lang w:val="fr-BE" w:eastAsia="en-GB"/>
            </w:rPr>
            <w:t>fonds d’</w:t>
          </w:r>
          <w:r w:rsidRPr="009A4DAB">
            <w:rPr>
              <w:lang w:val="fr-BE" w:eastAsia="en-GB"/>
            </w:rPr>
            <w:t xml:space="preserve">investissement alternatifs </w:t>
          </w:r>
          <w:r w:rsidR="00096A17">
            <w:rPr>
              <w:lang w:val="fr-BE" w:eastAsia="en-GB"/>
            </w:rPr>
            <w:t>à travers</w:t>
          </w:r>
          <w:r w:rsidRPr="009A4DAB">
            <w:rPr>
              <w:lang w:val="fr-BE" w:eastAsia="en-GB"/>
            </w:rPr>
            <w:t xml:space="preserve">: </w:t>
          </w:r>
          <w:r w:rsidR="00096A17">
            <w:rPr>
              <w:lang w:val="fr-BE" w:eastAsia="en-GB"/>
            </w:rPr>
            <w:t>l’</w:t>
          </w:r>
          <w:r w:rsidRPr="009A4DAB">
            <w:rPr>
              <w:lang w:val="fr-BE" w:eastAsia="en-GB"/>
            </w:rPr>
            <w:t xml:space="preserve">élaboration de documents d’orientation exposant la stratégie de la Commission; </w:t>
          </w:r>
          <w:r w:rsidR="00096A17">
            <w:rPr>
              <w:lang w:val="fr-BE" w:eastAsia="en-GB"/>
            </w:rPr>
            <w:t>la mise</w:t>
          </w:r>
          <w:r w:rsidRPr="009A4DAB">
            <w:rPr>
              <w:lang w:val="fr-BE" w:eastAsia="en-GB"/>
            </w:rPr>
            <w:t xml:space="preserve"> en place </w:t>
          </w:r>
          <w:r w:rsidR="00096A17">
            <w:rPr>
              <w:lang w:val="fr-BE" w:eastAsia="en-GB"/>
            </w:rPr>
            <w:t>d’</w:t>
          </w:r>
          <w:r w:rsidRPr="009A4DAB">
            <w:rPr>
              <w:lang w:val="fr-BE" w:eastAsia="en-GB"/>
            </w:rPr>
            <w:t xml:space="preserve">une méthodologie et des projets d’évaluation de l’impact des propositions de la Commission dans ce domaine; </w:t>
          </w:r>
          <w:r w:rsidR="00096A17">
            <w:rPr>
              <w:lang w:val="fr-BE" w:eastAsia="en-GB"/>
            </w:rPr>
            <w:t>le suivi de</w:t>
          </w:r>
          <w:r w:rsidRPr="009A4DAB">
            <w:rPr>
              <w:lang w:val="fr-BE" w:eastAsia="en-GB"/>
            </w:rPr>
            <w:t xml:space="preserve"> l’évolution du marché et </w:t>
          </w:r>
          <w:r w:rsidR="00096A17">
            <w:rPr>
              <w:lang w:val="fr-BE" w:eastAsia="en-GB"/>
            </w:rPr>
            <w:t>l’</w:t>
          </w:r>
          <w:r w:rsidRPr="009A4DAB">
            <w:rPr>
              <w:lang w:val="fr-BE" w:eastAsia="en-GB"/>
            </w:rPr>
            <w:t>analyse</w:t>
          </w:r>
          <w:r w:rsidR="00096A17">
            <w:rPr>
              <w:lang w:val="fr-BE" w:eastAsia="en-GB"/>
            </w:rPr>
            <w:t xml:space="preserve"> d</w:t>
          </w:r>
          <w:r w:rsidRPr="009A4DAB">
            <w:rPr>
              <w:lang w:val="fr-BE" w:eastAsia="en-GB"/>
            </w:rPr>
            <w:t xml:space="preserve">es implications pour le cadre réglementaire de l’UE; </w:t>
          </w:r>
          <w:r w:rsidR="00096A17">
            <w:rPr>
              <w:lang w:val="fr-BE" w:eastAsia="en-GB"/>
            </w:rPr>
            <w:t xml:space="preserve">la </w:t>
          </w:r>
          <w:r w:rsidRPr="009A4DAB">
            <w:rPr>
              <w:lang w:val="fr-BE" w:eastAsia="en-GB"/>
            </w:rPr>
            <w:t>préparation de notes d’information/discours;</w:t>
          </w:r>
          <w:r w:rsidR="00096A17">
            <w:rPr>
              <w:lang w:val="fr-BE" w:eastAsia="en-GB"/>
            </w:rPr>
            <w:t xml:space="preserve"> la</w:t>
          </w:r>
          <w:r w:rsidRPr="009A4DAB">
            <w:rPr>
              <w:lang w:val="fr-BE" w:eastAsia="en-GB"/>
            </w:rPr>
            <w:t xml:space="preserve"> liaison</w:t>
          </w:r>
          <w:r w:rsidR="00096A17">
            <w:rPr>
              <w:lang w:val="fr-BE" w:eastAsia="en-GB"/>
            </w:rPr>
            <w:t xml:space="preserve">, </w:t>
          </w:r>
          <w:r w:rsidRPr="009A4DAB">
            <w:rPr>
              <w:lang w:val="fr-BE" w:eastAsia="en-GB"/>
            </w:rPr>
            <w:t xml:space="preserve">participation et coordination </w:t>
          </w:r>
          <w:r w:rsidR="00096A17">
            <w:rPr>
              <w:lang w:val="fr-BE" w:eastAsia="en-GB"/>
            </w:rPr>
            <w:t xml:space="preserve">avec les </w:t>
          </w:r>
          <w:r w:rsidRPr="009A4DAB">
            <w:rPr>
              <w:lang w:val="fr-BE" w:eastAsia="en-GB"/>
            </w:rPr>
            <w:t xml:space="preserve">groupes de parties prenantes. </w:t>
          </w:r>
        </w:p>
        <w:p w14:paraId="3B1D2FA2" w14:textId="0E628C6E" w:rsidR="001A0074" w:rsidRPr="009A4DAB" w:rsidRDefault="009A4DAB" w:rsidP="009A4DAB">
          <w:pPr>
            <w:rPr>
              <w:lang w:val="fr-BE" w:eastAsia="en-GB"/>
            </w:rPr>
          </w:pPr>
          <w:r w:rsidRPr="009A4DAB">
            <w:rPr>
              <w:lang w:val="fr-BE" w:eastAsia="en-GB"/>
            </w:rPr>
            <w:t>L’END travaillera sous la supervision d’un administrateur. Sans préjudice du principe de coopération loyale entre les administrations nationales, régionales et européennes, l’END ne travaillera pas sur des cas individuels ayant des incidences sur des dossiers qu’il aurait été amené à traiter dans son administration nationale au cours des deux années qui ont précédé l’entrée à la Commission ou sur des dossiers directement liés. En aucun cas, il ne représentera la Commission afin de prendre des engagements financiers ou autres, ou négocier au nom de la Commission.</w:t>
          </w:r>
        </w:p>
      </w:sdtContent>
    </w:sdt>
    <w:p w14:paraId="3D69C09B" w14:textId="77777777" w:rsidR="00301CA3" w:rsidRPr="009A4DAB"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54BC49B6" w14:textId="081FEE72" w:rsidR="00326F0A" w:rsidRPr="00F10455" w:rsidRDefault="00326F0A" w:rsidP="00326F0A">
          <w:pPr>
            <w:rPr>
              <w:lang w:val="fr-BE"/>
            </w:rPr>
          </w:pPr>
          <w:r w:rsidRPr="00F10455">
            <w:rPr>
              <w:lang w:val="fr-BE"/>
            </w:rPr>
            <w:t xml:space="preserve">Le candidat retenu devra être expert en services financiers et marchés de valeurs mobilières et, </w:t>
          </w:r>
          <w:r w:rsidR="00096A17">
            <w:rPr>
              <w:lang w:val="fr-BE"/>
            </w:rPr>
            <w:t>entre autre</w:t>
          </w:r>
          <w:r w:rsidRPr="00F10455">
            <w:rPr>
              <w:lang w:val="fr-BE"/>
            </w:rPr>
            <w:t xml:space="preserve">, posséder des connaissances et une expérience dans le domaine de la gestion d’actifs. Le candidat retenu participera à </w:t>
          </w:r>
          <w:r w:rsidR="00096A17">
            <w:rPr>
              <w:lang w:val="fr-BE"/>
            </w:rPr>
            <w:t xml:space="preserve">la formulation </w:t>
          </w:r>
          <w:r w:rsidRPr="00F10455">
            <w:rPr>
              <w:lang w:val="fr-BE"/>
            </w:rPr>
            <w:t xml:space="preserve">des axes de travail </w:t>
          </w:r>
          <w:r w:rsidR="00096A17">
            <w:rPr>
              <w:lang w:val="fr-BE"/>
            </w:rPr>
            <w:t>pour</w:t>
          </w:r>
          <w:r w:rsidRPr="00F10455">
            <w:rPr>
              <w:lang w:val="fr-BE"/>
            </w:rPr>
            <w:t xml:space="preserve"> l’union des marchés des capitaux, en particulier l’examen de divers cadres de fonds, ainsi que des initiatives sur la finance durable.  </w:t>
          </w:r>
        </w:p>
        <w:p w14:paraId="7E409EA7" w14:textId="59515DAD" w:rsidR="001A0074" w:rsidRPr="00326F0A" w:rsidRDefault="00326F0A" w:rsidP="00326F0A">
          <w:pPr>
            <w:rPr>
              <w:lang w:val="fr-BE"/>
            </w:rPr>
          </w:pPr>
          <w:r w:rsidRPr="00F10455">
            <w:rPr>
              <w:lang w:val="fr-BE"/>
            </w:rPr>
            <w:lastRenderedPageBreak/>
            <w:t>Une formation juridique ou une expérience solide dans le domaine de la rédaction juridique serait un atout.</w:t>
          </w:r>
        </w:p>
      </w:sdtContent>
    </w:sdt>
    <w:p w14:paraId="5D76C15C" w14:textId="77777777" w:rsidR="00F65CC2" w:rsidRPr="00326F0A"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6A17"/>
    <w:rsid w:val="00097587"/>
    <w:rsid w:val="00114A8A"/>
    <w:rsid w:val="001A0074"/>
    <w:rsid w:val="001D3EEC"/>
    <w:rsid w:val="00215A56"/>
    <w:rsid w:val="0028413D"/>
    <w:rsid w:val="002841B7"/>
    <w:rsid w:val="002A6E30"/>
    <w:rsid w:val="002B37EB"/>
    <w:rsid w:val="00301CA3"/>
    <w:rsid w:val="00326F0A"/>
    <w:rsid w:val="00377580"/>
    <w:rsid w:val="00394581"/>
    <w:rsid w:val="004137A6"/>
    <w:rsid w:val="00443957"/>
    <w:rsid w:val="00462268"/>
    <w:rsid w:val="004A4BB7"/>
    <w:rsid w:val="004D3B51"/>
    <w:rsid w:val="0053405E"/>
    <w:rsid w:val="00556CBD"/>
    <w:rsid w:val="006A1CB2"/>
    <w:rsid w:val="006B47B6"/>
    <w:rsid w:val="006F23BA"/>
    <w:rsid w:val="0074301E"/>
    <w:rsid w:val="00744C51"/>
    <w:rsid w:val="007A10AA"/>
    <w:rsid w:val="007A1396"/>
    <w:rsid w:val="007B5FAE"/>
    <w:rsid w:val="007E131B"/>
    <w:rsid w:val="007E4F35"/>
    <w:rsid w:val="008241B0"/>
    <w:rsid w:val="008315CD"/>
    <w:rsid w:val="00866E7F"/>
    <w:rsid w:val="008A0FF3"/>
    <w:rsid w:val="008E72EF"/>
    <w:rsid w:val="008F6139"/>
    <w:rsid w:val="0092295D"/>
    <w:rsid w:val="009A4DAB"/>
    <w:rsid w:val="00A65B97"/>
    <w:rsid w:val="00A917BE"/>
    <w:rsid w:val="00B31DC8"/>
    <w:rsid w:val="00BF389A"/>
    <w:rsid w:val="00BF518F"/>
    <w:rsid w:val="00C518F5"/>
    <w:rsid w:val="00D703FC"/>
    <w:rsid w:val="00D82B48"/>
    <w:rsid w:val="00DC5C83"/>
    <w:rsid w:val="00DE36A2"/>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FA650B" w:rsidRDefault="00F00294" w:rsidP="00F00294">
          <w:pPr>
            <w:pStyle w:val="D33812E3C570400484B558C421C8A64E"/>
          </w:pPr>
          <w:r w:rsidRPr="003D4996">
            <w:rPr>
              <w:rStyle w:val="PlaceholderText"/>
            </w:rPr>
            <w:t>Click or tap to enter a date.</w:t>
          </w:r>
        </w:p>
      </w:docPartBody>
    </w:docPart>
    <w:docPart>
      <w:docPartPr>
        <w:name w:val="719DADAA25614EC69C9846AB3592CAD1"/>
        <w:category>
          <w:name w:val="General"/>
          <w:gallery w:val="placeholder"/>
        </w:category>
        <w:types>
          <w:type w:val="bbPlcHdr"/>
        </w:types>
        <w:behaviors>
          <w:behavior w:val="content"/>
        </w:behaviors>
        <w:guid w:val="{50971F11-37A6-4E07-B168-CCD8D0803119}"/>
      </w:docPartPr>
      <w:docPartBody>
        <w:p w:rsidR="00F13A1A" w:rsidRDefault="0018679C" w:rsidP="0018679C">
          <w:pPr>
            <w:pStyle w:val="719DADAA25614EC69C9846AB3592CAD1"/>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18679C"/>
    <w:rsid w:val="00534FB6"/>
    <w:rsid w:val="007818B4"/>
    <w:rsid w:val="008F2A96"/>
    <w:rsid w:val="00983F83"/>
    <w:rsid w:val="00B36F01"/>
    <w:rsid w:val="00CB23CA"/>
    <w:rsid w:val="00E96C07"/>
    <w:rsid w:val="00F00294"/>
    <w:rsid w:val="00F13A1A"/>
    <w:rsid w:val="00FA650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18679C"/>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719DADAA25614EC69C9846AB3592CAD1">
    <w:name w:val="719DADAA25614EC69C9846AB3592CAD1"/>
    <w:rsid w:val="0018679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0FE24155-2102-4D0B-801C-6C578ADF1CE6}">
  <ds:schemaRefs>
    <ds:schemaRef ds:uri="a41a97bf-0494-41d8-ba3d-259bd7771890"/>
    <ds:schemaRef ds:uri="http://purl.org/dc/elements/1.1/"/>
    <ds:schemaRef ds:uri="1929b814-5a78-4bdc-9841-d8b9ef424f65"/>
    <ds:schemaRef ds:uri="http://purl.org/dc/dcmitype/"/>
    <ds:schemaRef ds:uri="http://schemas.microsoft.com/office/infopath/2007/PartnerControls"/>
    <ds:schemaRef ds:uri="http://schemas.openxmlformats.org/package/2006/metadata/core-properties"/>
    <ds:schemaRef ds:uri="http://schemas.microsoft.com/office/2006/documentManagement/types"/>
    <ds:schemaRef ds:uri="08927195-b699-4be0-9ee2-6c66dc215b5a"/>
    <ds:schemaRef ds:uri="http://schemas.microsoft.com/office/2006/metadata/properties"/>
    <ds:schemaRef ds:uri="http://schemas.microsoft.com/sharepoint/v3/fields"/>
    <ds:schemaRef ds:uri="http://www.w3.org/XML/1998/namespace"/>
    <ds:schemaRef ds:uri="http://purl.org/dc/terms/"/>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062D9AAD-6BA1-4655-B5DA-266653BBC2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1314</Words>
  <Characters>7493</Characters>
  <Application>Microsoft Office Word</Application>
  <DocSecurity>4</DocSecurity>
  <PresentationFormat>Microsoft Word 14.0</PresentationFormat>
  <Lines>62</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2023-04-18T07:01:00Z</cp:lastPrinted>
  <dcterms:created xsi:type="dcterms:W3CDTF">2024-04-12T15:21:00Z</dcterms:created>
  <dcterms:modified xsi:type="dcterms:W3CDTF">2024-04-12T15:21:00Z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