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F2E4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F2E4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F2E4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F2E4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F2E4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F2E4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B5C7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7A2E89" w:rsidR="00377580" w:rsidRPr="001B5C74" w:rsidRDefault="001B5C74" w:rsidP="005F6927">
                <w:pPr>
                  <w:tabs>
                    <w:tab w:val="left" w:pos="426"/>
                  </w:tabs>
                  <w:rPr>
                    <w:bCs/>
                    <w:lang w:val="fr-BE" w:eastAsia="en-GB"/>
                  </w:rPr>
                </w:pPr>
                <w:r>
                  <w:rPr>
                    <w:bCs/>
                    <w:lang w:val="fr-BE" w:eastAsia="en-GB"/>
                  </w:rPr>
                  <w:t>RTD.B.2-Bioéconomie &amp; Systèmes alimentaires</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sdt>
              <w:sdtPr>
                <w:rPr>
                  <w:bCs/>
                  <w:lang w:val="fr-BE" w:eastAsia="en-GB"/>
                </w:rPr>
                <w:id w:val="1835177612"/>
                <w:placeholder>
                  <w:docPart w:val="1E189BD7E1A6480BB5BDBD0BAEA32DC5"/>
                </w:placeholder>
              </w:sdtPr>
              <w:sdtEndPr>
                <w:rPr>
                  <w:lang w:val="fr-FR"/>
                </w:rPr>
              </w:sdtEndPr>
              <w:sdtContent>
                <w:tc>
                  <w:tcPr>
                    <w:tcW w:w="5491" w:type="dxa"/>
                  </w:tcPr>
                  <w:p w14:paraId="51C87C16" w14:textId="6F21CFA4" w:rsidR="00377580" w:rsidRPr="00080A71" w:rsidRDefault="001B5C74" w:rsidP="005F6927">
                    <w:pPr>
                      <w:tabs>
                        <w:tab w:val="left" w:pos="426"/>
                      </w:tabs>
                      <w:rPr>
                        <w:bCs/>
                        <w:lang w:val="en-IE" w:eastAsia="en-GB"/>
                      </w:rPr>
                    </w:pPr>
                    <w:r>
                      <w:rPr>
                        <w:bCs/>
                        <w:lang w:eastAsia="en-GB"/>
                      </w:rPr>
                      <w:t>383095</w:t>
                    </w:r>
                  </w:p>
                </w:tc>
              </w:sdtContent>
            </w:sdt>
          </w:sdtContent>
        </w:sdt>
      </w:tr>
      <w:tr w:rsidR="00377580" w:rsidRPr="001B5C74"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EAAA689" w:rsidR="00377580" w:rsidRPr="00080A71" w:rsidRDefault="001B5C74" w:rsidP="005F6927">
                <w:pPr>
                  <w:tabs>
                    <w:tab w:val="left" w:pos="426"/>
                  </w:tabs>
                  <w:rPr>
                    <w:bCs/>
                    <w:lang w:val="en-IE" w:eastAsia="en-GB"/>
                  </w:rPr>
                </w:pPr>
                <w:r w:rsidRPr="001B5C74">
                  <w:rPr>
                    <w:bCs/>
                    <w:lang w:val="en-IE" w:eastAsia="en-GB"/>
                  </w:rPr>
                  <w:t>Peter WE</w:t>
                </w:r>
                <w:r>
                  <w:rPr>
                    <w:bCs/>
                    <w:lang w:val="en-IE" w:eastAsia="en-GB"/>
                  </w:rPr>
                  <w:t>HRHEIM</w:t>
                </w:r>
              </w:p>
            </w:sdtContent>
          </w:sdt>
          <w:p w14:paraId="32DD8032" w14:textId="015C3533" w:rsidR="00377580" w:rsidRPr="001B5C74" w:rsidRDefault="00FF2E4C"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1B5C74">
                  <w:rPr>
                    <w:bCs/>
                    <w:lang w:val="en-IE" w:eastAsia="en-GB"/>
                  </w:rPr>
                  <w:t>3ème</w:t>
                </w:r>
              </w:sdtContent>
            </w:sdt>
            <w:r w:rsidR="00377580" w:rsidRPr="001B5C74">
              <w:rPr>
                <w:bCs/>
                <w:lang w:val="en-IE" w:eastAsia="en-GB"/>
              </w:rPr>
              <w:t xml:space="preserve"> </w:t>
            </w:r>
            <w:proofErr w:type="spellStart"/>
            <w:r w:rsidR="00377580" w:rsidRPr="001B5C74">
              <w:rPr>
                <w:bCs/>
                <w:lang w:val="en-IE" w:eastAsia="en-GB"/>
              </w:rPr>
              <w:t>trimestre</w:t>
            </w:r>
            <w:proofErr w:type="spellEnd"/>
            <w:r w:rsidR="00377580" w:rsidRPr="001B5C74">
              <w:rPr>
                <w:bCs/>
                <w:lang w:val="en-IE" w:eastAsia="en-GB"/>
              </w:rPr>
              <w:t xml:space="preserv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B535D">
                      <w:rPr>
                        <w:bCs/>
                        <w:lang w:val="en-IE" w:eastAsia="en-GB"/>
                      </w:rPr>
                      <w:t>2024</w:t>
                    </w:r>
                  </w:sdtContent>
                </w:sdt>
              </w:sdtContent>
            </w:sdt>
          </w:p>
          <w:p w14:paraId="768BBE26" w14:textId="2DB26396" w:rsidR="00377580" w:rsidRPr="001B5C74" w:rsidRDefault="00FF2E4C"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1B5C74">
                  <w:rPr>
                    <w:bCs/>
                    <w:lang w:val="en-IE" w:eastAsia="en-GB"/>
                  </w:rPr>
                  <w:t>1</w:t>
                </w:r>
              </w:sdtContent>
            </w:sdt>
            <w:r w:rsidR="00377580" w:rsidRPr="001B5C74">
              <w:rPr>
                <w:bCs/>
                <w:lang w:val="en-IE" w:eastAsia="en-GB"/>
              </w:rPr>
              <w:t xml:space="preserve"> </w:t>
            </w:r>
            <w:proofErr w:type="spellStart"/>
            <w:r w:rsidR="00377580" w:rsidRPr="001B5C74">
              <w:rPr>
                <w:bCs/>
                <w:lang w:val="en-IE" w:eastAsia="en-GB"/>
              </w:rPr>
              <w:t>années</w:t>
            </w:r>
            <w:proofErr w:type="spellEnd"/>
            <w:r w:rsidR="00377580" w:rsidRPr="001B5C7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1B5C74">
                  <w:rPr>
                    <w:rFonts w:ascii="MS Gothic" w:eastAsia="MS Gothic" w:hAnsi="MS Gothic" w:hint="eastAsia"/>
                    <w:bCs/>
                    <w:szCs w:val="24"/>
                    <w:lang w:val="en-IE" w:eastAsia="en-GB"/>
                  </w:rPr>
                  <w:t>☒</w:t>
                </w:r>
              </w:sdtContent>
            </w:sdt>
            <w:r w:rsidR="00377580" w:rsidRPr="001B5C74">
              <w:rPr>
                <w:bCs/>
                <w:lang w:val="en-IE" w:eastAsia="en-GB"/>
              </w:rPr>
              <w:t xml:space="preserve"> </w:t>
            </w:r>
            <w:proofErr w:type="spellStart"/>
            <w:r w:rsidR="00377580" w:rsidRPr="001B5C74">
              <w:rPr>
                <w:bCs/>
                <w:lang w:val="en-IE" w:eastAsia="en-GB"/>
              </w:rPr>
              <w:t>Bruxelles</w:t>
            </w:r>
            <w:proofErr w:type="spellEnd"/>
            <w:r w:rsidR="00377580" w:rsidRPr="001B5C74">
              <w:rPr>
                <w:bCs/>
                <w:lang w:val="en-IE" w:eastAsia="en-GB"/>
              </w:rPr>
              <w:t xml:space="preserve"> </w:t>
            </w:r>
            <w:r w:rsidR="0092295D" w:rsidRPr="001B5C74">
              <w:rPr>
                <w:bCs/>
                <w:lang w:val="en-IE" w:eastAsia="en-GB"/>
              </w:rPr>
              <w:t xml:space="preserve"> </w:t>
            </w:r>
            <w:r w:rsidR="00377580" w:rsidRPr="001B5C7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1B5C74">
                  <w:rPr>
                    <w:rFonts w:ascii="MS Gothic" w:eastAsia="MS Gothic" w:hAnsi="MS Gothic"/>
                    <w:bCs/>
                    <w:szCs w:val="24"/>
                    <w:lang w:val="en-IE" w:eastAsia="en-GB"/>
                  </w:rPr>
                  <w:t>☐</w:t>
                </w:r>
              </w:sdtContent>
            </w:sdt>
            <w:r w:rsidR="00377580" w:rsidRPr="001B5C7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1B5C74">
                  <w:rPr>
                    <w:rFonts w:ascii="MS Gothic" w:eastAsia="MS Gothic" w:hAnsi="MS Gothic"/>
                    <w:bCs/>
                    <w:szCs w:val="24"/>
                    <w:lang w:val="en-IE" w:eastAsia="en-GB"/>
                  </w:rPr>
                  <w:t>☐</w:t>
                </w:r>
              </w:sdtContent>
            </w:sdt>
            <w:r w:rsidR="00377580" w:rsidRPr="001B5C74">
              <w:rPr>
                <w:bCs/>
                <w:szCs w:val="24"/>
                <w:lang w:val="en-IE" w:eastAsia="en-GB"/>
              </w:rPr>
              <w:t xml:space="preserve"> </w:t>
            </w:r>
            <w:proofErr w:type="spellStart"/>
            <w:r w:rsidR="00377580" w:rsidRPr="001B5C74">
              <w:rPr>
                <w:bCs/>
                <w:szCs w:val="24"/>
                <w:lang w:val="en-IE" w:eastAsia="en-GB"/>
              </w:rPr>
              <w:t>Autre</w:t>
            </w:r>
            <w:proofErr w:type="spellEnd"/>
            <w:r w:rsidR="00377580" w:rsidRPr="001B5C74">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1B5C74">
                  <w:rPr>
                    <w:rStyle w:val="PlaceholderText"/>
                    <w:lang w:val="en-IE"/>
                  </w:rPr>
                  <w:t>Click or tap here to enter text.</w:t>
                </w:r>
              </w:sdtContent>
            </w:sdt>
          </w:p>
          <w:p w14:paraId="6A0ABCA6" w14:textId="77777777" w:rsidR="00377580" w:rsidRPr="001B5C74"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385292B3"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1440" w:dyaOrig="1440"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3F61A1"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F2E4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F2E4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3032985" w:rsidR="00377580" w:rsidRDefault="00FF2E4C"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4C09FE">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1B5C74">
                  <w:rPr>
                    <w:bCs/>
                    <w:szCs w:val="24"/>
                    <w:lang w:val="fr-BE" w:eastAsia="en-GB"/>
                  </w:rPr>
                  <w:t>FAO</w:t>
                </w:r>
              </w:sdtContent>
            </w:sdt>
          </w:p>
          <w:p w14:paraId="2B5ABBA0" w14:textId="19EF9A0A"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20.25pt;height:21.75pt" o:ole="">
                  <v:imagedata r:id="rId20" o:title=""/>
                </v:shape>
                <w:control r:id="rId21" w:name="OptionButton5" w:shapeid="_x0000_i1043"/>
              </w:object>
            </w:r>
          </w:p>
        </w:tc>
      </w:tr>
      <w:tr w:rsidR="00E850B7" w:rsidRPr="001B5C7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7D02FBF" w:rsidR="00E850B7" w:rsidRDefault="00E850B7" w:rsidP="00DE0E7F">
            <w:pPr>
              <w:tabs>
                <w:tab w:val="left" w:pos="426"/>
              </w:tabs>
              <w:spacing w:before="120" w:after="120"/>
              <w:rPr>
                <w:bCs/>
                <w:szCs w:val="24"/>
                <w:lang w:val="en-GB" w:eastAsia="en-GB"/>
              </w:rPr>
            </w:pPr>
            <w:r>
              <w:rPr>
                <w:bCs/>
                <w:szCs w:val="24"/>
                <w:lang w:val="en-GB" w:eastAsia="en-GB"/>
              </w:rPr>
              <w:object w:dxaOrig="1440" w:dyaOrig="1440" w14:anchorId="4F9AA0C1">
                <v:shape id="_x0000_i1045" type="#_x0000_t75" style="width:108pt;height:21.75pt" o:ole="">
                  <v:imagedata r:id="rId22" o:title=""/>
                </v:shape>
                <w:control r:id="rId23" w:name="OptionButton2" w:shapeid="_x0000_i1045"/>
              </w:object>
            </w:r>
            <w:r>
              <w:rPr>
                <w:bCs/>
                <w:szCs w:val="24"/>
                <w:lang w:val="en-GB" w:eastAsia="en-GB"/>
              </w:rPr>
              <w:object w:dxaOrig="1440" w:dyaOrig="1440" w14:anchorId="7A15FAEE">
                <v:shape id="_x0000_i1047" type="#_x0000_t75" style="width:108pt;height:21.75pt" o:ole="">
                  <v:imagedata r:id="rId24" o:title=""/>
                </v:shape>
                <w:control r:id="rId25" w:name="OptionButton3" w:shapeid="_x0000_i1047"/>
              </w:object>
            </w:r>
          </w:p>
          <w:p w14:paraId="63DD2FA8" w14:textId="78A58AD0" w:rsidR="006B47B6" w:rsidRPr="001B5C74" w:rsidRDefault="00BF389A" w:rsidP="00DE0E7F">
            <w:pPr>
              <w:tabs>
                <w:tab w:val="left" w:pos="426"/>
              </w:tabs>
              <w:spacing w:before="120" w:after="120"/>
              <w:rPr>
                <w:bCs/>
                <w:lang w:val="fr-BE" w:eastAsia="en-GB"/>
              </w:rPr>
            </w:pPr>
            <w:r w:rsidRPr="001B5C74">
              <w:rPr>
                <w:bCs/>
                <w:lang w:val="fr-BE" w:eastAsia="en-GB"/>
              </w:rPr>
              <w:t xml:space="preserve">Date limite pour postuler: </w:t>
            </w:r>
            <w:sdt>
              <w:sdtPr>
                <w:rPr>
                  <w:bCs/>
                  <w:lang w:val="fr-B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5F24C8">
                  <w:rPr>
                    <w:bCs/>
                    <w:lang w:val="fr-BE" w:eastAsia="en-GB"/>
                  </w:rPr>
                  <w:t>25-06-</w:t>
                </w:r>
                <w:r w:rsidR="001B5C74">
                  <w:rPr>
                    <w:bCs/>
                    <w:lang w:val="fr-BE" w:eastAsia="en-GB"/>
                  </w:rPr>
                  <w:t>2024</w:t>
                </w:r>
              </w:sdtContent>
            </w:sdt>
          </w:p>
        </w:tc>
      </w:tr>
    </w:tbl>
    <w:p w14:paraId="64E3B7F7" w14:textId="4ACBF2E8" w:rsidR="00E850B7" w:rsidRPr="001B5C74"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62446484" w:displacedByCustomXml="next"/>
    <w:sdt>
      <w:sdtPr>
        <w:rPr>
          <w:lang w:val="fr-BE" w:eastAsia="en-GB"/>
        </w:rPr>
        <w:id w:val="1822233941"/>
        <w:placeholder>
          <w:docPart w:val="502342290B3541ABA4032C2AA949ADE4"/>
        </w:placeholder>
      </w:sdtPr>
      <w:sdtEndPr/>
      <w:sdtContent>
        <w:p w14:paraId="24AC758A" w14:textId="77777777" w:rsidR="001B5C74" w:rsidRDefault="001B5C74" w:rsidP="001B5C74">
          <w:pPr>
            <w:rPr>
              <w:sz w:val="22"/>
              <w:szCs w:val="22"/>
            </w:rPr>
          </w:pPr>
          <w:r>
            <w:rPr>
              <w:sz w:val="22"/>
              <w:szCs w:val="22"/>
            </w:rPr>
            <w:t>La mission de la Direction-Générale pour la recherche et l’innovation est de développer et mettre en œuvre la politique Européenne pour la recherche et l’innovation en vue de réaliser les priorités de la politique Européenne, et en particulier le pacte vert pour l’Europe. La DG soutient la recherche et l’innovation à travers les Programmes-Cadres Européens, coordonne et soutient les programmes de recherche et d’innovation nationaux et régionaux, contribue à la création de l’Espace Européen de la Recherche et soutient les organisations et chercheurs Européens dans leur coopération au niveau international.</w:t>
          </w:r>
        </w:p>
        <w:p w14:paraId="18140A21" w14:textId="4D855950" w:rsidR="001A0074" w:rsidRPr="00A307D5" w:rsidRDefault="00A307D5" w:rsidP="001A0074">
          <w:pPr>
            <w:rPr>
              <w:color w:val="000000" w:themeColor="text1"/>
              <w:lang w:val="fr-BE" w:eastAsia="en-GB"/>
            </w:rPr>
          </w:pPr>
          <w:r w:rsidRPr="00F6494D">
            <w:rPr>
              <w:b/>
              <w:color w:val="000000" w:themeColor="text1"/>
              <w:sz w:val="22"/>
              <w:szCs w:val="22"/>
            </w:rPr>
            <w:lastRenderedPageBreak/>
            <w:t>L’unité RTD B.2, "Bioéconomie et Systèmes Alimentaires"</w:t>
          </w:r>
          <w:r w:rsidRPr="00F6494D">
            <w:rPr>
              <w:color w:val="000000" w:themeColor="text1"/>
              <w:sz w:val="22"/>
              <w:szCs w:val="22"/>
            </w:rPr>
            <w:t>, soutient la transition vers une Planète Saine, qui sera neutre sur le plan climatique d’ici 2050, et qui fonctionnera dans des limites planétaires sûres. L’unité coordonne la mise en œuvre et le développement de la stratégie de bioéconomie de l’UE. Ses activités soutiennent cet objectif en contribuant à accélérer le déploiement d’une bioéconomie circulaire et durable à travers l’Europe et en assurant la pérennité de nos systèmes alimentaires en engageant les communautés et en offrant des solutions neutres pour le climat, circulaires, durables et innovantes qui fournissent des aliments et des régimes alimentaires sains et nutritifs pour tous, et qui permettent des voies de transition locales, équitables, vers des bioéconomies circulaires durables, accélérant ainsi leur déploiement à travers l’Europe.</w:t>
          </w:r>
        </w:p>
      </w:sdtContent>
    </w:sdt>
    <w:bookmarkEnd w:id="0" w:displacedByCustomXml="prev"/>
    <w:p w14:paraId="30B422AA" w14:textId="77777777" w:rsidR="00301CA3" w:rsidRPr="00F9332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D97E169" w14:textId="28D84B0C" w:rsidR="001B5C74" w:rsidRDefault="001B5C74" w:rsidP="001B5C74">
          <w:pPr>
            <w:rPr>
              <w:sz w:val="22"/>
              <w:szCs w:val="22"/>
            </w:rPr>
          </w:pPr>
          <w:r>
            <w:rPr>
              <w:sz w:val="22"/>
              <w:szCs w:val="22"/>
            </w:rPr>
            <w:t xml:space="preserve">Les tâches de l’expert national comprendront un soutien sur les dossiers suivants: </w:t>
          </w:r>
        </w:p>
        <w:p w14:paraId="16AF2308" w14:textId="77777777" w:rsidR="001B5C74" w:rsidRDefault="001B5C74" w:rsidP="001B5C74">
          <w:pPr>
            <w:pStyle w:val="ListParagraph"/>
            <w:jc w:val="both"/>
            <w:rPr>
              <w:sz w:val="22"/>
              <w:szCs w:val="22"/>
            </w:rPr>
          </w:pPr>
        </w:p>
        <w:p w14:paraId="74E19F32" w14:textId="344E0726" w:rsidR="00A307D5" w:rsidRDefault="00A307D5" w:rsidP="001B5C74">
          <w:pPr>
            <w:pStyle w:val="ListParagraph"/>
            <w:numPr>
              <w:ilvl w:val="0"/>
              <w:numId w:val="26"/>
            </w:numPr>
            <w:jc w:val="both"/>
            <w:rPr>
              <w:sz w:val="22"/>
              <w:szCs w:val="22"/>
            </w:rPr>
          </w:pPr>
          <w:r w:rsidRPr="00FF2E4C">
            <w:rPr>
              <w:sz w:val="22"/>
              <w:szCs w:val="22"/>
            </w:rPr>
            <w:t>Contribuer à l’élaboration de la révision de la stratégie de bioéconomie de l’UE, qui sera publiée d’ici la fin de 2025;</w:t>
          </w:r>
        </w:p>
        <w:p w14:paraId="57DFB1FC" w14:textId="05BE697D" w:rsidR="001B5C74" w:rsidRDefault="001B5C74" w:rsidP="001B5C74">
          <w:pPr>
            <w:pStyle w:val="ListParagraph"/>
            <w:numPr>
              <w:ilvl w:val="0"/>
              <w:numId w:val="26"/>
            </w:numPr>
            <w:jc w:val="both"/>
            <w:rPr>
              <w:sz w:val="22"/>
              <w:szCs w:val="22"/>
            </w:rPr>
          </w:pPr>
          <w:r>
            <w:rPr>
              <w:sz w:val="22"/>
              <w:szCs w:val="22"/>
            </w:rPr>
            <w:t>Suivi de l’évolution des politiques de bioéconomie au niveau national, régional ou local dans les États membres, y compris la coopération au niveau international;</w:t>
          </w:r>
        </w:p>
        <w:p w14:paraId="3BBC06B6" w14:textId="093C4F62" w:rsidR="001B5C74" w:rsidRDefault="001B5C74" w:rsidP="001B5C74">
          <w:pPr>
            <w:pStyle w:val="ListParagraph"/>
            <w:numPr>
              <w:ilvl w:val="0"/>
              <w:numId w:val="26"/>
            </w:numPr>
            <w:jc w:val="both"/>
            <w:rPr>
              <w:sz w:val="22"/>
              <w:szCs w:val="22"/>
            </w:rPr>
          </w:pPr>
          <w:r>
            <w:rPr>
              <w:sz w:val="22"/>
              <w:szCs w:val="22"/>
            </w:rPr>
            <w:t xml:space="preserve">Soutien de l’équipe Bioéconomie de la DG R&amp;I dans la planification et l’organisation d’événements </w:t>
          </w:r>
          <w:r w:rsidR="005F24C8">
            <w:rPr>
              <w:sz w:val="22"/>
              <w:szCs w:val="22"/>
            </w:rPr>
            <w:t xml:space="preserve">relatifs à la </w:t>
          </w:r>
          <w:r>
            <w:rPr>
              <w:sz w:val="22"/>
              <w:szCs w:val="22"/>
            </w:rPr>
            <w:t>bioéconomie</w:t>
          </w:r>
          <w:r w:rsidR="005F24C8">
            <w:rPr>
              <w:sz w:val="22"/>
              <w:szCs w:val="22"/>
            </w:rPr>
            <w:t>;</w:t>
          </w:r>
        </w:p>
        <w:p w14:paraId="375A38C1" w14:textId="5779FB49" w:rsidR="001B5C74" w:rsidRDefault="001B5C74" w:rsidP="001B5C74">
          <w:pPr>
            <w:pStyle w:val="ListParagraph"/>
            <w:numPr>
              <w:ilvl w:val="0"/>
              <w:numId w:val="26"/>
            </w:numPr>
            <w:jc w:val="both"/>
            <w:rPr>
              <w:sz w:val="22"/>
              <w:szCs w:val="22"/>
            </w:rPr>
          </w:pPr>
          <w:r>
            <w:rPr>
              <w:sz w:val="22"/>
              <w:szCs w:val="22"/>
            </w:rPr>
            <w:t xml:space="preserve">Rédaction de rapports d’analyse, de comptes rendus et/ou de mises à jour des rapports existants sur la mise en œuvre de la Stratégie de </w:t>
          </w:r>
          <w:proofErr w:type="gramStart"/>
          <w:r>
            <w:rPr>
              <w:sz w:val="22"/>
              <w:szCs w:val="22"/>
            </w:rPr>
            <w:t>bioéconomie;</w:t>
          </w:r>
          <w:proofErr w:type="gramEnd"/>
        </w:p>
        <w:p w14:paraId="023D942F" w14:textId="3E19AEA6" w:rsidR="001B5C74" w:rsidRDefault="001B5C74" w:rsidP="001B5C74">
          <w:pPr>
            <w:pStyle w:val="ListParagraph"/>
            <w:numPr>
              <w:ilvl w:val="0"/>
              <w:numId w:val="26"/>
            </w:numPr>
            <w:jc w:val="both"/>
            <w:rPr>
              <w:sz w:val="22"/>
              <w:szCs w:val="22"/>
            </w:rPr>
          </w:pPr>
          <w:r>
            <w:rPr>
              <w:sz w:val="22"/>
              <w:szCs w:val="22"/>
            </w:rPr>
            <w:t xml:space="preserve">Mise en œuvre de la stratégie bioéconomie de l’UE (soutien aux États membres de </w:t>
          </w:r>
          <w:proofErr w:type="gramStart"/>
          <w:r>
            <w:rPr>
              <w:sz w:val="22"/>
              <w:szCs w:val="22"/>
            </w:rPr>
            <w:t>BIOEAST;</w:t>
          </w:r>
          <w:proofErr w:type="gramEnd"/>
          <w:r>
            <w:rPr>
              <w:sz w:val="22"/>
              <w:szCs w:val="22"/>
            </w:rPr>
            <w:t xml:space="preserve"> travaux sur les questions </w:t>
          </w:r>
          <w:r w:rsidR="00A307D5">
            <w:rPr>
              <w:sz w:val="22"/>
              <w:szCs w:val="22"/>
            </w:rPr>
            <w:t xml:space="preserve">régionales ou environnementales </w:t>
          </w:r>
          <w:r>
            <w:rPr>
              <w:sz w:val="22"/>
              <w:szCs w:val="22"/>
            </w:rPr>
            <w:t>liées à la mise en œuvre de la stratégie de bioéconomie</w:t>
          </w:r>
          <w:r w:rsidR="00DC1F16">
            <w:rPr>
              <w:sz w:val="22"/>
              <w:szCs w:val="22"/>
            </w:rPr>
            <w:t>,</w:t>
          </w:r>
          <w:r>
            <w:rPr>
              <w:sz w:val="22"/>
              <w:szCs w:val="22"/>
            </w:rPr>
            <w:t xml:space="preserve"> etc.); </w:t>
          </w:r>
        </w:p>
        <w:p w14:paraId="3B1D2FA2" w14:textId="34BC62EA" w:rsidR="001A0074" w:rsidRPr="00F9332D" w:rsidRDefault="001B5C74" w:rsidP="00DC1F16">
          <w:pPr>
            <w:pStyle w:val="ListParagraph"/>
            <w:numPr>
              <w:ilvl w:val="0"/>
              <w:numId w:val="26"/>
            </w:numPr>
            <w:jc w:val="both"/>
            <w:rPr>
              <w:sz w:val="22"/>
              <w:szCs w:val="22"/>
            </w:rPr>
          </w:pPr>
          <w:r>
            <w:rPr>
              <w:sz w:val="22"/>
              <w:szCs w:val="22"/>
            </w:rPr>
            <w:t>Coordination de la coopération avec le Centre commun de recherche de la Commission sur les politiques liées à la bioéconomie (systèmes de surveillance, modélisation, synthèse des connaissances, etc.)</w:t>
          </w:r>
          <w:r w:rsidR="00F9332D">
            <w:rPr>
              <w:sz w:val="22"/>
              <w:szCs w:val="22"/>
            </w:rPr>
            <w:t>.</w:t>
          </w:r>
        </w:p>
      </w:sdtContent>
    </w:sdt>
    <w:p w14:paraId="3D69C09B" w14:textId="77777777" w:rsidR="00301CA3" w:rsidRPr="001B5C7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C1E823E" w14:textId="3D8C1052" w:rsidR="00F9332D" w:rsidRPr="00F9332D" w:rsidRDefault="00F9332D" w:rsidP="00F9332D">
          <w:pPr>
            <w:tabs>
              <w:tab w:val="left" w:pos="709"/>
            </w:tabs>
            <w:ind w:right="60"/>
            <w:rPr>
              <w:sz w:val="22"/>
              <w:szCs w:val="22"/>
              <w:u w:val="single"/>
            </w:rPr>
          </w:pPr>
          <w:r w:rsidRPr="004D062C">
            <w:rPr>
              <w:lang w:val="fr-BE"/>
            </w:rPr>
            <w:t xml:space="preserve">Nous recherchons un collègue très motivé, dynamique et innovant avec une approche axée sur le service. Le poste exige la capacité de fournir des commentaires rapides, des renseignements stratégiques et des analyses scientifiques, </w:t>
          </w:r>
          <w:r w:rsidR="00876C41">
            <w:rPr>
              <w:lang w:val="fr-BE"/>
            </w:rPr>
            <w:t>de concevoir</w:t>
          </w:r>
          <w:r w:rsidRPr="004D062C">
            <w:rPr>
              <w:lang w:val="fr-BE"/>
            </w:rPr>
            <w:t xml:space="preserve"> des sujets de recherche et d’innovation et de rédiger des notes d’information stratégiques ciblées pour la hiérarchie</w:t>
          </w:r>
          <w:r w:rsidR="00876C41">
            <w:rPr>
              <w:lang w:val="fr-BE"/>
            </w:rPr>
            <w:t>,</w:t>
          </w:r>
          <w:r w:rsidRPr="004D062C">
            <w:rPr>
              <w:lang w:val="fr-BE"/>
            </w:rPr>
            <w:t xml:space="preserve"> ainsi que des réponses rapides et judicieuses aux préoccupations des intervenants ou aux questions politiques. D’excellentes compétences orales et écrites en anglais, permettant une communication efficace avec tous les homologues et partenaires, ainsi que la capacité d’établir de solides relations de collaborati</w:t>
          </w:r>
          <w:r w:rsidR="00A34A24">
            <w:rPr>
              <w:lang w:val="fr-BE"/>
            </w:rPr>
            <w:t>on</w:t>
          </w:r>
          <w:r w:rsidRPr="004D062C">
            <w:rPr>
              <w:lang w:val="fr-BE"/>
            </w:rPr>
            <w:t xml:space="preserve"> sont essentielles. Le candidat retenu sera également bien organisé et capable de travailler de manière indépendante, et sera également désireux et prêt à co-créer et partager avec d’autres membres de l’équipe. Une expérience pratique dans </w:t>
          </w:r>
          <w:r w:rsidR="00876C41">
            <w:rPr>
              <w:lang w:val="fr-BE"/>
            </w:rPr>
            <w:t>d</w:t>
          </w:r>
          <w:r w:rsidRPr="004D062C">
            <w:rPr>
              <w:lang w:val="fr-BE"/>
            </w:rPr>
            <w:t>es administrations nationales travaillant sur les politiques de bioéconomie serait un avantage. Une formation, ou des qualifications</w:t>
          </w:r>
          <w:r w:rsidR="00C370CD">
            <w:rPr>
              <w:lang w:val="fr-BE"/>
            </w:rPr>
            <w:t xml:space="preserve"> combinant d</w:t>
          </w:r>
          <w:r w:rsidRPr="004D062C">
            <w:rPr>
              <w:lang w:val="fr-BE"/>
            </w:rPr>
            <w:t xml:space="preserve">es domaines </w:t>
          </w:r>
          <w:r w:rsidR="00C370CD">
            <w:rPr>
              <w:lang w:val="fr-BE"/>
            </w:rPr>
            <w:t xml:space="preserve">parmi les </w:t>
          </w:r>
          <w:r w:rsidRPr="004D062C">
            <w:rPr>
              <w:lang w:val="fr-BE"/>
            </w:rPr>
            <w:t xml:space="preserve">suivants serait un atout : sciences environnementales, sociales ou politiques, biotechnologie, évaluation du cycle de vie, production primaire (agriculture, pêche, foresterie) ou autres </w:t>
          </w:r>
          <w:r w:rsidR="00876C41">
            <w:rPr>
              <w:lang w:val="fr-BE"/>
            </w:rPr>
            <w:t>domaines</w:t>
          </w:r>
          <w:r w:rsidRPr="004D062C">
            <w:rPr>
              <w:lang w:val="fr-BE"/>
            </w:rPr>
            <w:t xml:space="preserve"> pertinents pour la bioéconomie.</w:t>
          </w:r>
        </w:p>
        <w:p w14:paraId="2EF784E9" w14:textId="0554CA99" w:rsidR="00F9332D" w:rsidRPr="001B5C74" w:rsidRDefault="00F9332D" w:rsidP="00F9332D">
          <w:pPr>
            <w:rPr>
              <w:lang w:val="fr-BE"/>
            </w:rPr>
          </w:pPr>
          <w:r w:rsidRPr="004D062C">
            <w:rPr>
              <w:lang w:val="fr-BE"/>
            </w:rPr>
            <w:t>La connaissance de la stratégie de bioéconomie de l’UE et d’autres politiques connexes (p. ex., PAC, environnement, climat) serait un avantage.</w:t>
          </w:r>
        </w:p>
      </w:sdtContent>
    </w:sdt>
    <w:p w14:paraId="5D76C15C" w14:textId="77777777" w:rsidR="00F65CC2" w:rsidRPr="001B5C7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753B31"/>
    <w:multiLevelType w:val="hybridMultilevel"/>
    <w:tmpl w:val="0BEA7FE4"/>
    <w:lvl w:ilvl="0" w:tplc="DCE2482C">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3710302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trackedChange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B5C74"/>
    <w:rsid w:val="001D3EEC"/>
    <w:rsid w:val="00215A56"/>
    <w:rsid w:val="0028413D"/>
    <w:rsid w:val="002841B7"/>
    <w:rsid w:val="002A2485"/>
    <w:rsid w:val="002A6E30"/>
    <w:rsid w:val="002B37EB"/>
    <w:rsid w:val="00301CA3"/>
    <w:rsid w:val="00377580"/>
    <w:rsid w:val="00394581"/>
    <w:rsid w:val="00443957"/>
    <w:rsid w:val="00462268"/>
    <w:rsid w:val="00473D78"/>
    <w:rsid w:val="004A4BB7"/>
    <w:rsid w:val="004C09FE"/>
    <w:rsid w:val="004D3B51"/>
    <w:rsid w:val="0053405E"/>
    <w:rsid w:val="00556CBD"/>
    <w:rsid w:val="005F24C8"/>
    <w:rsid w:val="006427A4"/>
    <w:rsid w:val="006A1CB2"/>
    <w:rsid w:val="006B47B6"/>
    <w:rsid w:val="006F23BA"/>
    <w:rsid w:val="0074301E"/>
    <w:rsid w:val="007A10AA"/>
    <w:rsid w:val="007A1396"/>
    <w:rsid w:val="007B5FAE"/>
    <w:rsid w:val="007E131B"/>
    <w:rsid w:val="007E4F35"/>
    <w:rsid w:val="008241B0"/>
    <w:rsid w:val="008315CD"/>
    <w:rsid w:val="00866E7F"/>
    <w:rsid w:val="00876C41"/>
    <w:rsid w:val="008A0FF3"/>
    <w:rsid w:val="0092295D"/>
    <w:rsid w:val="00A307D5"/>
    <w:rsid w:val="00A34A24"/>
    <w:rsid w:val="00A65B97"/>
    <w:rsid w:val="00A917BE"/>
    <w:rsid w:val="00AA2C5C"/>
    <w:rsid w:val="00B31DC8"/>
    <w:rsid w:val="00BF389A"/>
    <w:rsid w:val="00C370CD"/>
    <w:rsid w:val="00C518F5"/>
    <w:rsid w:val="00D40DF7"/>
    <w:rsid w:val="00D703FC"/>
    <w:rsid w:val="00D82B48"/>
    <w:rsid w:val="00D93F6A"/>
    <w:rsid w:val="00DB535D"/>
    <w:rsid w:val="00DC1F16"/>
    <w:rsid w:val="00DC5C83"/>
    <w:rsid w:val="00E0579E"/>
    <w:rsid w:val="00E5708E"/>
    <w:rsid w:val="00E850B7"/>
    <w:rsid w:val="00E927FE"/>
    <w:rsid w:val="00F65CC2"/>
    <w:rsid w:val="00F9332D"/>
    <w:rsid w:val="00FF2E4C"/>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1B5C74"/>
    <w:pPr>
      <w:spacing w:after="0"/>
      <w:ind w:left="720"/>
      <w:contextualSpacing/>
      <w:jc w:val="left"/>
    </w:pPr>
    <w:rPr>
      <w:lang w:val="fr-BE" w:eastAsia="en-GB"/>
    </w:rPr>
  </w:style>
  <w:style w:type="paragraph" w:styleId="Revision">
    <w:name w:val="Revision"/>
    <w:hidden/>
    <w:semiHidden/>
    <w:locked/>
    <w:rsid w:val="00DC1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767039332">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58256730">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4130038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4C6EE3" w:rsidRDefault="00F00294" w:rsidP="00F00294">
          <w:pPr>
            <w:pStyle w:val="D33812E3C570400484B558C421C8A64E"/>
          </w:pPr>
          <w:r w:rsidRPr="003D4996">
            <w:rPr>
              <w:rStyle w:val="PlaceholderText"/>
            </w:rPr>
            <w:t>Click or tap to enter a date.</w:t>
          </w:r>
        </w:p>
      </w:docPartBody>
    </w:docPart>
    <w:docPart>
      <w:docPartPr>
        <w:name w:val="1E189BD7E1A6480BB5BDBD0BAEA32DC5"/>
        <w:category>
          <w:name w:val="General"/>
          <w:gallery w:val="placeholder"/>
        </w:category>
        <w:types>
          <w:type w:val="bbPlcHdr"/>
        </w:types>
        <w:behaviors>
          <w:behavior w:val="content"/>
        </w:behaviors>
        <w:guid w:val="{1D4BB108-7DDE-4C57-A9A6-C0158C8463D6}"/>
      </w:docPartPr>
      <w:docPartBody>
        <w:p w:rsidR="003C5B89" w:rsidRDefault="003C5B89" w:rsidP="003C5B89">
          <w:pPr>
            <w:pStyle w:val="1E189BD7E1A6480BB5BDBD0BAEA32DC5"/>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C5B89"/>
    <w:rsid w:val="004C6EE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C5B8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189BD7E1A6480BB5BDBD0BAEA32DC5">
    <w:name w:val="1E189BD7E1A6480BB5BDBD0BAEA32DC5"/>
    <w:rsid w:val="003C5B89"/>
    <w:rPr>
      <w:kern w:val="2"/>
      <w:lang w:eastAsia="zh-TW"/>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elements/1.1/"/>
    <ds:schemaRef ds:uri="http://schemas.microsoft.com/office/infopath/2007/PartnerControls"/>
    <ds:schemaRef ds:uri="http://purl.org/dc/terms/"/>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1929b814-5a78-4bdc-9841-d8b9ef424f65"/>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4</Pages>
  <Words>1381</Words>
  <Characters>7874</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ZISAKIS Anastasia (RTD)</cp:lastModifiedBy>
  <cp:revision>3</cp:revision>
  <cp:lastPrinted>2023-04-18T07:01:00Z</cp:lastPrinted>
  <dcterms:created xsi:type="dcterms:W3CDTF">2024-04-08T15:49:00Z</dcterms:created>
  <dcterms:modified xsi:type="dcterms:W3CDTF">2024-04-08T15:52:00Z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