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41A5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41A5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41A5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41A5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41A5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41A5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DCBD67D" w:rsidR="00546DB1" w:rsidRPr="00546DB1" w:rsidRDefault="00BB58D1" w:rsidP="00AB56F9">
                <w:pPr>
                  <w:tabs>
                    <w:tab w:val="left" w:pos="426"/>
                  </w:tabs>
                  <w:spacing w:before="120"/>
                  <w:rPr>
                    <w:bCs/>
                    <w:lang w:val="en-IE" w:eastAsia="en-GB"/>
                  </w:rPr>
                </w:pPr>
                <w:r>
                  <w:rPr>
                    <w:bCs/>
                    <w:lang w:eastAsia="en-GB"/>
                  </w:rPr>
                  <w:t>INTPA G.5</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A43868B" w:rsidR="00546DB1" w:rsidRPr="003B2E38" w:rsidRDefault="00341A53" w:rsidP="00AB56F9">
                <w:pPr>
                  <w:tabs>
                    <w:tab w:val="left" w:pos="426"/>
                  </w:tabs>
                  <w:spacing w:before="120"/>
                  <w:rPr>
                    <w:bCs/>
                    <w:lang w:val="en-IE" w:eastAsia="en-GB"/>
                  </w:rPr>
                </w:pPr>
                <w:r>
                  <w:rPr>
                    <w:lang w:val="fr-BE"/>
                  </w:rPr>
                  <w:t>164694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A4605ED" w:rsidR="00546DB1" w:rsidRPr="003B2E38" w:rsidRDefault="00BB58D1" w:rsidP="00AB56F9">
                <w:pPr>
                  <w:tabs>
                    <w:tab w:val="left" w:pos="426"/>
                  </w:tabs>
                  <w:spacing w:before="120"/>
                  <w:rPr>
                    <w:bCs/>
                    <w:lang w:val="en-IE" w:eastAsia="en-GB"/>
                  </w:rPr>
                </w:pPr>
                <w:r>
                  <w:rPr>
                    <w:bCs/>
                    <w:lang w:eastAsia="en-GB"/>
                  </w:rPr>
                  <w:t>Daniel GIOREV</w:t>
                </w:r>
              </w:p>
            </w:sdtContent>
          </w:sdt>
          <w:p w14:paraId="227D6F6E" w14:textId="75DAF303" w:rsidR="00546DB1" w:rsidRPr="009F216F" w:rsidRDefault="00341A5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B58D1">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271DD">
                      <w:rPr>
                        <w:bCs/>
                        <w:lang w:eastAsia="en-GB"/>
                      </w:rPr>
                      <w:t>2024</w:t>
                    </w:r>
                  </w:sdtContent>
                </w:sdt>
              </w:sdtContent>
            </w:sdt>
          </w:p>
          <w:p w14:paraId="4128A55A" w14:textId="572F7261" w:rsidR="00546DB1" w:rsidRPr="00546DB1" w:rsidRDefault="00341A5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B58D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6AF01A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EC2977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41A5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41A5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41A5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2B3136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D1FB4C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2A120F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B20EC6">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61C63" w:rsidRDefault="00803007" w:rsidP="007C07D8">
      <w:pPr>
        <w:pStyle w:val="ListNumber"/>
        <w:numPr>
          <w:ilvl w:val="0"/>
          <w:numId w:val="0"/>
        </w:numPr>
        <w:ind w:left="709" w:hanging="709"/>
        <w:rPr>
          <w:lang w:eastAsia="en-GB"/>
        </w:rPr>
      </w:pPr>
      <w:r w:rsidRPr="00961C63">
        <w:rPr>
          <w:b/>
          <w:bCs/>
          <w:lang w:eastAsia="en-GB"/>
        </w:rPr>
        <w:t>Wer wi</w:t>
      </w:r>
      <w:r w:rsidR="002F7504" w:rsidRPr="00961C63">
        <w:rPr>
          <w:b/>
          <w:bCs/>
          <w:lang w:eastAsia="en-GB"/>
        </w:rPr>
        <w:t>r</w:t>
      </w:r>
      <w:r w:rsidRPr="00961C63">
        <w:rPr>
          <w:b/>
          <w:bCs/>
          <w:lang w:eastAsia="en-GB"/>
        </w:rPr>
        <w:t xml:space="preserve"> sind</w:t>
      </w:r>
    </w:p>
    <w:sdt>
      <w:sdtPr>
        <w:rPr>
          <w:rFonts w:ascii="Times New Roman" w:eastAsia="Times New Roman" w:hAnsi="Times New Roman" w:cs="Times New Roman"/>
          <w:kern w:val="0"/>
          <w:sz w:val="24"/>
          <w:szCs w:val="20"/>
          <w:lang w:val="de-DE" w:eastAsia="en-GB"/>
          <w14:ligatures w14:val="none"/>
        </w:rPr>
        <w:id w:val="1822233941"/>
        <w:placeholder>
          <w:docPart w:val="FE6C9874556B47B1A65A432926DB0BCE"/>
        </w:placeholder>
      </w:sdtPr>
      <w:sdtEndPr/>
      <w:sdtContent>
        <w:p w14:paraId="1196B956"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xml:space="preserve">Innerhalb der Europäischen Kommission, im Rahmen des umfassenderen außenpolitischen Handelns der EU, ist die Generaldirektion für Internationale </w:t>
          </w:r>
          <w:r>
            <w:rPr>
              <w:rFonts w:ascii="Times New Roman" w:hAnsi="Times New Roman" w:cs="Times New Roman"/>
              <w:lang w:val="de-DE"/>
            </w:rPr>
            <w:lastRenderedPageBreak/>
            <w:t>Partnerschaften für Partnerschaften und die Politik der Entwicklungszusammenarbeit verantwortlich. Dies umfasst Partnerschaften mit Subsahara-Afrika, Lateinamerika und der Karibik sowie Asien, Pazifikländern und den in diesen Regionen tätigen Organisationen. Dazu gehört auch die enge Verknüpfung und Kohärenz zwischen den internen Politikbereichen und Prioritäten der EU und ihrem auswärtigen Handeln. Die Abteilung "Sicherheit" formuliert und koordiniert sektorale Politiken in diesen Bereichen, wobei der Schwerpunkt unter anderem auf folgenden Punkten liegt:</w:t>
          </w:r>
        </w:p>
        <w:p w14:paraId="5E50E56B" w14:textId="77777777" w:rsidR="008965A8" w:rsidRDefault="008965A8" w:rsidP="008965A8">
          <w:pPr>
            <w:pStyle w:val="PlainText"/>
            <w:ind w:left="720"/>
            <w:jc w:val="both"/>
            <w:rPr>
              <w:rFonts w:ascii="Times New Roman" w:hAnsi="Times New Roman" w:cs="Times New Roman"/>
              <w:lang w:val="de-DE"/>
            </w:rPr>
          </w:pPr>
        </w:p>
        <w:p w14:paraId="607E1728"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Integration und Unterstützung des Nexus zwischen humanitärer Hilfe, Entwicklung und Frieden;</w:t>
          </w:r>
        </w:p>
        <w:p w14:paraId="604B38D7"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Arbeit in fragilen Umgebungen und EU-Konfliktanalyse und -sensibilität;</w:t>
          </w:r>
        </w:p>
        <w:p w14:paraId="40D06BBE"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Durchführung der Global Gateway-Strategie, einschließlich Fragen im Zusammenhang mit kritischer Infrastruktur;</w:t>
          </w:r>
        </w:p>
        <w:p w14:paraId="16C2377C"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Unterstützung von Maßnahmen zum Aufbau von Resilienz;</w:t>
          </w:r>
        </w:p>
        <w:p w14:paraId="33D75342"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Unterstützung und Überwachung von sicherheitsbezogenen Programmen (Reform des Sicherheitssektors, transnationale organisierte Kriminalität, Schutz vor illegalem Handel, Schutz kritischer Infrastruktur, einschließlich EU Global Gateway-Projekten; Verhinderung und Bekämpfung von gewalttätigem Extremismus, Bekämpfung illegaler Finanzströme usw.);</w:t>
          </w:r>
        </w:p>
        <w:p w14:paraId="66A1E231"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Dialog mit Partnerorganisationen zu diesen Themen.</w:t>
          </w:r>
        </w:p>
        <w:p w14:paraId="6B6F5C1F" w14:textId="77777777" w:rsidR="008965A8" w:rsidRDefault="008965A8" w:rsidP="008965A8">
          <w:pPr>
            <w:pStyle w:val="PlainText"/>
            <w:ind w:left="720"/>
            <w:jc w:val="both"/>
            <w:rPr>
              <w:rFonts w:ascii="Times New Roman" w:hAnsi="Times New Roman" w:cs="Times New Roman"/>
              <w:lang w:val="de-DE"/>
            </w:rPr>
          </w:pPr>
        </w:p>
        <w:p w14:paraId="76DD1EEA" w14:textId="7814F5EB" w:rsidR="00803007" w:rsidRPr="00BB58D1" w:rsidRDefault="008965A8" w:rsidP="008965A8">
          <w:r>
            <w:t xml:space="preserve">Die Abteilung verfügt über zwei Teams (1) Frieden/Resilienz und (2) Sicherheit, die sich mit den oben genannten Themen befassen und im Sinne eines Team-Europa-Ansatzes mit den EU-Mitgliedstaaten zusammenarbeiten. Das Referat G5 'Resilienz, Frieden' ist Teil des Gesamtmandats der DG INTPA und der Generaldirektion 'Menschliche Entwicklung, Migration, </w:t>
          </w:r>
          <w:proofErr w:type="spellStart"/>
          <w:r>
            <w:t>Governance</w:t>
          </w:r>
          <w:proofErr w:type="spellEnd"/>
          <w:r>
            <w:t xml:space="preserve"> und Frieden'.</w:t>
          </w:r>
        </w:p>
      </w:sdtContent>
    </w:sdt>
    <w:p w14:paraId="3862387A" w14:textId="77777777" w:rsidR="00803007" w:rsidRPr="00BB58D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imes New Roman" w:eastAsia="Times New Roman" w:hAnsi="Times New Roman" w:cs="Times New Roman"/>
          <w:kern w:val="0"/>
          <w:sz w:val="24"/>
          <w:szCs w:val="20"/>
          <w:lang w:val="de-DE" w:eastAsia="en-GB"/>
          <w14:ligatures w14:val="none"/>
        </w:rPr>
        <w:id w:val="-723136291"/>
        <w:placeholder>
          <w:docPart w:val="2D9A90DC0280475D996998F2F9FD95D5"/>
        </w:placeholder>
      </w:sdtPr>
      <w:sdtEndPr/>
      <w:sdtContent>
        <w:bookmarkStart w:id="1" w:name="_Hlk158640093" w:displacedByCustomXml="next"/>
        <w:sdt>
          <w:sdtPr>
            <w:rPr>
              <w:rFonts w:ascii="Times New Roman" w:eastAsia="Times New Roman" w:hAnsi="Times New Roman" w:cs="Times New Roman"/>
              <w:kern w:val="0"/>
              <w:sz w:val="24"/>
              <w:szCs w:val="20"/>
              <w:lang w:val="de-DE" w:eastAsia="en-GB"/>
              <w14:ligatures w14:val="none"/>
            </w:rPr>
            <w:id w:val="771362972"/>
          </w:sdtPr>
          <w:sdtEndPr/>
          <w:sdtContent>
            <w:sdt>
              <w:sdtPr>
                <w:rPr>
                  <w:rFonts w:ascii="Times New Roman" w:eastAsia="Times New Roman" w:hAnsi="Times New Roman" w:cs="Times New Roman"/>
                  <w:kern w:val="0"/>
                  <w:sz w:val="24"/>
                  <w:szCs w:val="20"/>
                  <w:lang w:val="de-DE" w:eastAsia="en-GB"/>
                  <w14:ligatures w14:val="none"/>
                </w:rPr>
                <w:id w:val="-548914606"/>
              </w:sdtPr>
              <w:sdtEndPr/>
              <w:sdtContent>
                <w:p w14:paraId="5A3DE50D"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Als Abgeordneter Nationaler Experte (SNE) wird der/die erfolgreiche Kandidat/</w:t>
                  </w:r>
                  <w:proofErr w:type="gramStart"/>
                  <w:r>
                    <w:rPr>
                      <w:rFonts w:ascii="Times New Roman" w:hAnsi="Times New Roman" w:cs="Times New Roman"/>
                      <w:lang w:val="de-DE"/>
                    </w:rPr>
                    <w:t>in :</w:t>
                  </w:r>
                  <w:proofErr w:type="gramEnd"/>
                </w:p>
                <w:p w14:paraId="1389165E" w14:textId="77777777" w:rsidR="008965A8" w:rsidRDefault="008965A8" w:rsidP="008965A8">
                  <w:pPr>
                    <w:pStyle w:val="PlainText"/>
                    <w:ind w:left="720"/>
                    <w:jc w:val="both"/>
                    <w:rPr>
                      <w:rFonts w:ascii="Times New Roman" w:hAnsi="Times New Roman" w:cs="Times New Roman"/>
                      <w:lang w:val="de-DE"/>
                    </w:rPr>
                  </w:pPr>
                </w:p>
                <w:p w14:paraId="0D2BC42E"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Im Rahmen der EU Global Gateway-Strategie fachliche, analytische und strategische Beratung zu thematischen Bereichen wie Schutz kritischer Infrastrukturen und Resilienz bieten.</w:t>
                  </w:r>
                </w:p>
                <w:p w14:paraId="6311DCBE"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Bei der Umsetzung von "Sicherheit durch Design"-Ansätzen für EU-Infrastrukturprojekte in unterstützenden Partnerländern, einschließlich fragiler Umgebungen, helfen. Dies umfasst Arbeit zur Risikobewertung und -management im Hinblick auf die Reform von Strukturen, Kompetenzen und Rechtsrahmen sowie zur Förderung von EU-Standards und bewährten Praktiken. Diese Maßnahmen, die in Partnerländern umgesetzt werden, werden in Zusammenarbeit mit den Diensten der EU-Zentrale (u.a. INTPA, EEAS, FPI, GROW, HOME, JRC, CNECT...) und EU-Delegationen gestaltet.</w:t>
                  </w:r>
                </w:p>
                <w:p w14:paraId="3F4E6287"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Konsistenz sicherstellen und Synergien zwischen den internen Prioritäten der EU und ihrer externen Maßnahmen in Angelegenheiten des Schutzes kritischer Infrastrukturen vor Terrorismus, kriminellen Aktivitäten, Naturkatastrophen und anderen Unfallursachen in Zusammenarbeit mit afrikanischen, lateinamerikanischen, karibischen und asiatisch-pazifischen Partnern schaffen.</w:t>
                  </w:r>
                </w:p>
                <w:p w14:paraId="3D26B866"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Schnittstelle und gemeinsame Aktion mit dem Europäischen Auswärtigen Dienst (EEAS), dem Rat der Europäischen Union, dem Europäischen Parlament (EP) und anderen relevanten Partnern wie regionalen und internationalen Organisationen (Afrikanische Union, UNODC, UNOCT, UNICRI, EUROPOL, INTERPOL usw.) sowie mit Dritten in den genannten Bereichen bieten.</w:t>
                  </w:r>
                </w:p>
                <w:p w14:paraId="12B9C59B" w14:textId="572B2F5B" w:rsidR="00803007" w:rsidRPr="009F216F" w:rsidRDefault="008965A8" w:rsidP="00961C63">
                  <w:pPr>
                    <w:ind w:left="720"/>
                    <w:rPr>
                      <w:lang w:eastAsia="en-GB"/>
                    </w:rPr>
                  </w:pPr>
                  <w:r>
                    <w:lastRenderedPageBreak/>
                    <w:t>- Beratung bei der Durchführung von Programmen und Projekten, die im Rahmen des EU-Instruments für Nachbarschaftspolitik, Entwicklung und internationale Zusammenarbeit (NDICI) finanziert werden, und Gewährleistung, dass diese Programme und Projekte im Einklang mit den Anforderungen der einschlägigen Politiken, Strategien und Aktionspläne der EU konzipiert und durchgeführt werden.</w:t>
                  </w:r>
                </w:p>
              </w:sdtContent>
            </w:sdt>
          </w:sdtContent>
        </w:sdt>
        <w:bookmarkEnd w:id="1" w:displacedByCustomXml="nex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9EE6338" w14:textId="77777777" w:rsidR="00961C63" w:rsidRDefault="00961C63" w:rsidP="00961C63">
          <w:pPr>
            <w:ind w:left="720"/>
          </w:pPr>
          <w:r>
            <w:t>Der/</w:t>
          </w:r>
          <w:proofErr w:type="gramStart"/>
          <w:r>
            <w:t>die Kandidat</w:t>
          </w:r>
          <w:proofErr w:type="gramEnd"/>
          <w:r>
            <w:t>/in sollte über einen Master-Abschluss (oder einen gleichwertigen Abschluss) in Rechts- oder Sozialwissenschaften wie Sicherheitsrisikomanagement, Politikwissenschaften, Wirtschaftswissenschaften, Internationale Beziehungen, Friedens- und Konfliktforschung, Entwicklungsstudien oder über gleichwertige Erfahrungen verfügen.</w:t>
          </w:r>
        </w:p>
        <w:p w14:paraId="2A0F153A" w14:textId="58B00BB1" w:rsidR="009321C6" w:rsidRPr="009F216F" w:rsidRDefault="00961C63" w:rsidP="00555D20">
          <w:pPr>
            <w:ind w:left="720"/>
          </w:pPr>
          <w:r>
            <w:t>Der/die Bewerber/in sollte über nachgewiesene Erfahrung in Fragen des Schutzes kritischer Infrastrukturen und der Resilienz sowie in der Anwendung von All-Hazard-Ansätzen verfügen und idealerweise mit den einschlägigen EU-Politiken vertraut sein. Feld- und Betriebserfahrung werden als sehr vorteilhaft angesehen. Ausgeprägte analytische Fähigkeiten sind erforderlich. Erfahrung in der Unterstützung des öffentlichen Finanzmanagements ist von großem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9EF0E57"/>
    <w:multiLevelType w:val="hybridMultilevel"/>
    <w:tmpl w:val="3590544E"/>
    <w:lvl w:ilvl="0" w:tplc="C56686AE">
      <w:numFmt w:val="bullet"/>
      <w:lvlText w:val="•"/>
      <w:lvlJc w:val="left"/>
      <w:pPr>
        <w:ind w:left="1440" w:hanging="72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6511081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57330"/>
    <w:rsid w:val="002C5752"/>
    <w:rsid w:val="002F7504"/>
    <w:rsid w:val="00324D8D"/>
    <w:rsid w:val="00341A53"/>
    <w:rsid w:val="0035094A"/>
    <w:rsid w:val="003874E2"/>
    <w:rsid w:val="0039387D"/>
    <w:rsid w:val="00394A86"/>
    <w:rsid w:val="003B2E38"/>
    <w:rsid w:val="004D75AF"/>
    <w:rsid w:val="00546DB1"/>
    <w:rsid w:val="00555D20"/>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271DD"/>
    <w:rsid w:val="008965A8"/>
    <w:rsid w:val="0089735C"/>
    <w:rsid w:val="008D52CF"/>
    <w:rsid w:val="009321C6"/>
    <w:rsid w:val="009442BE"/>
    <w:rsid w:val="00961C63"/>
    <w:rsid w:val="009F216F"/>
    <w:rsid w:val="00AB56F9"/>
    <w:rsid w:val="00AE6941"/>
    <w:rsid w:val="00B20EC6"/>
    <w:rsid w:val="00B73B91"/>
    <w:rsid w:val="00BB58D1"/>
    <w:rsid w:val="00BF6139"/>
    <w:rsid w:val="00C07259"/>
    <w:rsid w:val="00C27C81"/>
    <w:rsid w:val="00CD33B4"/>
    <w:rsid w:val="00CE479C"/>
    <w:rsid w:val="00D605F4"/>
    <w:rsid w:val="00DA711C"/>
    <w:rsid w:val="00E01792"/>
    <w:rsid w:val="00E35460"/>
    <w:rsid w:val="00E47F64"/>
    <w:rsid w:val="00EB3060"/>
    <w:rsid w:val="00EC5C6B"/>
    <w:rsid w:val="00ED6452"/>
    <w:rsid w:val="00F12BC4"/>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uiPriority="99"/>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PlainText">
    <w:name w:val="Plain Text"/>
    <w:basedOn w:val="Normal"/>
    <w:link w:val="PlainTextChar"/>
    <w:uiPriority w:val="99"/>
    <w:unhideWhenUsed/>
    <w:locked/>
    <w:rsid w:val="00BB58D1"/>
    <w:pPr>
      <w:spacing w:after="0"/>
      <w:jc w:val="left"/>
    </w:pPr>
    <w:rPr>
      <w:rFonts w:ascii="Calibri" w:eastAsiaTheme="minorHAnsi" w:hAnsi="Calibri" w:cstheme="minorBidi"/>
      <w:kern w:val="2"/>
      <w:sz w:val="22"/>
      <w:szCs w:val="21"/>
      <w:lang w:val="en-US" w:eastAsia="en-US"/>
      <w14:ligatures w14:val="standardContextual"/>
    </w:rPr>
  </w:style>
  <w:style w:type="character" w:customStyle="1" w:styleId="PlainTextChar">
    <w:name w:val="Plain Text Char"/>
    <w:basedOn w:val="DefaultParagraphFont"/>
    <w:link w:val="PlainText"/>
    <w:uiPriority w:val="99"/>
    <w:rsid w:val="00BB58D1"/>
    <w:rPr>
      <w:rFonts w:ascii="Calibri" w:eastAsiaTheme="minorHAnsi" w:hAnsi="Calibri" w:cstheme="minorBidi"/>
      <w:kern w:val="2"/>
      <w:sz w:val="22"/>
      <w:szCs w:val="21"/>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92323">
      <w:bodyDiv w:val="1"/>
      <w:marLeft w:val="0"/>
      <w:marRight w:val="0"/>
      <w:marTop w:val="0"/>
      <w:marBottom w:val="0"/>
      <w:divBdr>
        <w:top w:val="none" w:sz="0" w:space="0" w:color="auto"/>
        <w:left w:val="none" w:sz="0" w:space="0" w:color="auto"/>
        <w:bottom w:val="none" w:sz="0" w:space="0" w:color="auto"/>
        <w:right w:val="none" w:sz="0" w:space="0" w:color="auto"/>
      </w:divBdr>
    </w:div>
    <w:div w:id="337386050">
      <w:bodyDiv w:val="1"/>
      <w:marLeft w:val="0"/>
      <w:marRight w:val="0"/>
      <w:marTop w:val="0"/>
      <w:marBottom w:val="0"/>
      <w:divBdr>
        <w:top w:val="none" w:sz="0" w:space="0" w:color="auto"/>
        <w:left w:val="none" w:sz="0" w:space="0" w:color="auto"/>
        <w:bottom w:val="none" w:sz="0" w:space="0" w:color="auto"/>
        <w:right w:val="none" w:sz="0" w:space="0" w:color="auto"/>
      </w:divBdr>
    </w:div>
    <w:div w:id="1654678918">
      <w:bodyDiv w:val="1"/>
      <w:marLeft w:val="0"/>
      <w:marRight w:val="0"/>
      <w:marTop w:val="0"/>
      <w:marBottom w:val="0"/>
      <w:divBdr>
        <w:top w:val="none" w:sz="0" w:space="0" w:color="auto"/>
        <w:left w:val="none" w:sz="0" w:space="0" w:color="auto"/>
        <w:bottom w:val="none" w:sz="0" w:space="0" w:color="auto"/>
        <w:right w:val="none" w:sz="0" w:space="0" w:color="auto"/>
      </w:divBdr>
    </w:div>
    <w:div w:id="1660038932">
      <w:bodyDiv w:val="1"/>
      <w:marLeft w:val="0"/>
      <w:marRight w:val="0"/>
      <w:marTop w:val="0"/>
      <w:marBottom w:val="0"/>
      <w:divBdr>
        <w:top w:val="none" w:sz="0" w:space="0" w:color="auto"/>
        <w:left w:val="none" w:sz="0" w:space="0" w:color="auto"/>
        <w:bottom w:val="none" w:sz="0" w:space="0" w:color="auto"/>
        <w:right w:val="none" w:sz="0" w:space="0" w:color="auto"/>
      </w:divBdr>
    </w:div>
    <w:div w:id="2093501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1596C"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1596C"/>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www.w3.org/XML/1998/namespace"/>
    <ds:schemaRef ds:uri="http://schemas.microsoft.com/office/2006/documentManagement/types"/>
    <ds:schemaRef ds:uri="08927195-b699-4be0-9ee2-6c66dc215b5a"/>
    <ds:schemaRef ds:uri="http://purl.org/dc/terms/"/>
    <ds:schemaRef ds:uri="a41a97bf-0494-41d8-ba3d-259bd7771890"/>
    <ds:schemaRef ds:uri="1929b814-5a78-4bdc-9841-d8b9ef424f65"/>
    <ds:schemaRef ds:uri="http://purl.org/dc/dcmitype/"/>
    <ds:schemaRef ds:uri="http://schemas.microsoft.com/office/infopath/2007/PartnerControls"/>
    <ds:schemaRef ds:uri="http://schemas.openxmlformats.org/package/2006/metadata/core-properties"/>
    <ds:schemaRef ds:uri="http://schemas.microsoft.com/sharepoint/v3/fields"/>
    <ds:schemaRef ds:uri="http://purl.org/dc/elements/1.1/"/>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1434</Words>
  <Characters>8179</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2024-04-12T16:55:00Z</dcterms:created>
  <dcterms:modified xsi:type="dcterms:W3CDTF">2024-04-16T11:05:00Z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