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85657">
                <w:pPr>
                  <w:pStyle w:val="ZCom"/>
                </w:pPr>
                <w:sdt>
                  <w:sdtPr>
                    <w:id w:val="1852987933"/>
                    <w:dataBinding w:xpath="/Texts/OrgaRoot" w:storeItemID="{4EF90DE6-88B6-4264-9629-4D8DFDFE87D2}"/>
                    <w:text w:multiLine="1"/>
                  </w:sdtPr>
                  <w:sdtEndPr/>
                  <w:sdtContent>
                    <w:r w:rsidR="00B66926">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786241CD" w14:textId="5D04DC0A" w:rsidR="00B65513" w:rsidRPr="0007110E" w:rsidRDefault="005726CC" w:rsidP="00DF1E49">
                <w:pPr>
                  <w:tabs>
                    <w:tab w:val="left" w:pos="426"/>
                  </w:tabs>
                  <w:rPr>
                    <w:bCs/>
                  </w:rPr>
                </w:pPr>
                <w:r>
                  <w:t xml:space="preserve">TAXUD – C– </w:t>
                </w:r>
                <w:r w:rsidR="00750EF3">
                  <w:t>4</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rPr>
            </w:pPr>
            <w:r>
              <w:t xml:space="preserve">Numéro de poste dans </w:t>
            </w:r>
            <w:proofErr w:type="gramStart"/>
            <w:r>
              <w:t>sysper:</w:t>
            </w:r>
            <w:proofErr w:type="gramEnd"/>
          </w:p>
        </w:tc>
        <w:sdt>
          <w:sdtPr>
            <w:rPr>
              <w:bCs/>
            </w:rPr>
            <w:id w:val="-686597872"/>
            <w:placeholder>
              <w:docPart w:val="722A130BB2FD42CB99AF58537814D26D"/>
            </w:placeholder>
          </w:sdtPr>
          <w:sdtEndPr/>
          <w:sdtContent>
            <w:tc>
              <w:tcPr>
                <w:tcW w:w="5491" w:type="dxa"/>
              </w:tcPr>
              <w:p w14:paraId="26B6BD75" w14:textId="20C82C2F" w:rsidR="00D96984" w:rsidRPr="0007110E" w:rsidRDefault="00750EF3" w:rsidP="00DF1E49">
                <w:pPr>
                  <w:tabs>
                    <w:tab w:val="left" w:pos="426"/>
                  </w:tabs>
                  <w:rPr>
                    <w:bCs/>
                  </w:rPr>
                </w:pPr>
                <w:r>
                  <w:rPr>
                    <w:bCs/>
                  </w:rPr>
                  <w:t>443705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rPr>
            </w:pPr>
            <w:r>
              <w:t xml:space="preserve">Personne de </w:t>
            </w:r>
            <w:proofErr w:type="gramStart"/>
            <w:r>
              <w:t>contact:</w:t>
            </w:r>
            <w:proofErr w:type="gramEnd"/>
          </w:p>
          <w:p w14:paraId="48F411DD" w14:textId="77777777" w:rsidR="00DF1E49" w:rsidRPr="00501A32" w:rsidRDefault="00DF1E49" w:rsidP="00E21DBD">
            <w:pPr>
              <w:tabs>
                <w:tab w:val="left" w:pos="1697"/>
              </w:tabs>
              <w:ind w:right="-1739"/>
              <w:contextualSpacing/>
              <w:rPr>
                <w:bCs/>
                <w:szCs w:val="24"/>
                <w:lang w:eastAsia="en-GB"/>
              </w:rPr>
            </w:pPr>
          </w:p>
          <w:p w14:paraId="1BD76B84" w14:textId="2ED3769A" w:rsidR="00E21DBD" w:rsidRPr="0007110E" w:rsidRDefault="00C75BA4" w:rsidP="00E21DBD">
            <w:pPr>
              <w:tabs>
                <w:tab w:val="left" w:pos="1697"/>
              </w:tabs>
              <w:ind w:right="-1739"/>
              <w:contextualSpacing/>
              <w:rPr>
                <w:bCs/>
                <w:szCs w:val="24"/>
              </w:rPr>
            </w:pPr>
            <w:r>
              <w:t xml:space="preserve">Date de début </w:t>
            </w:r>
            <w:proofErr w:type="gramStart"/>
            <w:r>
              <w:t>prévisionnelle:</w:t>
            </w:r>
            <w:proofErr w:type="gramEnd"/>
          </w:p>
          <w:p w14:paraId="324479C0" w14:textId="6E052826" w:rsidR="00E21DBD" w:rsidRPr="0007110E" w:rsidRDefault="00C75BA4" w:rsidP="00E21DBD">
            <w:pPr>
              <w:tabs>
                <w:tab w:val="left" w:pos="1697"/>
              </w:tabs>
              <w:ind w:right="-1739"/>
              <w:contextualSpacing/>
              <w:rPr>
                <w:bCs/>
                <w:szCs w:val="24"/>
              </w:rPr>
            </w:pPr>
            <w:r>
              <w:t xml:space="preserve">Durée </w:t>
            </w:r>
            <w:proofErr w:type="gramStart"/>
            <w:r>
              <w:t>initiale:</w:t>
            </w:r>
            <w:proofErr w:type="gramEnd"/>
          </w:p>
          <w:p w14:paraId="07FF8994" w14:textId="77777777" w:rsidR="00E21DBD" w:rsidRPr="0007110E" w:rsidRDefault="00E21DBD" w:rsidP="00E21DBD">
            <w:pPr>
              <w:tabs>
                <w:tab w:val="left" w:pos="426"/>
              </w:tabs>
              <w:spacing w:after="0"/>
              <w:contextualSpacing/>
              <w:rPr>
                <w:bCs/>
              </w:rPr>
            </w:pPr>
            <w:r>
              <w:t xml:space="preserve">Lieu du </w:t>
            </w:r>
            <w:proofErr w:type="gramStart"/>
            <w:r>
              <w:t>détachement:</w:t>
            </w:r>
            <w:proofErr w:type="gramEnd"/>
          </w:p>
        </w:tc>
        <w:tc>
          <w:tcPr>
            <w:tcW w:w="5491" w:type="dxa"/>
          </w:tcPr>
          <w:sdt>
            <w:sdtPr>
              <w:rPr>
                <w:bCs/>
              </w:rPr>
              <w:id w:val="226507670"/>
              <w:placeholder>
                <w:docPart w:val="E4139A8A81AD41B0A456F71CC855670B"/>
              </w:placeholder>
            </w:sdtPr>
            <w:sdtEndPr/>
            <w:sdtContent>
              <w:p w14:paraId="714DA989" w14:textId="57200FA1" w:rsidR="00E21DBD" w:rsidRPr="00501A32" w:rsidRDefault="00750EF3" w:rsidP="00E21DBD">
                <w:pPr>
                  <w:tabs>
                    <w:tab w:val="left" w:pos="426"/>
                  </w:tabs>
                  <w:rPr>
                    <w:bCs/>
                  </w:rPr>
                </w:pPr>
                <w:r>
                  <w:t>Mariana HRISTCHEVA</w:t>
                </w:r>
              </w:p>
            </w:sdtContent>
          </w:sdt>
          <w:p w14:paraId="34CF737A" w14:textId="3B9D81C3" w:rsidR="00E21DBD" w:rsidRPr="0007110E" w:rsidRDefault="00385657" w:rsidP="00E21DBD">
            <w:pPr>
              <w:tabs>
                <w:tab w:val="left" w:pos="426"/>
              </w:tabs>
              <w:contextualSpacing/>
              <w:rPr>
                <w:bCs/>
              </w:rPr>
            </w:pPr>
            <w:sdt>
              <w:sdtPr>
                <w:rPr>
                  <w:bCs/>
                </w:rPr>
                <w:id w:val="1175461244"/>
                <w:placeholder>
                  <w:docPart w:val="DefaultPlaceholder_-1854013440"/>
                </w:placeholder>
              </w:sdtPr>
              <w:sdtEndPr/>
              <w:sdtContent>
                <w:r w:rsidR="00750EF3">
                  <w:rPr>
                    <w:bCs/>
                  </w:rPr>
                  <w:t>3</w:t>
                </w:r>
                <w:r w:rsidR="00B66926">
                  <w:rPr>
                    <w:vertAlign w:val="superscript"/>
                  </w:rPr>
                  <w:t>e</w:t>
                </w:r>
              </w:sdtContent>
            </w:sdt>
            <w:r w:rsidR="00B66926">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01A32">
                  <w:rPr>
                    <w:bCs/>
                  </w:rPr>
                  <w:t>2024</w:t>
                </w:r>
              </w:sdtContent>
            </w:sdt>
          </w:p>
          <w:p w14:paraId="158DD156" w14:textId="344C1C5C" w:rsidR="00E21DBD" w:rsidRPr="0007110E" w:rsidRDefault="00385657" w:rsidP="00994062">
            <w:pPr>
              <w:tabs>
                <w:tab w:val="left" w:pos="426"/>
              </w:tabs>
              <w:contextualSpacing/>
              <w:jc w:val="left"/>
              <w:rPr>
                <w:bCs/>
                <w:szCs w:val="24"/>
              </w:rPr>
            </w:pPr>
            <w:sdt>
              <w:sdtPr>
                <w:rPr>
                  <w:bCs/>
                </w:rPr>
                <w:id w:val="202528730"/>
                <w:placeholder>
                  <w:docPart w:val="DefaultPlaceholder_-1854013440"/>
                </w:placeholder>
              </w:sdtPr>
              <w:sdtEndPr/>
              <w:sdtContent>
                <w:r w:rsidR="00B66926">
                  <w:t>2</w:t>
                </w:r>
              </w:sdtContent>
            </w:sdt>
            <w:r w:rsidR="00B66926">
              <w:t xml:space="preserve"> ans </w:t>
            </w:r>
            <w:r w:rsidR="00B66926">
              <w:br/>
            </w:r>
            <w:sdt>
              <w:sdtPr>
                <w:rPr>
                  <w:bCs/>
                  <w:szCs w:val="24"/>
                </w:rPr>
                <w:id w:val="-69433268"/>
                <w14:checkbox>
                  <w14:checked w14:val="1"/>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Bruxelles </w:t>
            </w:r>
            <w:sdt>
              <w:sdtPr>
                <w:rPr>
                  <w:bCs/>
                  <w:szCs w:val="24"/>
                </w:rPr>
                <w:id w:val="1282158214"/>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Luxembourg </w:t>
            </w:r>
            <w:sdt>
              <w:sdtPr>
                <w:rPr>
                  <w:bCs/>
                  <w:szCs w:val="24"/>
                </w:rPr>
                <w:id w:val="-432676822"/>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w:t>
            </w:r>
            <w:proofErr w:type="gramStart"/>
            <w:r w:rsidR="00B66926">
              <w:t>Autre:</w:t>
            </w:r>
            <w:proofErr w:type="gramEnd"/>
            <w:sdt>
              <w:sdtPr>
                <w:rPr>
                  <w:bCs/>
                  <w:szCs w:val="24"/>
                </w:rPr>
                <w:id w:val="-186994276"/>
                <w:placeholder>
                  <w:docPart w:val="42CE55A0461841A39534A5E777539A67"/>
                </w:placeholder>
                <w:showingPlcHdr/>
              </w:sdtPr>
              <w:sdtEndPr/>
              <w:sdtContent>
                <w:r w:rsidR="00B66926">
                  <w:rPr>
                    <w:rStyle w:val="PlaceholderText"/>
                  </w:rPr>
                  <w:t>Cliquer ou toucher ici pour introduire le texte</w:t>
                </w:r>
              </w:sdtContent>
            </w:sdt>
          </w:p>
          <w:p w14:paraId="7CA484B0" w14:textId="77777777" w:rsidR="00E21DBD" w:rsidRPr="00501A32" w:rsidRDefault="00E21DBD" w:rsidP="00E21DBD">
            <w:pPr>
              <w:tabs>
                <w:tab w:val="left" w:pos="426"/>
              </w:tabs>
              <w:spacing w:after="0"/>
              <w:contextualSpacing/>
              <w:rPr>
                <w:bCs/>
                <w:lang w:eastAsia="en-GB"/>
              </w:rPr>
            </w:pPr>
          </w:p>
        </w:tc>
      </w:tr>
      <w:tr w:rsidR="00E21DBD" w:rsidRPr="00AF417C" w14:paraId="01F2BC57" w14:textId="77777777" w:rsidTr="0007110E">
        <w:tc>
          <w:tcPr>
            <w:tcW w:w="3111" w:type="dxa"/>
          </w:tcPr>
          <w:p w14:paraId="201A3100" w14:textId="77777777" w:rsidR="00E21DBD" w:rsidRPr="00501A32" w:rsidRDefault="00E21DBD" w:rsidP="0001660A">
            <w:pPr>
              <w:tabs>
                <w:tab w:val="left" w:pos="426"/>
              </w:tabs>
              <w:spacing w:after="0"/>
              <w:rPr>
                <w:bCs/>
                <w:lang w:eastAsia="en-GB"/>
              </w:rPr>
            </w:pPr>
          </w:p>
        </w:tc>
        <w:tc>
          <w:tcPr>
            <w:tcW w:w="5491" w:type="dxa"/>
          </w:tcPr>
          <w:p w14:paraId="6B14399A" w14:textId="08731C69" w:rsidR="00E21DBD" w:rsidRPr="0007110E" w:rsidRDefault="00385657" w:rsidP="00DF1E49">
            <w:pPr>
              <w:tabs>
                <w:tab w:val="left" w:pos="426"/>
              </w:tabs>
              <w:rPr>
                <w:bCs/>
              </w:rPr>
            </w:pPr>
            <w:sdt>
              <w:sdtPr>
                <w:rPr>
                  <w:bCs/>
                  <w:szCs w:val="24"/>
                </w:rPr>
                <w:id w:val="269588133"/>
                <w14:checkbox>
                  <w14:checked w14:val="1"/>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Avec indemnités </w:t>
            </w:r>
            <w:sdt>
              <w:sdtPr>
                <w:rPr>
                  <w:bCs/>
                  <w:szCs w:val="24"/>
                </w:rPr>
                <w:id w:val="-1683587035"/>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Sans frais</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rPr>
            </w:pPr>
            <w:r>
              <w:t xml:space="preserve">Cet avis de vacance est </w:t>
            </w:r>
            <w:proofErr w:type="gramStart"/>
            <w:r>
              <w:t>ouvert:</w:t>
            </w:r>
            <w:proofErr w:type="gramEnd"/>
          </w:p>
          <w:p w14:paraId="4446CE69" w14:textId="439EF586" w:rsidR="00E21DBD" w:rsidRPr="0007110E" w:rsidRDefault="00385657" w:rsidP="00E21DBD">
            <w:pPr>
              <w:tabs>
                <w:tab w:val="left" w:pos="426"/>
              </w:tabs>
              <w:contextualSpacing/>
              <w:rPr>
                <w:bCs/>
                <w:szCs w:val="24"/>
              </w:rPr>
            </w:pPr>
            <w:sdt>
              <w:sdtPr>
                <w:rPr>
                  <w:bCs/>
                  <w:szCs w:val="24"/>
                </w:rPr>
                <w:id w:val="-1853022140"/>
                <w14:checkbox>
                  <w14:checked w14:val="1"/>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w:t>
            </w:r>
            <w:proofErr w:type="gramStart"/>
            <w:r w:rsidR="00B66926">
              <w:t>aux</w:t>
            </w:r>
            <w:proofErr w:type="gramEnd"/>
            <w:r w:rsidR="00B66926">
              <w:t xml:space="preserve"> États membres de l’UE</w:t>
            </w:r>
          </w:p>
          <w:p w14:paraId="6CECCDB8" w14:textId="5F2E2F47" w:rsidR="00E21DBD" w:rsidRPr="0007110E" w:rsidRDefault="00385657" w:rsidP="00252050">
            <w:pPr>
              <w:tabs>
                <w:tab w:val="left" w:pos="426"/>
              </w:tabs>
              <w:rPr>
                <w:bCs/>
              </w:rPr>
            </w:pPr>
            <w:sdt>
              <w:sdtPr>
                <w:rPr>
                  <w:bCs/>
                  <w:szCs w:val="24"/>
                </w:rPr>
                <w:id w:val="2041318910"/>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w:t>
            </w:r>
            <w:proofErr w:type="gramStart"/>
            <w:r w:rsidR="00B66926">
              <w:t>aux</w:t>
            </w:r>
            <w:proofErr w:type="gramEnd"/>
            <w:r w:rsidR="00B66926">
              <w:t xml:space="preserve"> pays de l’accord en nature AELE/EEE (Islande, Liechtenstein, Norvège)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rPr>
            </w:pPr>
            <w:r>
              <w:t>Le présent avis de vacance est également ouvert</w:t>
            </w:r>
          </w:p>
          <w:p w14:paraId="6725C95D" w14:textId="162F4892" w:rsidR="00252050" w:rsidRPr="0007110E" w:rsidRDefault="00385657" w:rsidP="00252050">
            <w:pPr>
              <w:tabs>
                <w:tab w:val="left" w:pos="426"/>
              </w:tabs>
              <w:contextualSpacing/>
              <w:rPr>
                <w:bCs/>
                <w:szCs w:val="24"/>
              </w:rPr>
            </w:pPr>
            <w:sdt>
              <w:sdtPr>
                <w:rPr>
                  <w:bCs/>
                  <w:szCs w:val="24"/>
                </w:rPr>
                <w:id w:val="-68340659"/>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ab/>
            </w:r>
            <w:proofErr w:type="gramStart"/>
            <w:r w:rsidR="00B66926">
              <w:t>aux</w:t>
            </w:r>
            <w:proofErr w:type="gramEnd"/>
            <w:r w:rsidR="00B66926">
              <w:t xml:space="preserve"> pays AELE suivants:</w:t>
            </w:r>
          </w:p>
          <w:p w14:paraId="2FAAE434" w14:textId="7D8A6077" w:rsidR="00252050" w:rsidRPr="0007110E" w:rsidRDefault="00252050" w:rsidP="00252050">
            <w:pPr>
              <w:tabs>
                <w:tab w:val="left" w:pos="426"/>
              </w:tabs>
              <w:contextualSpacing/>
              <w:rPr>
                <w:bCs/>
                <w:szCs w:val="24"/>
              </w:rPr>
            </w:pPr>
            <w:r>
              <w:tab/>
            </w:r>
            <w:sdt>
              <w:sdtPr>
                <w:rPr>
                  <w:bCs/>
                  <w:szCs w:val="24"/>
                </w:rPr>
                <w:id w:val="-199040163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Islande </w:t>
            </w:r>
            <w:sdt>
              <w:sdtPr>
                <w:rPr>
                  <w:bCs/>
                  <w:szCs w:val="24"/>
                </w:rPr>
                <w:id w:val="205997048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Liechtenstein </w:t>
            </w:r>
            <w:sdt>
              <w:sdtPr>
                <w:rPr>
                  <w:bCs/>
                  <w:szCs w:val="24"/>
                </w:rPr>
                <w:id w:val="34722722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Norvège </w:t>
            </w:r>
            <w:sdt>
              <w:sdtPr>
                <w:rPr>
                  <w:bCs/>
                  <w:szCs w:val="24"/>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Suisse</w:t>
            </w:r>
          </w:p>
          <w:p w14:paraId="4A017C8D" w14:textId="43ED7FC1" w:rsidR="00252050" w:rsidRPr="0007110E" w:rsidRDefault="00385657" w:rsidP="00252050">
            <w:pPr>
              <w:tabs>
                <w:tab w:val="left" w:pos="426"/>
              </w:tabs>
              <w:contextualSpacing/>
              <w:rPr>
                <w:bCs/>
                <w:szCs w:val="24"/>
              </w:rPr>
            </w:pPr>
            <w:sdt>
              <w:sdtPr>
                <w:rPr>
                  <w:bCs/>
                  <w:szCs w:val="24"/>
                </w:rPr>
                <w:id w:val="1754392874"/>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ab/>
            </w:r>
            <w:proofErr w:type="gramStart"/>
            <w:r w:rsidR="00B66926">
              <w:t>aux</w:t>
            </w:r>
            <w:proofErr w:type="gramEnd"/>
            <w:r w:rsidR="00B66926">
              <w:t xml:space="preserve"> pays tiers suivants:</w:t>
            </w:r>
            <w:sdt>
              <w:sdtPr>
                <w:rPr>
                  <w:bCs/>
                  <w:szCs w:val="24"/>
                </w:rPr>
                <w:id w:val="-729996552"/>
                <w:placeholder>
                  <w:docPart w:val="2CBB2A0B72674470B30B3225F78306DD"/>
                </w:placeholder>
                <w:showingPlcHdr/>
              </w:sdtPr>
              <w:sdtEndPr/>
              <w:sdtContent>
                <w:r w:rsidR="00B66926">
                  <w:rPr>
                    <w:rStyle w:val="PlaceholderText"/>
                  </w:rPr>
                  <w:t xml:space="preserve"> </w:t>
                </w:r>
              </w:sdtContent>
            </w:sdt>
          </w:p>
          <w:p w14:paraId="4E259603" w14:textId="6D59B3FF" w:rsidR="008D02B7" w:rsidRPr="0007110E" w:rsidRDefault="00385657" w:rsidP="008D02B7">
            <w:pPr>
              <w:tabs>
                <w:tab w:val="left" w:pos="426"/>
              </w:tabs>
              <w:rPr>
                <w:bCs/>
                <w:szCs w:val="24"/>
              </w:rPr>
            </w:pPr>
            <w:sdt>
              <w:sdtPr>
                <w:rPr>
                  <w:bCs/>
                  <w:szCs w:val="24"/>
                </w:rPr>
                <w:id w:val="127444912"/>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ab/>
            </w:r>
            <w:proofErr w:type="gramStart"/>
            <w:r w:rsidR="00B66926">
              <w:t>aux</w:t>
            </w:r>
            <w:proofErr w:type="gramEnd"/>
            <w:r w:rsidR="00B66926">
              <w:t xml:space="preserve"> organisations intergouvernementales suivantes:</w:t>
            </w:r>
            <w:r w:rsidR="00B66926">
              <w:tab/>
            </w:r>
            <w:sdt>
              <w:sdtPr>
                <w:rPr>
                  <w:bCs/>
                  <w:szCs w:val="24"/>
                </w:rPr>
                <w:id w:val="-1659766257"/>
                <w:placeholder>
                  <w:docPart w:val="D6B275DB24F84EFBB866B5C9055058FF"/>
                </w:placeholder>
                <w:showingPlcHdr/>
              </w:sdtPr>
              <w:sdtEndPr/>
              <w:sdtContent>
                <w:r w:rsidR="00B66926">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rPr>
            </w:pPr>
            <w:r>
              <w:t>Date limite de dépôt des candidatures</w:t>
            </w:r>
          </w:p>
        </w:tc>
        <w:tc>
          <w:tcPr>
            <w:tcW w:w="5491" w:type="dxa"/>
          </w:tcPr>
          <w:p w14:paraId="42C9AD79" w14:textId="31E85E09" w:rsidR="00DF1E49" w:rsidRPr="0007110E" w:rsidRDefault="00385657" w:rsidP="008D43AB">
            <w:pPr>
              <w:tabs>
                <w:tab w:val="left" w:pos="426"/>
              </w:tabs>
              <w:rPr>
                <w:bCs/>
              </w:rPr>
            </w:pPr>
            <w:sdt>
              <w:sdtPr>
                <w:rPr>
                  <w:bCs/>
                  <w:szCs w:val="24"/>
                </w:rPr>
                <w:id w:val="-1076366056"/>
                <w14:checkbox>
                  <w14:checked w14:val="0"/>
                  <w14:checkedState w14:val="2612" w14:font="MS Gothic"/>
                  <w14:uncheckedState w14:val="2610" w14:font="MS Gothic"/>
                </w14:checkbox>
              </w:sdtPr>
              <w:sdtEndPr/>
              <w:sdtContent>
                <w:r w:rsidR="00750EF3">
                  <w:rPr>
                    <w:rFonts w:ascii="MS Gothic" w:eastAsia="MS Gothic" w:hAnsi="MS Gothic" w:hint="eastAsia"/>
                    <w:bCs/>
                    <w:szCs w:val="24"/>
                  </w:rPr>
                  <w:t>☐</w:t>
                </w:r>
              </w:sdtContent>
            </w:sdt>
            <w:r w:rsidR="00B66926">
              <w:t xml:space="preserve"> 2 mois     </w:t>
            </w:r>
            <w:sdt>
              <w:sdtPr>
                <w:rPr>
                  <w:bCs/>
                  <w:szCs w:val="24"/>
                </w:rPr>
                <w:id w:val="-1934659806"/>
                <w14:checkbox>
                  <w14:checked w14:val="1"/>
                  <w14:checkedState w14:val="2612" w14:font="MS Gothic"/>
                  <w14:uncheckedState w14:val="2610" w14:font="MS Gothic"/>
                </w14:checkbox>
              </w:sdtPr>
              <w:sdtEndPr/>
              <w:sdtContent>
                <w:r w:rsidR="00750EF3">
                  <w:rPr>
                    <w:rFonts w:ascii="MS Gothic" w:eastAsia="MS Gothic" w:hAnsi="MS Gothic" w:hint="eastAsia"/>
                    <w:bCs/>
                    <w:szCs w:val="24"/>
                  </w:rPr>
                  <w:t>☒</w:t>
                </w:r>
              </w:sdtContent>
            </w:sdt>
            <w:r w:rsidR="00B66926">
              <w:t xml:space="preserve"> 1 mois</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rPr>
      </w:pPr>
      <w:bookmarkStart w:id="1" w:name="_Hlk132129090"/>
      <w:r>
        <w:rPr>
          <w:b/>
        </w:rPr>
        <w:t>Présentation de l’entité (Nous sommes)</w:t>
      </w:r>
    </w:p>
    <w:sdt>
      <w:sdtPr>
        <w:id w:val="1822233941"/>
        <w:placeholder>
          <w:docPart w:val="A1D7C4E93E5D41968C9784C962AACA55"/>
        </w:placeholder>
      </w:sdtPr>
      <w:sdtEndPr/>
      <w:sdtContent>
        <w:p w14:paraId="223C0265" w14:textId="77777777" w:rsidR="00C62E3D" w:rsidRPr="00914398" w:rsidRDefault="00C62E3D" w:rsidP="00C62E3D">
          <w:pPr>
            <w:rPr>
              <w:szCs w:val="24"/>
              <w:lang w:eastAsia="en-US"/>
            </w:rPr>
          </w:pPr>
          <w:r w:rsidRPr="00914398">
            <w:rPr>
              <w:szCs w:val="24"/>
              <w:lang w:eastAsia="en-US"/>
            </w:rPr>
            <w:t xml:space="preserve">La direction générale de la fiscalité et de l’union douanière (DG TAXUD) a pour mission de promouvoir des politiques équitables et durables qui génèrent des recettes pour l’UE et ses États membres et de veiller à ce que les citoyens et les entreprises de l’UE bénéficient du commerce mondial et d’un marché unique sûr et sécurisé, protégé à ses frontières. </w:t>
          </w:r>
        </w:p>
        <w:p w14:paraId="0A365CFD" w14:textId="7334B2B5" w:rsidR="003F366F" w:rsidRPr="003F366F" w:rsidRDefault="00C62E3D" w:rsidP="00C62E3D">
          <w:r w:rsidRPr="00914398">
            <w:rPr>
              <w:szCs w:val="24"/>
              <w:lang w:eastAsia="en-US"/>
            </w:rPr>
            <w:t>Au sein de la DG TAXUD, la direction C élabore une politique globale dans le domaine de la fiscalité indirecte, y compris la fiscalité du secteur financier ainsi que la fiscalité environnementale, des transports et de l’énergie, la TVA, les droits d’accises et l’administration fiscale. Elle est également chargée d’élaborer et de mettre en œuvre le mécanisme d’ajustement carbone aux frontières et les initiatives fiscales prévues dans le pacte vert pour l’Europe.</w:t>
          </w:r>
        </w:p>
        <w:p w14:paraId="59DD0438" w14:textId="7CB56166" w:rsidR="00E21DBD" w:rsidRDefault="00454803" w:rsidP="00C504C7">
          <w:r w:rsidRPr="00454803">
            <w:lastRenderedPageBreak/>
            <w:t>L’unité TAXUD.C.4</w:t>
          </w:r>
          <w:proofErr w:type="gramStart"/>
          <w:r w:rsidRPr="00454803">
            <w:t xml:space="preserve"> «Coopération</w:t>
          </w:r>
          <w:proofErr w:type="gramEnd"/>
          <w:r w:rsidRPr="00454803">
            <w:t xml:space="preserve"> administrative en TVA et questions juridiques» est chargée du cadre législatif et de l’environnement nécessaires au niveau de l’UE pour favoriser la coopération administrative en matière de TVA et l’assistance mutuelle entre les États membres dans l’intérêt du bon fonctionnement du marché intérieur et de la lutte contre la fraude fiscale en particulier. Il s'agit d'apporter un soutien aux administrations fiscales des États membres afin de leur permettre de remplir leur rôle au sein du marché intérieur en facilitant l’assistance et le partage des meilleures pratiques. </w:t>
          </w:r>
          <w:r w:rsidR="0085767F">
            <w:t>Il s’agit</w:t>
          </w:r>
          <w:r w:rsidRPr="00454803">
            <w:t xml:space="preserve"> dans le domaine décrit ci-dessus, </w:t>
          </w:r>
          <w:r w:rsidR="0085767F">
            <w:t>de</w:t>
          </w:r>
          <w:r w:rsidRPr="00454803">
            <w:t xml:space="preserve"> la gestion des procédures d’infraction et des litiges devant la Cour de justice, y compris les renvois préjudiciels, </w:t>
          </w:r>
          <w:r w:rsidR="00512B65">
            <w:t xml:space="preserve">de </w:t>
          </w:r>
          <w:r w:rsidRPr="00454803">
            <w:t xml:space="preserve">la gestion des plaintes ainsi que des pétitions soumises au Parlement européen, y compris la préparation des réponses aux questions parlementaires et aux lettres des citoyens et opérateurs européens et des avis sur les affaires d’aides </w:t>
          </w:r>
          <w:proofErr w:type="gramStart"/>
          <w:r w:rsidRPr="00454803">
            <w:t>d’État.</w:t>
          </w:r>
          <w:r w:rsidR="003F366F">
            <w:t>.</w:t>
          </w:r>
          <w:proofErr w:type="gramEnd"/>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rPr>
      </w:pPr>
      <w:r>
        <w:rPr>
          <w:b/>
        </w:rPr>
        <w:t>Présentation du poste (Nous proposons)</w:t>
      </w:r>
    </w:p>
    <w:sdt>
      <w:sdtPr>
        <w:id w:val="-723136291"/>
        <w:placeholder>
          <w:docPart w:val="84FB87486BC94E5EB76E972E1BD8265B"/>
        </w:placeholder>
      </w:sdtPr>
      <w:sdtEndPr/>
      <w:sdtContent>
        <w:p w14:paraId="237F5AFF" w14:textId="2459D45C" w:rsidR="0095194B" w:rsidRDefault="0095194B" w:rsidP="0095194B">
          <w:r>
            <w:t>Élaborer la législation et la politique de l’UE dans le domaine de la coopération administrative, de l’assistance mutuelle et de la lutte contre la fraude dans le domaine de la taxe sur la valeur ajoutée (TVA) et soutenir les travaux de tous les secteurs de l’unité TAXUD C4</w:t>
          </w:r>
          <w:proofErr w:type="gramStart"/>
          <w:r>
            <w:t xml:space="preserve"> «Coopération</w:t>
          </w:r>
          <w:proofErr w:type="gramEnd"/>
          <w:r>
            <w:t xml:space="preserve"> administrative en de TVA et questions juridiques». </w:t>
          </w:r>
        </w:p>
        <w:p w14:paraId="67D2AF4B" w14:textId="77777777" w:rsidR="0095194B" w:rsidRDefault="0095194B" w:rsidP="0095194B">
          <w:r>
            <w:t xml:space="preserve">Préparer des projets de documents de travail, des notes d’information, de discours et autres documents, notamment à l’intention des groupes de travail, des comités, etc. Analyser les options stratégiques pertinentes, assurer le suivi de la mise en œuvre et de l’application de la législation de l’UE. Répondre aux questions des opérateurs, des administrations nationales et des services de la Commission sur l’interprétation de la législation existante de l’UE.  </w:t>
          </w:r>
        </w:p>
        <w:p w14:paraId="46EE3E07" w14:textId="570F7529" w:rsidR="00E21DBD" w:rsidRPr="00AF7D78" w:rsidRDefault="0095194B" w:rsidP="0095194B">
          <w:r>
            <w:t>Le poste implique des contacts permanents avec d’autres services de la Commission, d’autres institutions de l’UE et des États membres, ainsi qu’avec des groupes d’entreprises, des universitaires et d’autres parties intéressées.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rPr>
      </w:pPr>
      <w:r>
        <w:rPr>
          <w:b/>
        </w:rPr>
        <w:t>Profil du titulaire (Nous recherchons)</w:t>
      </w:r>
    </w:p>
    <w:sdt>
      <w:sdtPr>
        <w:id w:val="-209197804"/>
        <w:placeholder>
          <w:docPart w:val="D53C757808094631B3D30FCCF370CC97"/>
        </w:placeholder>
      </w:sdtPr>
      <w:sdtEndPr/>
      <w:sdtContent>
        <w:p w14:paraId="5B777E0C" w14:textId="77777777" w:rsidR="00FF058B" w:rsidRDefault="00FF058B" w:rsidP="00FF058B">
          <w:r>
            <w:t xml:space="preserve">Un minimum de 5 ans d’expérience professionnelle, dont 3 ans d’expérience professionnelle dans le domaine de la taxe sur la valeur ajoutée (TVA) et une solide expérience juridique ou de l’administration publique. Une expérience de la coopération internationale et des politiques antifraude serait un avantage. La compréhension de l’assistance mutuelle en matière de TVA avec les pays tiers ou le recouvrement des dettes fiscales sera un atout. Une connaissance des procédures douanières ou de la coopération internationale en matière pénale serait également un atout. </w:t>
          </w:r>
        </w:p>
        <w:p w14:paraId="122B72B8" w14:textId="77777777" w:rsidR="00FF058B" w:rsidRDefault="00FF058B" w:rsidP="00FF058B">
          <w:r>
            <w:t xml:space="preserve">Une expérience antérieure dans la rédaction de textes législatifs, de consultations ou de documents stratégiques, d’études et de rapports. </w:t>
          </w:r>
        </w:p>
        <w:p w14:paraId="27DCC6F3" w14:textId="77777777" w:rsidR="00FF058B" w:rsidRDefault="00FF058B" w:rsidP="00FF058B">
          <w:r>
            <w:t xml:space="preserve">Une expérience de l’évaluation des politiques et des analyses d’impact. Une expérience dans la gestion de contractants externes est un atout. </w:t>
          </w:r>
        </w:p>
        <w:p w14:paraId="5BC92467" w14:textId="77777777" w:rsidR="00FF058B" w:rsidRDefault="00FF058B" w:rsidP="00FF058B">
          <w:r>
            <w:t xml:space="preserve">De bonnes capacités analytiques et rédactionnelles sont requises. </w:t>
          </w:r>
        </w:p>
        <w:p w14:paraId="4E86723D" w14:textId="77777777" w:rsidR="00FF058B" w:rsidRDefault="00FF058B" w:rsidP="00FF058B">
          <w:r>
            <w:lastRenderedPageBreak/>
            <w:t xml:space="preserve">La capacité à gérer des informations complexes, à les présenter de manière synthétique et à proposer des solutions est un atout.  </w:t>
          </w:r>
        </w:p>
        <w:p w14:paraId="51994EDB" w14:textId="16D95A71" w:rsidR="002E40A9" w:rsidRPr="00AF7D78" w:rsidRDefault="00FF058B" w:rsidP="00FF058B">
          <w:r>
            <w:t>Une connaissance professionnelle de l’anglais et une connaissance satisfaisante d’une autre langue de l’UE</w:t>
          </w:r>
          <w:r w:rsidR="009A0590">
            <w:t>.</w:t>
          </w:r>
        </w:p>
      </w:sdtContent>
    </w:sdt>
    <w:bookmarkEnd w:id="1"/>
    <w:p w14:paraId="4A6D5708" w14:textId="77777777" w:rsidR="00E21DBD" w:rsidRPr="00501A32" w:rsidRDefault="00E21DBD" w:rsidP="00E21DBD">
      <w:pPr>
        <w:spacing w:after="0"/>
        <w:rPr>
          <w:lang w:eastAsia="en-GB"/>
        </w:rPr>
      </w:pPr>
    </w:p>
    <w:p w14:paraId="5FB0AB31" w14:textId="77777777" w:rsidR="00E21DBD" w:rsidRPr="00501A32"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d'admissibilité</w:t>
      </w:r>
    </w:p>
    <w:p w14:paraId="4351CD9B" w14:textId="329965A0" w:rsidR="00E21DBD" w:rsidRPr="00F67B35" w:rsidRDefault="00E21DBD" w:rsidP="00252050">
      <w:pPr>
        <w:keepNext/>
        <w:rPr>
          <w:szCs w:val="24"/>
        </w:rPr>
      </w:pPr>
      <w:r>
        <w:t xml:space="preserve">Les détachements sont régis par la </w:t>
      </w:r>
      <w:r>
        <w:rPr>
          <w:b/>
        </w:rPr>
        <w:t xml:space="preserve">décision </w:t>
      </w:r>
      <w:proofErr w:type="gramStart"/>
      <w:r>
        <w:rPr>
          <w:b/>
        </w:rPr>
        <w:t>C(</w:t>
      </w:r>
      <w:proofErr w:type="gramEnd"/>
      <w:r>
        <w:rPr>
          <w:b/>
        </w:rPr>
        <w:t xml:space="preserve">2008) 6866 de la Commission </w:t>
      </w:r>
      <w:r>
        <w:t>du 12 novembre 2008 relative au régime applicable aux experts nationaux détachés et aux experts nationaux en formation professionnelle auprès des services de la Commission (décision END).</w:t>
      </w:r>
    </w:p>
    <w:p w14:paraId="34498A87" w14:textId="698A8804" w:rsidR="00E21DBD" w:rsidRPr="00F67B35" w:rsidRDefault="00E21DBD" w:rsidP="009A2F00">
      <w:r>
        <w:t xml:space="preserve">Aux termes de la décision END, un expert national doit remplir les critères d’admission suivants à la </w:t>
      </w:r>
      <w:r>
        <w:rPr>
          <w:b/>
        </w:rPr>
        <w:t>date de début</w:t>
      </w:r>
      <w:r>
        <w:t xml:space="preserve"> du </w:t>
      </w:r>
      <w:proofErr w:type="gramStart"/>
      <w:r>
        <w:t>détachement:</w:t>
      </w:r>
      <w:proofErr w:type="gramEnd"/>
    </w:p>
    <w:p w14:paraId="2A82F38A" w14:textId="4F2D910B" w:rsidR="00E21DBD" w:rsidRPr="00902D72" w:rsidRDefault="00E21DBD" w:rsidP="009A2F00">
      <w:r>
        <w:rPr>
          <w:u w:val="single"/>
        </w:rPr>
        <w:t xml:space="preserve">Expérience </w:t>
      </w:r>
      <w:proofErr w:type="gramStart"/>
      <w:r>
        <w:rPr>
          <w:u w:val="single"/>
        </w:rPr>
        <w:t>professionnelle</w:t>
      </w:r>
      <w:r>
        <w:t>:</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3ECFABD5" w:rsidR="00E21DBD" w:rsidRPr="00902D72" w:rsidRDefault="00E21DBD" w:rsidP="009A2F00">
      <w:proofErr w:type="gramStart"/>
      <w:r>
        <w:rPr>
          <w:u w:val="single"/>
        </w:rPr>
        <w:t>Ancienneté</w:t>
      </w:r>
      <w:r>
        <w:t>:</w:t>
      </w:r>
      <w:proofErr w:type="gramEnd"/>
      <w:r>
        <w:t xml:space="preserve"> avoir travaillé pendant au moins une année complète (12 mois) auprès de l’employeur actuel dans un cadre statutaire ou contractuel.</w:t>
      </w:r>
    </w:p>
    <w:p w14:paraId="52986B8D" w14:textId="222244E4" w:rsidR="00E21DBD" w:rsidRPr="00AF417C" w:rsidRDefault="00E21DBD" w:rsidP="009A2F00">
      <w:proofErr w:type="gramStart"/>
      <w:r>
        <w:rPr>
          <w:u w:val="single"/>
        </w:rPr>
        <w:t>Employeur</w:t>
      </w:r>
      <w:r>
        <w:t>:</w:t>
      </w:r>
      <w:proofErr w:type="gramEnd"/>
      <w:r>
        <w:t xml:space="preserve"> être une administration nationale, régionale ou locale ou une organisation publique intergouvernementale (OIG); à titre exceptionnel et à la suite d’une dérogation spécifique, la Commission peut accepter des demandes lorsque l’employeur est un organisme du secteur public (par exemple, une agence ou un institut de régulation), une université ou un institut de recherche indépendant.</w:t>
      </w:r>
    </w:p>
    <w:p w14:paraId="36ECEE24" w14:textId="4A755959" w:rsidR="00E21DBD" w:rsidRPr="00902D72" w:rsidRDefault="00E21DBD" w:rsidP="009A2F00">
      <w:r>
        <w:rPr>
          <w:u w:val="single"/>
        </w:rPr>
        <w:t xml:space="preserve">Compétences </w:t>
      </w:r>
      <w:proofErr w:type="gramStart"/>
      <w:r>
        <w:rPr>
          <w:u w:val="single"/>
        </w:rPr>
        <w:t>linguistiques</w:t>
      </w:r>
      <w:r>
        <w:t>:</w:t>
      </w:r>
      <w:proofErr w:type="gramEnd"/>
      <w:r>
        <w:t xml:space="preserve"> avoir une connaissance approfondie d’une des langues de l’Union européenne et une connaissance satisfaisante d’une autre langue de l’Union, dans la mesure nécessaire aux fonctions qu'il ou elle est appelé(e) à exercer. L’expert national d’un pays tiers doit justifier posséder une connaissance approfondie de la langue de l’Union nécessaire à l’accomplissement des tâches qui lui seront confiées.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relatives au détachement</w:t>
      </w:r>
    </w:p>
    <w:p w14:paraId="42ECB69D" w14:textId="5510B04C" w:rsidR="00E21DBD" w:rsidRPr="00F67B35" w:rsidRDefault="00D96984" w:rsidP="00252050">
      <w:pPr>
        <w:keepNext/>
      </w:pPr>
      <w:r>
        <w:t xml:space="preserve">Pendant toute la durée du détachement, l’expert national doit rester employé et rémunéré par son employeur et être couvert par son système de sécurité sociale (national). </w:t>
      </w:r>
    </w:p>
    <w:p w14:paraId="0A5C5740" w14:textId="3DC938F2" w:rsidR="009A2F00" w:rsidRDefault="00092BCA" w:rsidP="009A2F00">
      <w:r>
        <w:t>Il exerce ses fonctions au sein de la Commission dans les conditions prévues par la décision END susmentionnée et est soumis aux règles de confidentialité, de loyauté et d’absence de conflit d’intérêts qui y sont définies.</w:t>
      </w:r>
    </w:p>
    <w:p w14:paraId="345CD839" w14:textId="413EE466" w:rsidR="009A2F00" w:rsidRDefault="000A4668" w:rsidP="009A2F00">
      <w:r>
        <w:t xml:space="preserve">Des indemnités ne peuvent être accordées que si l’expert national remplit les conditions prévues à l’article 17 de la décision END. </w:t>
      </w:r>
    </w:p>
    <w:p w14:paraId="58EAEF9C" w14:textId="7CC176F8" w:rsidR="00E21DBD" w:rsidRPr="009A2F00" w:rsidRDefault="009A2F00" w:rsidP="009A2F00">
      <w:r>
        <w:t xml:space="preserve">Toute personne en poste dans une délégation de l’Union européenne doit avoir une habilitation de sécurité [jusqu’au niveau SECRET UE/EU SECRET conformément à la </w:t>
      </w:r>
      <w:hyperlink r:id="rId12" w:history="1">
        <w:r>
          <w:rPr>
            <w:rStyle w:val="Hyperlink"/>
          </w:rPr>
          <w:t>décision (UE, Euratom) 2015/444 de la Commission du 13 mars 2015</w:t>
        </w:r>
      </w:hyperlink>
      <w:r>
        <w:t xml:space="preserve">]. Le ou la </w:t>
      </w:r>
      <w:r>
        <w:lastRenderedPageBreak/>
        <w:t>candidat(e) choisi(e) aura l’obligation de lancer cette procédure d’habilitation de sécurité avant d’obtenir la confirmation de son détachement.</w:t>
      </w:r>
    </w:p>
    <w:p w14:paraId="47F718AD" w14:textId="77777777" w:rsidR="00E21DBD" w:rsidRPr="00501A32"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2F28585" w14:textId="77777777" w:rsidR="00E21DBD" w:rsidRPr="00F67B35" w:rsidRDefault="00E21DBD" w:rsidP="00252050">
      <w:pPr>
        <w:keepNext/>
        <w:rPr>
          <w:b/>
        </w:rPr>
      </w:pPr>
      <w:r>
        <w:t xml:space="preserve">Les candidats doivent envoyer leur candidature au </w:t>
      </w:r>
      <w:r>
        <w:rPr>
          <w:b/>
        </w:rPr>
        <w:t>format CV Europass</w:t>
      </w:r>
      <w:r>
        <w:t xml:space="preserve"> (</w:t>
      </w:r>
      <w:hyperlink r:id="rId13" w:history="1">
        <w:hyperlink r:id="rId14" w:history="1">
          <w:r>
            <w:rPr>
              <w:rStyle w:val="Hyperlink"/>
            </w:rPr>
            <w:t>Créer votre CV Europass | Europass</w:t>
          </w:r>
        </w:hyperlink>
      </w:hyperlink>
      <w:r>
        <w:t xml:space="preserve">) en anglais, en français ou en allemand </w:t>
      </w:r>
      <w:r>
        <w:rPr>
          <w:b/>
          <w:u w:val="single"/>
        </w:rPr>
        <w:t>uniquement à la représentation permanente/mission diplomatique de leur pays auprès de l’UE</w:t>
      </w:r>
      <w:r>
        <w:t>, qui la transmettra aux services compétents de la Commission, dans les délais fixés par ces derniers.</w:t>
      </w:r>
      <w:r>
        <w:rPr>
          <w:b/>
        </w:rPr>
        <w:t xml:space="preserve"> </w:t>
      </w:r>
      <w:r>
        <w:t>Le CV doit obligatoirement mentionner la date de naissance et la nationalité du candidat ou de la candidat(e).</w:t>
      </w:r>
      <w:r>
        <w:rPr>
          <w:b/>
        </w:rPr>
        <w:t xml:space="preserve"> </w:t>
      </w:r>
    </w:p>
    <w:p w14:paraId="5D1B7045" w14:textId="64E896F7" w:rsidR="00E21DBD" w:rsidRPr="00F67B35" w:rsidRDefault="00E21DBD" w:rsidP="009A2F00">
      <w:r>
        <w:t>Les candidats sont priés de ne pas joindre à leur candidature d’autres documents (tels que copie de carte d’identité, copie des diplômes et attestations d’expérience professionnelle, etc.). Si nécessaire, ces documents leur seront demandés à un stade ultérieur de la procédure de sélection.</w:t>
      </w:r>
    </w:p>
    <w:p w14:paraId="00AF0134" w14:textId="77777777" w:rsidR="00E21DBD" w:rsidRPr="00501A32"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47F58C7" w14:textId="6370C379" w:rsidR="00C75BA4" w:rsidRDefault="00C75BA4" w:rsidP="00252050">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et à la sécurité de ces données. </w:t>
      </w:r>
      <w:bookmarkStart w:id="2" w:name="_Hlk132131276"/>
      <w:r>
        <w:t>Avant de postuler, veuillez lire la déclaration de confidentialité ci-jointe.</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A61A3"/>
    <w:rsid w:val="002109E6"/>
    <w:rsid w:val="00233039"/>
    <w:rsid w:val="00252050"/>
    <w:rsid w:val="002B3CBF"/>
    <w:rsid w:val="002E40A9"/>
    <w:rsid w:val="00355D95"/>
    <w:rsid w:val="00385657"/>
    <w:rsid w:val="003E50A4"/>
    <w:rsid w:val="003F366F"/>
    <w:rsid w:val="004142E7"/>
    <w:rsid w:val="00431B07"/>
    <w:rsid w:val="00454803"/>
    <w:rsid w:val="004D4CF2"/>
    <w:rsid w:val="00501500"/>
    <w:rsid w:val="00501A32"/>
    <w:rsid w:val="00512B65"/>
    <w:rsid w:val="005168AD"/>
    <w:rsid w:val="00522DDA"/>
    <w:rsid w:val="0054692C"/>
    <w:rsid w:val="005726CC"/>
    <w:rsid w:val="0058240F"/>
    <w:rsid w:val="005D1B85"/>
    <w:rsid w:val="00641A5F"/>
    <w:rsid w:val="00644CF3"/>
    <w:rsid w:val="00750EF3"/>
    <w:rsid w:val="00754E1F"/>
    <w:rsid w:val="007E531E"/>
    <w:rsid w:val="007F7012"/>
    <w:rsid w:val="00800E15"/>
    <w:rsid w:val="00832ABC"/>
    <w:rsid w:val="0085767F"/>
    <w:rsid w:val="008D02B7"/>
    <w:rsid w:val="0095194B"/>
    <w:rsid w:val="00994062"/>
    <w:rsid w:val="00996CC6"/>
    <w:rsid w:val="009A0590"/>
    <w:rsid w:val="009A2F00"/>
    <w:rsid w:val="009C5E27"/>
    <w:rsid w:val="00A033AD"/>
    <w:rsid w:val="00AB2CEA"/>
    <w:rsid w:val="00AE38E9"/>
    <w:rsid w:val="00AE3CA8"/>
    <w:rsid w:val="00AF6424"/>
    <w:rsid w:val="00B24728"/>
    <w:rsid w:val="00B24CC5"/>
    <w:rsid w:val="00B65513"/>
    <w:rsid w:val="00B65625"/>
    <w:rsid w:val="00B66926"/>
    <w:rsid w:val="00C06724"/>
    <w:rsid w:val="00C504C7"/>
    <w:rsid w:val="00C62E3D"/>
    <w:rsid w:val="00C75BA4"/>
    <w:rsid w:val="00CB5B61"/>
    <w:rsid w:val="00CE5F06"/>
    <w:rsid w:val="00D96984"/>
    <w:rsid w:val="00DA4CB1"/>
    <w:rsid w:val="00DD41ED"/>
    <w:rsid w:val="00DF1E49"/>
    <w:rsid w:val="00E21DBD"/>
    <w:rsid w:val="00E342CB"/>
    <w:rsid w:val="00E44D7F"/>
    <w:rsid w:val="00F4683D"/>
    <w:rsid w:val="00F6462F"/>
    <w:rsid w:val="00FC5DB0"/>
    <w:rsid w:val="00FD740F"/>
    <w:rsid w:val="00FF05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414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2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FR/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fr/create-your-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37BFF" w:rsidRDefault="006212B2" w:rsidP="006212B2">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37BFF"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37BFF" w:rsidRDefault="006212B2" w:rsidP="006212B2">
          <w:pPr>
            <w:pStyle w:val="D53C757808094631B3D30FCCF370CC9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A4626A7"/>
    <w:multiLevelType w:val="multilevel"/>
    <w:tmpl w:val="050047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5199704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D374C1"/>
    <w:rsid w:val="00D37BF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1485</Words>
  <Characters>7564</Characters>
  <Application>Microsoft Office Word</Application>
  <DocSecurity>4</DocSecurity>
  <PresentationFormat>Microsoft Word 14.0</PresentationFormat>
  <Lines>216</Lines>
  <Paragraphs>48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HRISTCHEVA Mariana (TAXUD)</cp:lastModifiedBy>
  <cp:revision>2</cp:revision>
  <cp:lastPrinted>2023-04-05T10:36:00Z</cp:lastPrinted>
  <dcterms:created xsi:type="dcterms:W3CDTF">2024-03-11T12:01:00Z</dcterms:created>
  <dcterms:modified xsi:type="dcterms:W3CDTF">2024-03-11T12:01:00Z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