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3161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3161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3161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3161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3161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3161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00C4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FA429BC3C24E418F9469C371B831F9AC"/>
                </w:placeholder>
              </w:sdtPr>
              <w:sdtEndPr>
                <w:rPr>
                  <w:lang w:val="fr-FR" w:eastAsia="en-IE"/>
                </w:rPr>
              </w:sdtEndPr>
              <w:sdtContent>
                <w:tc>
                  <w:tcPr>
                    <w:tcW w:w="5491" w:type="dxa"/>
                  </w:tcPr>
                  <w:p w14:paraId="2AA4F572" w14:textId="3A44F3E7" w:rsidR="00377580" w:rsidRPr="00080A71" w:rsidRDefault="00700C4B" w:rsidP="005F6927">
                    <w:pPr>
                      <w:tabs>
                        <w:tab w:val="left" w:pos="426"/>
                      </w:tabs>
                      <w:rPr>
                        <w:bCs/>
                        <w:lang w:val="en-IE" w:eastAsia="en-GB"/>
                      </w:rPr>
                    </w:pPr>
                    <w:r>
                      <w:t>ENV-B-1</w:t>
                    </w:r>
                  </w:p>
                </w:tc>
              </w:sdtContent>
            </w:sdt>
          </w:sdtContent>
        </w:sdt>
      </w:tr>
      <w:tr w:rsidR="00377580" w:rsidRPr="00700C4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920943217"/>
                <w:placeholder>
                  <w:docPart w:val="D0DF47E2218F4E16AC617FFF061BA334"/>
                </w:placeholder>
              </w:sdtPr>
              <w:sdtEndPr>
                <w:rPr>
                  <w:lang w:val="fr-FR" w:eastAsia="en-IE"/>
                </w:rPr>
              </w:sdtEndPr>
              <w:sdtContent>
                <w:tc>
                  <w:tcPr>
                    <w:tcW w:w="5491" w:type="dxa"/>
                  </w:tcPr>
                  <w:p w14:paraId="51C87C16" w14:textId="0F678AC8" w:rsidR="00377580" w:rsidRPr="00080A71" w:rsidRDefault="00700C4B" w:rsidP="005F6927">
                    <w:pPr>
                      <w:tabs>
                        <w:tab w:val="left" w:pos="426"/>
                      </w:tabs>
                      <w:rPr>
                        <w:bCs/>
                        <w:lang w:val="en-IE" w:eastAsia="en-GB"/>
                      </w:rPr>
                    </w:pPr>
                    <w:r>
                      <w:t>14995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rPr>
                  <w:id w:val="979879401"/>
                  <w:placeholder>
                    <w:docPart w:val="E4DCCFFB709749B598566FF718B487AA"/>
                  </w:placeholder>
                </w:sdtPr>
                <w:sdtEndPr/>
                <w:sdtContent>
                  <w:p w14:paraId="369CA7C8" w14:textId="0E69D99C" w:rsidR="00377580" w:rsidRPr="00700C4B" w:rsidRDefault="00700C4B" w:rsidP="00700C4B">
                    <w:pPr>
                      <w:rPr>
                        <w:bCs/>
                      </w:rPr>
                    </w:pPr>
                    <w:r>
                      <w:rPr>
                        <w:b/>
                      </w:rPr>
                      <w:t>Emmanuelle MAIRE</w:t>
                    </w:r>
                  </w:p>
                </w:sdtContent>
              </w:sdt>
            </w:sdtContent>
          </w:sdt>
          <w:p w14:paraId="32DD8032" w14:textId="018F04A6" w:rsidR="00377580" w:rsidRPr="001D3EEC" w:rsidRDefault="00D3161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00C4B">
                  <w:rPr>
                    <w:bCs/>
                    <w:lang w:val="fr-BE" w:eastAsia="en-GB"/>
                  </w:rPr>
                  <w:t>3e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00C4B">
                      <w:rPr>
                        <w:bCs/>
                        <w:lang w:val="en-IE" w:eastAsia="en-GB"/>
                      </w:rPr>
                      <w:t>2024</w:t>
                    </w:r>
                  </w:sdtContent>
                </w:sdt>
              </w:sdtContent>
            </w:sdt>
          </w:p>
          <w:p w14:paraId="768BBE26" w14:textId="239F4991" w:rsidR="00377580" w:rsidRPr="001D3EEC" w:rsidRDefault="00D3161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00C4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00C4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FD4D98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FEE183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3161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3161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3161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E8AA21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700C4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6DF38C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D9A8729" w:rsidR="006B47B6" w:rsidRPr="0007110E" w:rsidRDefault="00BF389A" w:rsidP="00DE0E7F">
            <w:pPr>
              <w:tabs>
                <w:tab w:val="left" w:pos="426"/>
              </w:tabs>
              <w:spacing w:before="120" w:after="120"/>
              <w:rPr>
                <w:bCs/>
                <w:lang w:val="en-IE" w:eastAsia="en-GB"/>
              </w:rPr>
            </w:pPr>
            <w:r w:rsidRPr="00700C4B">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D3161C">
                  <w:rPr>
                    <w:bCs/>
                    <w:lang w:val="en-IE" w:eastAsia="en-GB"/>
                  </w:rPr>
                  <w:t>2</w:t>
                </w:r>
                <w:r w:rsidR="00700C4B">
                  <w:rPr>
                    <w:bCs/>
                    <w:lang w:val="en-IE" w:eastAsia="en-GB"/>
                  </w:rPr>
                  <w:t>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6944DE4" w14:textId="77777777" w:rsidR="00700C4B" w:rsidRDefault="00700C4B" w:rsidP="00700C4B">
          <w:r>
            <w:t xml:space="preserve">La direction ENV.B est chargée de soutenir la transformation de l’économie européenne en une économie circulaire en maintenant la valeur des ressources et des matériaux le plus longtemps possible dans l’économie tout en réduisant au minimum la production de déchets. </w:t>
          </w:r>
        </w:p>
        <w:p w14:paraId="727CE264" w14:textId="77777777" w:rsidR="00700C4B" w:rsidRDefault="00700C4B" w:rsidP="00700C4B">
          <w:r>
            <w:t xml:space="preserve">L’unité ENV.B.1 «Économie circulaire, production durable et consommation» est une équipe dynamique de 26 collègues qui coordonne la mise en œuvre du plan d’action de </w:t>
          </w:r>
          <w:r>
            <w:lastRenderedPageBreak/>
            <w:t xml:space="preserve">2020 en faveur de l’économie circulaire et contribue à la participation des parties prenantes et aux événements organisés par l’intermédiaire de la plateforme des acteurs européens de l’économie circulaire. Nous avons élaboré et mis en œuvre un certain nombre d’initiatives politiques et législatives de l’UE, telles que la stratégie de l’UE pour des textiles durables, la stratégie sur les matières plastiques et la nouvelle proposition de directive sur les allégations écologiques des entreprises à l’égard des consommateurs en ce qui concerne les produits et les organisations. </w:t>
          </w:r>
        </w:p>
        <w:p w14:paraId="18140A21" w14:textId="7EB7328E" w:rsidR="001A0074" w:rsidRPr="00700C4B" w:rsidRDefault="00700C4B" w:rsidP="00700C4B">
          <w:pPr>
            <w:rPr>
              <w:lang w:val="fr-BE" w:eastAsia="en-GB"/>
            </w:rPr>
          </w:pPr>
          <w:r>
            <w:t>Nous promouvons également plusieurs outils non contraignants en matière de consommation et de production durables, tels que le label écologique de l’UE, qui récompense l’excellence environnementale pour plusieurs catégories de produits et de services; l’EMAS, le système de management environnemental et d’audit de l’UE qui aide les entreprises et les organisations à améliorer leurs performances environnementales, ou encore Level(s) qui aide les professionnels du bâtiment à concevoir des bâtiments durables.</w:t>
          </w:r>
        </w:p>
      </w:sdtContent>
    </w:sdt>
    <w:p w14:paraId="30B422AA" w14:textId="77777777" w:rsidR="00301CA3" w:rsidRPr="00700C4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IE"/>
        </w:rPr>
        <w:id w:val="-723136291"/>
        <w:placeholder>
          <w:docPart w:val="43375E7FB7294216B3B48CC222A08C2F"/>
        </w:placeholder>
      </w:sdtPr>
      <w:sdtEndPr/>
      <w:sdtContent>
        <w:p w14:paraId="380CD331" w14:textId="77777777" w:rsidR="00700C4B" w:rsidRDefault="00700C4B" w:rsidP="00700C4B">
          <w:pPr>
            <w:pStyle w:val="TableParagraph"/>
            <w:kinsoku w:val="0"/>
            <w:overflowPunct w:val="0"/>
            <w:spacing w:line="247" w:lineRule="exact"/>
            <w:jc w:val="both"/>
          </w:pPr>
          <w:r>
            <w:t>Nous proposons un poste de chargé(e) de mission qui apportera son expertise au développement du label écologique de l’UE.</w:t>
          </w:r>
        </w:p>
        <w:p w14:paraId="5F0EC1C9" w14:textId="77777777" w:rsidR="00700C4B" w:rsidRPr="00805DC9" w:rsidRDefault="00700C4B" w:rsidP="00700C4B">
          <w:pPr>
            <w:pStyle w:val="TableParagraph"/>
            <w:kinsoku w:val="0"/>
            <w:overflowPunct w:val="0"/>
            <w:spacing w:line="247" w:lineRule="exact"/>
            <w:jc w:val="both"/>
          </w:pPr>
        </w:p>
        <w:p w14:paraId="542D24B2" w14:textId="77777777" w:rsidR="00700C4B" w:rsidRPr="00300AC0" w:rsidRDefault="00700C4B" w:rsidP="00700C4B">
          <w:pPr>
            <w:ind w:left="142" w:right="157"/>
          </w:pPr>
          <w:r>
            <w:t xml:space="preserve">L’END sera </w:t>
          </w:r>
          <w:r>
            <w:rPr>
              <w:b/>
            </w:rPr>
            <w:t>membre de l’équipe Écolabel de l’UE</w:t>
          </w:r>
          <w:r>
            <w:t xml:space="preserve">. Il/elle contribuera à la mise en œuvre du </w:t>
          </w:r>
          <w:hyperlink r:id="rId26" w:history="1">
            <w:r>
              <w:rPr>
                <w:u w:val="single"/>
              </w:rPr>
              <w:t>plan de travail stratégique pour le label écologique de l’UE</w:t>
            </w:r>
          </w:hyperlink>
          <w:r>
            <w:rPr>
              <w:u w:val="single"/>
            </w:rPr>
            <w:t xml:space="preserve"> (SWP)</w:t>
          </w:r>
          <w:r>
            <w:t xml:space="preserve">, afin de garantir que ce label constitue un outil efficace et efficient permettant aux acteurs du marché de consommer, de produire et de vivre de manière plus durable et de s’engager dans la transition vers une économie circulaire. </w:t>
          </w:r>
        </w:p>
        <w:p w14:paraId="62E590FC" w14:textId="77777777" w:rsidR="00700C4B" w:rsidRPr="00300AC0" w:rsidRDefault="00700C4B" w:rsidP="00700C4B">
          <w:pPr>
            <w:ind w:left="142" w:right="157"/>
          </w:pPr>
          <w:bookmarkStart w:id="0" w:name="_Hlk155259823"/>
          <w:r>
            <w:t>L'activité sera axée sur les 3 objectifs suivants du plan de travail stratégique:</w:t>
          </w:r>
        </w:p>
        <w:bookmarkEnd w:id="0"/>
        <w:p w14:paraId="1BF808F6" w14:textId="77777777" w:rsidR="00700C4B" w:rsidRPr="008E375B" w:rsidRDefault="00700C4B" w:rsidP="00700C4B">
          <w:pPr>
            <w:pStyle w:val="TableParagraph"/>
            <w:tabs>
              <w:tab w:val="left" w:pos="576"/>
            </w:tabs>
            <w:kinsoku w:val="0"/>
            <w:overflowPunct w:val="0"/>
            <w:ind w:left="0" w:right="157"/>
            <w:jc w:val="both"/>
            <w:rPr>
              <w:sz w:val="22"/>
              <w:szCs w:val="22"/>
              <w:lang w:val="fr-BE"/>
            </w:rPr>
          </w:pPr>
        </w:p>
        <w:p w14:paraId="157C910C" w14:textId="77777777" w:rsidR="00700C4B" w:rsidRPr="00387DF8" w:rsidRDefault="00700C4B" w:rsidP="00700C4B">
          <w:pPr>
            <w:pStyle w:val="ListParagraph"/>
            <w:numPr>
              <w:ilvl w:val="0"/>
              <w:numId w:val="26"/>
            </w:numPr>
            <w:ind w:right="157"/>
          </w:pPr>
          <w:r>
            <w:rPr>
              <w:b/>
            </w:rPr>
            <w:t>Intégrer</w:t>
          </w:r>
          <w:r>
            <w:t xml:space="preserve"> le label écologique de l’UE en tant qu’outil pertinent dans les politiques et les initiatives visant à promouvoir la consommation et la production durables, l’économie circulaire, les modes de vie durables, la finance durable, les mesures en faveur du climat, de la biodiversité et de l'objectif «zéro pollution».</w:t>
          </w:r>
        </w:p>
        <w:p w14:paraId="66D53E5E" w14:textId="77777777" w:rsidR="00700C4B" w:rsidRPr="008E375B" w:rsidRDefault="00700C4B" w:rsidP="00700C4B">
          <w:pPr>
            <w:pStyle w:val="ListParagraph"/>
            <w:ind w:right="157"/>
            <w:jc w:val="both"/>
            <w:rPr>
              <w:lang w:val="fr-BE"/>
            </w:rPr>
          </w:pPr>
        </w:p>
        <w:p w14:paraId="1DC68127" w14:textId="77777777" w:rsidR="00700C4B" w:rsidRPr="00756326" w:rsidRDefault="00700C4B" w:rsidP="00700C4B">
          <w:pPr>
            <w:pStyle w:val="ListParagraph"/>
            <w:numPr>
              <w:ilvl w:val="0"/>
              <w:numId w:val="26"/>
            </w:numPr>
            <w:ind w:right="157"/>
          </w:pPr>
          <w:r>
            <w:t xml:space="preserve">Optimiser l’efficacité et l’efficience de la </w:t>
          </w:r>
          <w:r>
            <w:rPr>
              <w:b/>
            </w:rPr>
            <w:t>mise en œuvre</w:t>
          </w:r>
          <w:r>
            <w:t xml:space="preserve"> du règlement sur le label écologique de l’UE, y compris le développement et la gestion d’un portefeuille de critères performant.</w:t>
          </w:r>
        </w:p>
        <w:p w14:paraId="63558950" w14:textId="77777777" w:rsidR="00700C4B" w:rsidRPr="008E375B" w:rsidRDefault="00700C4B" w:rsidP="00700C4B">
          <w:pPr>
            <w:pStyle w:val="ListParagraph"/>
            <w:ind w:right="157"/>
            <w:rPr>
              <w:lang w:val="fr-BE"/>
            </w:rPr>
          </w:pPr>
        </w:p>
        <w:p w14:paraId="63819B3A" w14:textId="77777777" w:rsidR="00700C4B" w:rsidRPr="00756326" w:rsidRDefault="00700C4B" w:rsidP="00700C4B">
          <w:pPr>
            <w:pStyle w:val="ListParagraph"/>
            <w:numPr>
              <w:ilvl w:val="0"/>
              <w:numId w:val="26"/>
            </w:numPr>
            <w:ind w:right="157"/>
          </w:pPr>
          <w:r>
            <w:rPr>
              <w:b/>
            </w:rPr>
            <w:t>Renforcer</w:t>
          </w:r>
          <w:r>
            <w:t xml:space="preserve"> la présence du label écologique de l’UE sur le marché, en stimulant à la fois l’adoption par l’industrie et la sensibilisation des consommateurs. </w:t>
          </w:r>
        </w:p>
        <w:p w14:paraId="7E2CDFC0" w14:textId="77777777" w:rsidR="00700C4B" w:rsidRPr="008E375B" w:rsidRDefault="00700C4B" w:rsidP="00700C4B">
          <w:pPr>
            <w:pStyle w:val="ListParagraph"/>
            <w:jc w:val="both"/>
            <w:rPr>
              <w:lang w:val="fr-BE"/>
            </w:rPr>
          </w:pPr>
        </w:p>
        <w:p w14:paraId="3B1D2FA2" w14:textId="5EA61ED4" w:rsidR="001A0074" w:rsidRPr="00700C4B" w:rsidRDefault="00700C4B" w:rsidP="00700C4B">
          <w:pPr>
            <w:rPr>
              <w:lang w:val="fr-BE" w:eastAsia="en-GB"/>
            </w:rPr>
          </w:pPr>
          <w:r>
            <w:t>Il sera par ailleurs demandé à l’END d’assister les collègues travaillant sur les marchés publics écologiques et le système de management environnemental et d’audit (EMAS), le cas échéant.</w:t>
          </w:r>
        </w:p>
      </w:sdtContent>
    </w:sdt>
    <w:p w14:paraId="3D69C09B" w14:textId="77777777" w:rsidR="00301CA3" w:rsidRPr="00700C4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47B65FE" w14:textId="77777777" w:rsidR="00700C4B" w:rsidRDefault="00700C4B" w:rsidP="00700C4B">
          <w:pPr>
            <w:ind w:right="157"/>
          </w:pPr>
          <w:r>
            <w:t>Nous recherchons un collègue très motivé, doté de fortes capacités d’analyse, d’une solide expérience technique/scientifique, d’excellentes compétences rédactionnelles, de très bonnes capacités de communication, de négociation et de mise en réseau, d'un grand sens de l'initiative et de l'organisation, y compris la capacité de travailler simultanément et efficacement sur plusieurs projets.</w:t>
          </w:r>
        </w:p>
        <w:p w14:paraId="2D0474FA" w14:textId="77777777" w:rsidR="00700C4B" w:rsidRDefault="00700C4B" w:rsidP="00700C4B">
          <w:r>
            <w:t>L’expert national détaché (END) travaillera sous la supervision d’un fonctionnaire de la Commission. L’END sera chargé d’une série de tâches nécessitant un travail technique et analytique combiné à une interaction avec des collègues de différents services et des parties prenantes externes:</w:t>
          </w:r>
        </w:p>
        <w:p w14:paraId="1F085B09" w14:textId="77777777" w:rsidR="00700C4B" w:rsidRDefault="00700C4B" w:rsidP="00700C4B">
          <w:pPr>
            <w:pStyle w:val="NormalWeb"/>
            <w:numPr>
              <w:ilvl w:val="0"/>
              <w:numId w:val="30"/>
            </w:numPr>
            <w:shd w:val="clear" w:color="auto" w:fill="FFFFFF"/>
            <w:spacing w:before="0" w:beforeAutospacing="0" w:after="0" w:afterAutospacing="0"/>
            <w:ind w:left="714" w:hanging="357"/>
            <w:jc w:val="both"/>
          </w:pPr>
          <w:r>
            <w:rPr>
              <w:color w:val="000000"/>
            </w:rPr>
            <w:t>Fournir une expertise afin de garantir l’intégration des aspects environnementaux dans d’autres politiques, en particulier dans la politique du marché intérieur.</w:t>
          </w:r>
        </w:p>
        <w:p w14:paraId="1E99354C" w14:textId="77777777" w:rsidR="00700C4B" w:rsidRPr="00BC1418" w:rsidRDefault="00700C4B" w:rsidP="00700C4B">
          <w:pPr>
            <w:pStyle w:val="NormalWeb"/>
            <w:numPr>
              <w:ilvl w:val="0"/>
              <w:numId w:val="30"/>
            </w:numPr>
            <w:shd w:val="clear" w:color="auto" w:fill="FFFFFF"/>
            <w:spacing w:before="0" w:beforeAutospacing="0" w:after="0" w:afterAutospacing="0"/>
            <w:ind w:left="714" w:hanging="357"/>
            <w:jc w:val="both"/>
            <w:rPr>
              <w:color w:val="000000"/>
            </w:rPr>
          </w:pPr>
          <w:r>
            <w:rPr>
              <w:color w:val="000000"/>
            </w:rPr>
            <w:t xml:space="preserve">Mettre en œuvre, garantir et/ou contrôler la bonne mise en œuvre et/ou application des politiques de l’UE dans les domaines couverts par l’unité, notamment en ce qui concerne le règlement sur le label écologique de l’UE, le règlement EMAS (système de management environnemental et d’audit de l’UE) et les marchés publics écologiques (MPE). </w:t>
          </w:r>
        </w:p>
        <w:p w14:paraId="769E73F5" w14:textId="77777777" w:rsidR="00700C4B" w:rsidRPr="001B5DDC" w:rsidRDefault="00700C4B" w:rsidP="00700C4B">
          <w:pPr>
            <w:pStyle w:val="NormalWeb"/>
            <w:numPr>
              <w:ilvl w:val="0"/>
              <w:numId w:val="30"/>
            </w:numPr>
            <w:shd w:val="clear" w:color="auto" w:fill="FFFFFF"/>
            <w:spacing w:before="0" w:beforeAutospacing="0" w:after="0" w:afterAutospacing="0"/>
            <w:ind w:left="714" w:hanging="357"/>
            <w:jc w:val="both"/>
            <w:rPr>
              <w:color w:val="000000"/>
            </w:rPr>
          </w:pPr>
          <w:r>
            <w:rPr>
              <w:color w:val="000000"/>
            </w:rPr>
            <w:t xml:space="preserve">Assurer la cohérence et la synergie entre les travaux sur le label écologique de l’UE et d’autres politiques de produits, telles que l’élaboration des exigences du règlement sur l’écoconception pour des produits durables (ESPR), des critères des marchés publics écologiques, des documents de référence sectoriels EMAS, etc., et d’autres initiatives de la Commission. </w:t>
          </w:r>
        </w:p>
        <w:p w14:paraId="37D3658E" w14:textId="77777777" w:rsidR="00700C4B" w:rsidRPr="00F116CF" w:rsidRDefault="00700C4B" w:rsidP="00700C4B">
          <w:pPr>
            <w:pStyle w:val="NormalWeb"/>
            <w:numPr>
              <w:ilvl w:val="0"/>
              <w:numId w:val="30"/>
            </w:numPr>
            <w:shd w:val="clear" w:color="auto" w:fill="FFFFFF"/>
            <w:spacing w:before="0" w:beforeAutospacing="0" w:after="0" w:afterAutospacing="0"/>
            <w:ind w:left="714" w:hanging="357"/>
            <w:jc w:val="both"/>
            <w:rPr>
              <w:color w:val="000000"/>
            </w:rPr>
          </w:pPr>
          <w:r>
            <w:rPr>
              <w:color w:val="000000"/>
            </w:rPr>
            <w:t>Participer à des comités consultatifs, de gestion et/ou de réglementation, à des groupes de travail et/ou à tout autre groupe d’experts, ainsi qu’à des groupes de travail techniques ad hoc.</w:t>
          </w:r>
        </w:p>
        <w:p w14:paraId="43EBD3A0" w14:textId="77777777" w:rsidR="00700C4B" w:rsidRDefault="00700C4B" w:rsidP="00700C4B">
          <w:pPr>
            <w:pStyle w:val="NormalWeb"/>
            <w:numPr>
              <w:ilvl w:val="0"/>
              <w:numId w:val="30"/>
            </w:numPr>
            <w:shd w:val="clear" w:color="auto" w:fill="FFFFFF"/>
            <w:spacing w:before="0" w:beforeAutospacing="0" w:after="0" w:afterAutospacing="0"/>
            <w:ind w:left="714" w:hanging="357"/>
            <w:jc w:val="both"/>
            <w:rPr>
              <w:rFonts w:ascii="Segoe UI" w:hAnsi="Segoe UI" w:cs="Segoe UI"/>
              <w:color w:val="242424"/>
              <w:sz w:val="27"/>
              <w:szCs w:val="27"/>
            </w:rPr>
          </w:pPr>
          <w:r>
            <w:rPr>
              <w:color w:val="000000"/>
            </w:rPr>
            <w:t xml:space="preserve">Rendre compte de la mise en œuvre et/ou de l’application des politiques de l’Union européenne. </w:t>
          </w:r>
        </w:p>
        <w:p w14:paraId="49226F33" w14:textId="77777777" w:rsidR="00700C4B" w:rsidRPr="001B5DDC" w:rsidRDefault="00700C4B" w:rsidP="00700C4B">
          <w:pPr>
            <w:pStyle w:val="NormalWeb"/>
            <w:numPr>
              <w:ilvl w:val="0"/>
              <w:numId w:val="30"/>
            </w:numPr>
            <w:shd w:val="clear" w:color="auto" w:fill="FFFFFF"/>
            <w:spacing w:before="0" w:beforeAutospacing="0" w:after="0" w:afterAutospacing="0"/>
            <w:ind w:left="714" w:hanging="357"/>
            <w:jc w:val="both"/>
            <w:rPr>
              <w:color w:val="000000"/>
            </w:rPr>
          </w:pPr>
          <w:r>
            <w:rPr>
              <w:color w:val="000000"/>
            </w:rPr>
            <w:t xml:space="preserve">Contribuer à l’élaboration des décisions de la Commission établissant les critères du label écologique de l’UE, y compris l’analyse ex ante et le suivi des travaux effectués par les comités de réglementation. </w:t>
          </w:r>
        </w:p>
        <w:p w14:paraId="4910DBB5" w14:textId="77777777" w:rsidR="00700C4B" w:rsidRPr="008E375B" w:rsidRDefault="00700C4B" w:rsidP="00700C4B">
          <w:pPr>
            <w:ind w:right="157"/>
            <w:rPr>
              <w:szCs w:val="24"/>
              <w:lang w:val="fr-BE"/>
            </w:rPr>
          </w:pPr>
        </w:p>
        <w:p w14:paraId="26C982FA" w14:textId="77777777" w:rsidR="00700C4B" w:rsidRPr="001038A6" w:rsidRDefault="00700C4B" w:rsidP="00700C4B">
          <w:pPr>
            <w:ind w:right="159"/>
            <w:rPr>
              <w:szCs w:val="24"/>
            </w:rPr>
          </w:pPr>
          <w:r>
            <w:t xml:space="preserve">En ce qui concerne la </w:t>
          </w:r>
          <w:bookmarkStart w:id="1" w:name="_Hlk156404251"/>
          <w:r>
            <w:rPr>
              <w:b/>
            </w:rPr>
            <w:t>mise en œuvre du système de label écologique de l’UE</w:t>
          </w:r>
          <w:bookmarkEnd w:id="1"/>
          <w:r>
            <w:t>, l’END sera responsable:</w:t>
          </w:r>
        </w:p>
        <w:p w14:paraId="1BB26A98" w14:textId="77777777" w:rsidR="00700C4B" w:rsidRDefault="00700C4B" w:rsidP="00700C4B">
          <w:pPr>
            <w:pStyle w:val="ListParagraph"/>
            <w:numPr>
              <w:ilvl w:val="0"/>
              <w:numId w:val="29"/>
            </w:numPr>
            <w:spacing w:after="0" w:line="240" w:lineRule="auto"/>
            <w:ind w:left="284" w:right="159" w:hanging="142"/>
            <w:contextualSpacing w:val="0"/>
            <w:jc w:val="both"/>
          </w:pPr>
          <w:r>
            <w:t xml:space="preserve">des révisions des critères du label écologique de l’UE pour les peintures et vernis (à finaliser d’ici 2025) et pour six groupes de détergents (à finaliser d’ici 2026), réalisées par le Centre commun de recherche dans le cadre d’un accord administratif. </w:t>
          </w:r>
        </w:p>
        <w:p w14:paraId="26AFFE6B" w14:textId="77777777" w:rsidR="00700C4B" w:rsidRPr="008E375B" w:rsidRDefault="00700C4B" w:rsidP="00700C4B">
          <w:pPr>
            <w:pStyle w:val="ListParagraph"/>
            <w:spacing w:after="0" w:line="240" w:lineRule="auto"/>
            <w:ind w:left="284" w:right="159"/>
            <w:contextualSpacing w:val="0"/>
            <w:jc w:val="both"/>
            <w:rPr>
              <w:lang w:val="fr-BE"/>
            </w:rPr>
          </w:pPr>
        </w:p>
        <w:p w14:paraId="48C0275C" w14:textId="77777777" w:rsidR="00700C4B" w:rsidRDefault="00700C4B" w:rsidP="00700C4B">
          <w:pPr>
            <w:pStyle w:val="ListParagraph"/>
            <w:numPr>
              <w:ilvl w:val="0"/>
              <w:numId w:val="29"/>
            </w:numPr>
            <w:spacing w:after="0" w:line="240" w:lineRule="auto"/>
            <w:ind w:left="284" w:right="157" w:hanging="142"/>
            <w:contextualSpacing w:val="0"/>
            <w:jc w:val="both"/>
          </w:pPr>
          <w:r>
            <w:t xml:space="preserve">de la participation aux réunions du groupe de travail technique ad hoc et du pilotage du processus législatif en vue de l’adoption des critères. </w:t>
          </w:r>
        </w:p>
        <w:p w14:paraId="0EB2E21F" w14:textId="77777777" w:rsidR="00700C4B" w:rsidRPr="008E375B" w:rsidRDefault="00700C4B" w:rsidP="00700C4B">
          <w:pPr>
            <w:spacing w:after="0"/>
            <w:ind w:right="157"/>
            <w:rPr>
              <w:lang w:val="fr-BE"/>
            </w:rPr>
          </w:pPr>
        </w:p>
        <w:p w14:paraId="7F996FBD" w14:textId="77777777" w:rsidR="00700C4B" w:rsidRDefault="00700C4B" w:rsidP="00700C4B">
          <w:pPr>
            <w:pStyle w:val="ListParagraph"/>
            <w:numPr>
              <w:ilvl w:val="0"/>
              <w:numId w:val="29"/>
            </w:numPr>
            <w:spacing w:after="0" w:line="240" w:lineRule="auto"/>
            <w:ind w:left="284" w:right="157" w:hanging="142"/>
            <w:contextualSpacing w:val="0"/>
            <w:jc w:val="both"/>
          </w:pPr>
          <w:r>
            <w:t xml:space="preserve">de la révision des critères applicables à d’autres groupes de produits, qui seront définis lorsque le plan de travail du règlement sur l’écoconception pour des produits durables (ESPR) sera adopté. </w:t>
          </w:r>
        </w:p>
        <w:p w14:paraId="3C609381" w14:textId="77777777" w:rsidR="00700C4B" w:rsidRPr="008E375B" w:rsidRDefault="00700C4B" w:rsidP="00700C4B">
          <w:pPr>
            <w:spacing w:after="0"/>
            <w:ind w:right="157"/>
            <w:rPr>
              <w:lang w:val="fr-BE"/>
            </w:rPr>
          </w:pPr>
        </w:p>
        <w:p w14:paraId="6007A0CA" w14:textId="77777777" w:rsidR="00700C4B" w:rsidRDefault="00700C4B" w:rsidP="00700C4B">
          <w:pPr>
            <w:pStyle w:val="ListParagraph"/>
            <w:numPr>
              <w:ilvl w:val="0"/>
              <w:numId w:val="29"/>
            </w:numPr>
            <w:spacing w:after="0" w:line="240" w:lineRule="auto"/>
            <w:ind w:left="284" w:right="157" w:hanging="142"/>
            <w:contextualSpacing w:val="0"/>
            <w:jc w:val="both"/>
          </w:pPr>
          <w:r>
            <w:t xml:space="preserve">de la validation des réponses préparées par le service d’assistance du label écologique de l’UE aux demandes spécifiques et techniques des acteurs du marché concernant le label écologique de l’UE. </w:t>
          </w:r>
        </w:p>
        <w:p w14:paraId="1FB058ED" w14:textId="77777777" w:rsidR="00700C4B" w:rsidRPr="008E375B" w:rsidRDefault="00700C4B" w:rsidP="00700C4B">
          <w:pPr>
            <w:spacing w:after="0"/>
            <w:ind w:right="157"/>
            <w:rPr>
              <w:lang w:val="fr-BE"/>
            </w:rPr>
          </w:pPr>
        </w:p>
        <w:p w14:paraId="4B503305" w14:textId="77777777" w:rsidR="00700C4B" w:rsidRPr="0068157D" w:rsidRDefault="00700C4B" w:rsidP="00700C4B">
          <w:pPr>
            <w:pStyle w:val="ListParagraph"/>
            <w:numPr>
              <w:ilvl w:val="0"/>
              <w:numId w:val="29"/>
            </w:numPr>
            <w:spacing w:after="0" w:line="240" w:lineRule="auto"/>
            <w:ind w:left="284" w:right="157" w:hanging="142"/>
            <w:contextualSpacing w:val="0"/>
            <w:jc w:val="both"/>
          </w:pPr>
          <w:r>
            <w:t xml:space="preserve">de la coordination de la modernisation et de la finalisation du catalogue ECAT (le registre accessible au public des produits porteurs du label écologique de l’UE et des titulaires de </w:t>
          </w:r>
          <w:r>
            <w:lastRenderedPageBreak/>
            <w:t xml:space="preserve">licences), utilisé par les consommateurs, les producteurs et les détaillants. L’amélioration de l’ECAT se fera en synergie avec le développement du passeport numérique des produits. </w:t>
          </w:r>
        </w:p>
        <w:p w14:paraId="5EC22620" w14:textId="77777777" w:rsidR="00700C4B" w:rsidRPr="008E375B" w:rsidRDefault="00700C4B" w:rsidP="00700C4B">
          <w:pPr>
            <w:pStyle w:val="TableParagraph"/>
            <w:tabs>
              <w:tab w:val="left" w:pos="285"/>
            </w:tabs>
            <w:kinsoku w:val="0"/>
            <w:overflowPunct w:val="0"/>
            <w:ind w:right="157"/>
            <w:jc w:val="both"/>
            <w:rPr>
              <w:lang w:val="fr-BE"/>
            </w:rPr>
          </w:pPr>
        </w:p>
        <w:p w14:paraId="593D7543" w14:textId="77777777" w:rsidR="00700C4B" w:rsidRDefault="00700C4B" w:rsidP="00700C4B">
          <w:pPr>
            <w:pStyle w:val="TableParagraph"/>
            <w:tabs>
              <w:tab w:val="left" w:pos="285"/>
            </w:tabs>
            <w:kinsoku w:val="0"/>
            <w:overflowPunct w:val="0"/>
            <w:ind w:right="157"/>
            <w:jc w:val="both"/>
          </w:pPr>
          <w:r>
            <w:t>En ce qui concerne les groupes de produits dont il supervisera la révision, l’END sera chargé d’</w:t>
          </w:r>
          <w:r>
            <w:rPr>
              <w:b/>
            </w:rPr>
            <w:t>assurer la cohérence et les synergies avec</w:t>
          </w:r>
          <w:r>
            <w:t>:</w:t>
          </w:r>
        </w:p>
        <w:p w14:paraId="25C86ACD" w14:textId="77777777" w:rsidR="00700C4B" w:rsidRPr="008E375B" w:rsidRDefault="00700C4B" w:rsidP="00700C4B">
          <w:pPr>
            <w:pStyle w:val="TableParagraph"/>
            <w:tabs>
              <w:tab w:val="left" w:pos="285"/>
            </w:tabs>
            <w:kinsoku w:val="0"/>
            <w:overflowPunct w:val="0"/>
            <w:ind w:right="157"/>
            <w:jc w:val="both"/>
            <w:rPr>
              <w:lang w:val="fr-BE"/>
            </w:rPr>
          </w:pPr>
        </w:p>
        <w:p w14:paraId="14B5FDB0" w14:textId="77777777" w:rsidR="00700C4B" w:rsidRDefault="00700C4B" w:rsidP="00700C4B">
          <w:pPr>
            <w:pStyle w:val="TableParagraph"/>
            <w:numPr>
              <w:ilvl w:val="0"/>
              <w:numId w:val="27"/>
            </w:numPr>
            <w:tabs>
              <w:tab w:val="left" w:pos="285"/>
            </w:tabs>
            <w:kinsoku w:val="0"/>
            <w:overflowPunct w:val="0"/>
            <w:ind w:left="285" w:right="157" w:hanging="141"/>
            <w:jc w:val="both"/>
          </w:pPr>
          <w:r>
            <w:t xml:space="preserve"> les prochains actes délégués/d’exécution au titre de l’ESPR qui seront élaborés en parallèle pour les mêmes groupes de produits, y compris les exigences obligatoires en matière de marchés publics écologiques. </w:t>
          </w:r>
        </w:p>
        <w:p w14:paraId="24D1F9CB" w14:textId="77777777" w:rsidR="00700C4B" w:rsidRPr="008E375B" w:rsidRDefault="00700C4B" w:rsidP="00700C4B">
          <w:pPr>
            <w:pStyle w:val="TableParagraph"/>
            <w:tabs>
              <w:tab w:val="left" w:pos="285"/>
            </w:tabs>
            <w:kinsoku w:val="0"/>
            <w:overflowPunct w:val="0"/>
            <w:ind w:left="285" w:right="157"/>
            <w:jc w:val="both"/>
            <w:rPr>
              <w:lang w:val="fr-BE"/>
            </w:rPr>
          </w:pPr>
        </w:p>
        <w:p w14:paraId="2668A4B5" w14:textId="77777777" w:rsidR="00700C4B" w:rsidRDefault="00700C4B" w:rsidP="00700C4B">
          <w:pPr>
            <w:pStyle w:val="TableParagraph"/>
            <w:numPr>
              <w:ilvl w:val="0"/>
              <w:numId w:val="27"/>
            </w:numPr>
            <w:tabs>
              <w:tab w:val="left" w:pos="285"/>
            </w:tabs>
            <w:kinsoku w:val="0"/>
            <w:overflowPunct w:val="0"/>
            <w:ind w:left="285" w:right="157" w:hanging="141"/>
            <w:jc w:val="both"/>
          </w:pPr>
          <w:r>
            <w:t xml:space="preserve">les critères d’examen technique élaborés dans les actes délégués au titre de la taxinomie de l’UE. </w:t>
          </w:r>
        </w:p>
        <w:p w14:paraId="178383EE" w14:textId="77777777" w:rsidR="00700C4B" w:rsidRPr="008E375B" w:rsidRDefault="00700C4B" w:rsidP="00700C4B">
          <w:pPr>
            <w:pStyle w:val="TableParagraph"/>
            <w:tabs>
              <w:tab w:val="left" w:pos="285"/>
            </w:tabs>
            <w:kinsoku w:val="0"/>
            <w:overflowPunct w:val="0"/>
            <w:ind w:left="0" w:right="157"/>
            <w:jc w:val="both"/>
            <w:rPr>
              <w:lang w:val="fr-BE"/>
            </w:rPr>
          </w:pPr>
        </w:p>
        <w:p w14:paraId="2B690293" w14:textId="77777777" w:rsidR="00700C4B" w:rsidRDefault="00700C4B" w:rsidP="00700C4B">
          <w:pPr>
            <w:pStyle w:val="TableParagraph"/>
            <w:numPr>
              <w:ilvl w:val="0"/>
              <w:numId w:val="27"/>
            </w:numPr>
            <w:shd w:val="clear" w:color="auto" w:fill="FFFFFF" w:themeFill="background1"/>
            <w:tabs>
              <w:tab w:val="left" w:pos="285"/>
            </w:tabs>
            <w:kinsoku w:val="0"/>
            <w:overflowPunct w:val="0"/>
            <w:ind w:left="285" w:right="157" w:hanging="141"/>
            <w:jc w:val="both"/>
          </w:pPr>
          <w:r>
            <w:t>les initiatives pertinentes en matière de finance durable.</w:t>
          </w:r>
        </w:p>
        <w:p w14:paraId="76949552" w14:textId="77777777" w:rsidR="00700C4B" w:rsidRPr="008E375B" w:rsidRDefault="00700C4B" w:rsidP="00700C4B">
          <w:pPr>
            <w:pStyle w:val="TableParagraph"/>
            <w:shd w:val="clear" w:color="auto" w:fill="FFFFFF" w:themeFill="background1"/>
            <w:tabs>
              <w:tab w:val="left" w:pos="285"/>
            </w:tabs>
            <w:kinsoku w:val="0"/>
            <w:overflowPunct w:val="0"/>
            <w:ind w:left="0" w:right="157"/>
            <w:jc w:val="both"/>
            <w:rPr>
              <w:lang w:val="fr-BE"/>
            </w:rPr>
          </w:pPr>
        </w:p>
        <w:p w14:paraId="3D31556A" w14:textId="77777777" w:rsidR="00700C4B" w:rsidRPr="0068157D" w:rsidRDefault="00700C4B" w:rsidP="00700C4B">
          <w:pPr>
            <w:pStyle w:val="TableParagraph"/>
            <w:numPr>
              <w:ilvl w:val="0"/>
              <w:numId w:val="27"/>
            </w:numPr>
            <w:shd w:val="clear" w:color="auto" w:fill="FFFFFF" w:themeFill="background1"/>
            <w:tabs>
              <w:tab w:val="left" w:pos="285"/>
            </w:tabs>
            <w:kinsoku w:val="0"/>
            <w:overflowPunct w:val="0"/>
            <w:ind w:left="285" w:right="157" w:hanging="141"/>
            <w:jc w:val="both"/>
          </w:pPr>
          <w:r>
            <w:t xml:space="preserve"> les marchés publics écologiques et d’autres initiatives de la Commission, telles que l’EMAS, les prix «Capitale verte» et «Feuille verte», la stratégie industrielle européenne (actions ciblant les PME), etc.</w:t>
          </w:r>
        </w:p>
        <w:p w14:paraId="28A68945" w14:textId="77777777" w:rsidR="00700C4B" w:rsidRPr="008E375B" w:rsidRDefault="00700C4B" w:rsidP="00700C4B">
          <w:pPr>
            <w:pStyle w:val="ListParagraph"/>
            <w:ind w:left="567" w:right="157" w:hanging="567"/>
            <w:jc w:val="both"/>
            <w:rPr>
              <w:lang w:val="fr-BE"/>
            </w:rPr>
          </w:pPr>
        </w:p>
        <w:p w14:paraId="17ECD3AA" w14:textId="77777777" w:rsidR="00700C4B" w:rsidRPr="0068157D" w:rsidRDefault="00700C4B" w:rsidP="00700C4B">
          <w:pPr>
            <w:pStyle w:val="ListParagraph"/>
            <w:ind w:left="142" w:right="157"/>
            <w:jc w:val="both"/>
          </w:pPr>
          <w:r>
            <w:t>L’END sera chargé d’</w:t>
          </w:r>
          <w:r>
            <w:rPr>
              <w:b/>
            </w:rPr>
            <w:t>organiser</w:t>
          </w:r>
          <w:r>
            <w:t>:</w:t>
          </w:r>
        </w:p>
        <w:p w14:paraId="7380F20D" w14:textId="77777777" w:rsidR="00700C4B" w:rsidRDefault="00700C4B" w:rsidP="00700C4B">
          <w:pPr>
            <w:pStyle w:val="ListParagraph"/>
            <w:numPr>
              <w:ilvl w:val="0"/>
              <w:numId w:val="28"/>
            </w:numPr>
            <w:spacing w:after="0" w:line="240" w:lineRule="auto"/>
            <w:ind w:left="284" w:right="157" w:hanging="142"/>
            <w:contextualSpacing w:val="0"/>
            <w:jc w:val="both"/>
          </w:pPr>
          <w:r>
            <w:t xml:space="preserve">au moins deux fois par an, les réunions du forum des organismes compétents et d’accompagner l’organisation des réunions du comité de l’UE pour le label écologique (le groupe d’experts qui conseille la Commission européenne sur le label écologique de l’UE) et du comité de réglementation. </w:t>
          </w:r>
        </w:p>
        <w:p w14:paraId="34D2DFFF" w14:textId="77777777" w:rsidR="00700C4B" w:rsidRPr="008E375B" w:rsidRDefault="00700C4B" w:rsidP="00700C4B">
          <w:pPr>
            <w:spacing w:after="0"/>
            <w:ind w:right="157"/>
            <w:rPr>
              <w:lang w:val="fr-BE" w:eastAsia="en-US"/>
            </w:rPr>
          </w:pPr>
        </w:p>
        <w:p w14:paraId="7E409EA7" w14:textId="3E3EC07C" w:rsidR="001A0074" w:rsidRPr="00700C4B" w:rsidRDefault="00700C4B" w:rsidP="00700C4B">
          <w:pPr>
            <w:pStyle w:val="ListNumber"/>
            <w:numPr>
              <w:ilvl w:val="0"/>
              <w:numId w:val="0"/>
            </w:numPr>
            <w:rPr>
              <w:lang w:val="fr-BE" w:eastAsia="en-GB"/>
            </w:rPr>
          </w:pPr>
          <w:r>
            <w:t>L’END sera également appelé à travailler sur les politiques de marchés publics écologiques et sur les systèmes de management environnemental et d’audit, le cas échéant, lorsque les collègues chargés de ces questions auront besoin de renforts.</w:t>
          </w:r>
        </w:p>
      </w:sdtContent>
    </w:sdt>
    <w:p w14:paraId="5D76C15C" w14:textId="77777777" w:rsidR="00F65CC2" w:rsidRPr="00700C4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61851BC"/>
    <w:multiLevelType w:val="hybridMultilevel"/>
    <w:tmpl w:val="D9926410"/>
    <w:lvl w:ilvl="0" w:tplc="A0D0B8E6">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02608EB"/>
    <w:multiLevelType w:val="hybridMultilevel"/>
    <w:tmpl w:val="93C6B1DE"/>
    <w:lvl w:ilvl="0" w:tplc="A0D0B8E6">
      <w:numFmt w:val="bullet"/>
      <w:lvlText w:val="-"/>
      <w:lvlJc w:val="left"/>
      <w:pPr>
        <w:ind w:left="867" w:hanging="360"/>
      </w:pPr>
      <w:rPr>
        <w:rFonts w:ascii="Arial" w:eastAsia="Times New Roman" w:hAnsi="Arial" w:cs="Arial" w:hint="default"/>
      </w:rPr>
    </w:lvl>
    <w:lvl w:ilvl="1" w:tplc="18090003" w:tentative="1">
      <w:start w:val="1"/>
      <w:numFmt w:val="bullet"/>
      <w:lvlText w:val="o"/>
      <w:lvlJc w:val="left"/>
      <w:pPr>
        <w:ind w:left="1587" w:hanging="360"/>
      </w:pPr>
      <w:rPr>
        <w:rFonts w:ascii="Courier New" w:hAnsi="Courier New" w:cs="Courier New" w:hint="default"/>
      </w:rPr>
    </w:lvl>
    <w:lvl w:ilvl="2" w:tplc="18090005" w:tentative="1">
      <w:start w:val="1"/>
      <w:numFmt w:val="bullet"/>
      <w:lvlText w:val=""/>
      <w:lvlJc w:val="left"/>
      <w:pPr>
        <w:ind w:left="2307" w:hanging="360"/>
      </w:pPr>
      <w:rPr>
        <w:rFonts w:ascii="Wingdings" w:hAnsi="Wingdings" w:hint="default"/>
      </w:rPr>
    </w:lvl>
    <w:lvl w:ilvl="3" w:tplc="18090001" w:tentative="1">
      <w:start w:val="1"/>
      <w:numFmt w:val="bullet"/>
      <w:lvlText w:val=""/>
      <w:lvlJc w:val="left"/>
      <w:pPr>
        <w:ind w:left="3027" w:hanging="360"/>
      </w:pPr>
      <w:rPr>
        <w:rFonts w:ascii="Symbol" w:hAnsi="Symbol" w:hint="default"/>
      </w:rPr>
    </w:lvl>
    <w:lvl w:ilvl="4" w:tplc="18090003" w:tentative="1">
      <w:start w:val="1"/>
      <w:numFmt w:val="bullet"/>
      <w:lvlText w:val="o"/>
      <w:lvlJc w:val="left"/>
      <w:pPr>
        <w:ind w:left="3747" w:hanging="360"/>
      </w:pPr>
      <w:rPr>
        <w:rFonts w:ascii="Courier New" w:hAnsi="Courier New" w:cs="Courier New" w:hint="default"/>
      </w:rPr>
    </w:lvl>
    <w:lvl w:ilvl="5" w:tplc="18090005" w:tentative="1">
      <w:start w:val="1"/>
      <w:numFmt w:val="bullet"/>
      <w:lvlText w:val=""/>
      <w:lvlJc w:val="left"/>
      <w:pPr>
        <w:ind w:left="4467" w:hanging="360"/>
      </w:pPr>
      <w:rPr>
        <w:rFonts w:ascii="Wingdings" w:hAnsi="Wingdings" w:hint="default"/>
      </w:rPr>
    </w:lvl>
    <w:lvl w:ilvl="6" w:tplc="18090001" w:tentative="1">
      <w:start w:val="1"/>
      <w:numFmt w:val="bullet"/>
      <w:lvlText w:val=""/>
      <w:lvlJc w:val="left"/>
      <w:pPr>
        <w:ind w:left="5187" w:hanging="360"/>
      </w:pPr>
      <w:rPr>
        <w:rFonts w:ascii="Symbol" w:hAnsi="Symbol" w:hint="default"/>
      </w:rPr>
    </w:lvl>
    <w:lvl w:ilvl="7" w:tplc="18090003" w:tentative="1">
      <w:start w:val="1"/>
      <w:numFmt w:val="bullet"/>
      <w:lvlText w:val="o"/>
      <w:lvlJc w:val="left"/>
      <w:pPr>
        <w:ind w:left="5907" w:hanging="360"/>
      </w:pPr>
      <w:rPr>
        <w:rFonts w:ascii="Courier New" w:hAnsi="Courier New" w:cs="Courier New" w:hint="default"/>
      </w:rPr>
    </w:lvl>
    <w:lvl w:ilvl="8" w:tplc="18090005" w:tentative="1">
      <w:start w:val="1"/>
      <w:numFmt w:val="bullet"/>
      <w:lvlText w:val=""/>
      <w:lvlJc w:val="left"/>
      <w:pPr>
        <w:ind w:left="6627"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5FAE5E2D"/>
    <w:multiLevelType w:val="hybridMultilevel"/>
    <w:tmpl w:val="635AD854"/>
    <w:lvl w:ilvl="0" w:tplc="A0D0B8E6">
      <w:numFmt w:val="bullet"/>
      <w:lvlText w:val="-"/>
      <w:lvlJc w:val="left"/>
      <w:pPr>
        <w:ind w:left="867" w:hanging="360"/>
      </w:pPr>
      <w:rPr>
        <w:rFonts w:ascii="Arial" w:eastAsia="Times New Roman" w:hAnsi="Arial" w:cs="Arial" w:hint="default"/>
      </w:rPr>
    </w:lvl>
    <w:lvl w:ilvl="1" w:tplc="18090003" w:tentative="1">
      <w:start w:val="1"/>
      <w:numFmt w:val="bullet"/>
      <w:lvlText w:val="o"/>
      <w:lvlJc w:val="left"/>
      <w:pPr>
        <w:ind w:left="1587" w:hanging="360"/>
      </w:pPr>
      <w:rPr>
        <w:rFonts w:ascii="Courier New" w:hAnsi="Courier New" w:cs="Courier New" w:hint="default"/>
      </w:rPr>
    </w:lvl>
    <w:lvl w:ilvl="2" w:tplc="18090005" w:tentative="1">
      <w:start w:val="1"/>
      <w:numFmt w:val="bullet"/>
      <w:lvlText w:val=""/>
      <w:lvlJc w:val="left"/>
      <w:pPr>
        <w:ind w:left="2307" w:hanging="360"/>
      </w:pPr>
      <w:rPr>
        <w:rFonts w:ascii="Wingdings" w:hAnsi="Wingdings" w:hint="default"/>
      </w:rPr>
    </w:lvl>
    <w:lvl w:ilvl="3" w:tplc="18090001" w:tentative="1">
      <w:start w:val="1"/>
      <w:numFmt w:val="bullet"/>
      <w:lvlText w:val=""/>
      <w:lvlJc w:val="left"/>
      <w:pPr>
        <w:ind w:left="3027" w:hanging="360"/>
      </w:pPr>
      <w:rPr>
        <w:rFonts w:ascii="Symbol" w:hAnsi="Symbol" w:hint="default"/>
      </w:rPr>
    </w:lvl>
    <w:lvl w:ilvl="4" w:tplc="18090003" w:tentative="1">
      <w:start w:val="1"/>
      <w:numFmt w:val="bullet"/>
      <w:lvlText w:val="o"/>
      <w:lvlJc w:val="left"/>
      <w:pPr>
        <w:ind w:left="3747" w:hanging="360"/>
      </w:pPr>
      <w:rPr>
        <w:rFonts w:ascii="Courier New" w:hAnsi="Courier New" w:cs="Courier New" w:hint="default"/>
      </w:rPr>
    </w:lvl>
    <w:lvl w:ilvl="5" w:tplc="18090005" w:tentative="1">
      <w:start w:val="1"/>
      <w:numFmt w:val="bullet"/>
      <w:lvlText w:val=""/>
      <w:lvlJc w:val="left"/>
      <w:pPr>
        <w:ind w:left="4467" w:hanging="360"/>
      </w:pPr>
      <w:rPr>
        <w:rFonts w:ascii="Wingdings" w:hAnsi="Wingdings" w:hint="default"/>
      </w:rPr>
    </w:lvl>
    <w:lvl w:ilvl="6" w:tplc="18090001" w:tentative="1">
      <w:start w:val="1"/>
      <w:numFmt w:val="bullet"/>
      <w:lvlText w:val=""/>
      <w:lvlJc w:val="left"/>
      <w:pPr>
        <w:ind w:left="5187" w:hanging="360"/>
      </w:pPr>
      <w:rPr>
        <w:rFonts w:ascii="Symbol" w:hAnsi="Symbol" w:hint="default"/>
      </w:rPr>
    </w:lvl>
    <w:lvl w:ilvl="7" w:tplc="18090003" w:tentative="1">
      <w:start w:val="1"/>
      <w:numFmt w:val="bullet"/>
      <w:lvlText w:val="o"/>
      <w:lvlJc w:val="left"/>
      <w:pPr>
        <w:ind w:left="5907" w:hanging="360"/>
      </w:pPr>
      <w:rPr>
        <w:rFonts w:ascii="Courier New" w:hAnsi="Courier New" w:cs="Courier New" w:hint="default"/>
      </w:rPr>
    </w:lvl>
    <w:lvl w:ilvl="8" w:tplc="18090005" w:tentative="1">
      <w:start w:val="1"/>
      <w:numFmt w:val="bullet"/>
      <w:lvlText w:val=""/>
      <w:lvlJc w:val="left"/>
      <w:pPr>
        <w:ind w:left="6627" w:hanging="360"/>
      </w:pPr>
      <w:rPr>
        <w:rFonts w:ascii="Wingdings" w:hAnsi="Wingdings" w:hint="default"/>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C1C4BE2"/>
    <w:multiLevelType w:val="hybridMultilevel"/>
    <w:tmpl w:val="DEE696F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6" w15:restartNumberingAfterBreak="0">
    <w:nsid w:val="70581EC4"/>
    <w:multiLevelType w:val="hybridMultilevel"/>
    <w:tmpl w:val="D7EAA77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9"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19"/>
  </w:num>
  <w:num w:numId="6" w16cid:durableId="181284729">
    <w:abstractNumId w:val="24"/>
  </w:num>
  <w:num w:numId="7" w16cid:durableId="1703705955">
    <w:abstractNumId w:val="1"/>
  </w:num>
  <w:num w:numId="8" w16cid:durableId="1191845979">
    <w:abstractNumId w:val="7"/>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10"/>
  </w:num>
  <w:num w:numId="14" w16cid:durableId="440151463">
    <w:abstractNumId w:val="15"/>
  </w:num>
  <w:num w:numId="15" w16cid:durableId="1021391429">
    <w:abstractNumId w:val="18"/>
  </w:num>
  <w:num w:numId="16" w16cid:durableId="1891763309">
    <w:abstractNumId w:val="27"/>
  </w:num>
  <w:num w:numId="17" w16cid:durableId="359092911">
    <w:abstractNumId w:val="11"/>
  </w:num>
  <w:num w:numId="18" w16cid:durableId="308289900">
    <w:abstractNumId w:val="12"/>
  </w:num>
  <w:num w:numId="19" w16cid:durableId="1964581914">
    <w:abstractNumId w:val="28"/>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9"/>
  </w:num>
  <w:num w:numId="26" w16cid:durableId="1945186218">
    <w:abstractNumId w:val="26"/>
  </w:num>
  <w:num w:numId="27" w16cid:durableId="1775635848">
    <w:abstractNumId w:val="6"/>
  </w:num>
  <w:num w:numId="28" w16cid:durableId="1492722071">
    <w:abstractNumId w:val="23"/>
  </w:num>
  <w:num w:numId="29" w16cid:durableId="1563052957">
    <w:abstractNumId w:val="9"/>
  </w:num>
  <w:num w:numId="30" w16cid:durableId="30239186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B4467"/>
    <w:rsid w:val="00301CA3"/>
    <w:rsid w:val="00377580"/>
    <w:rsid w:val="00394581"/>
    <w:rsid w:val="00443957"/>
    <w:rsid w:val="00462268"/>
    <w:rsid w:val="004A4BB7"/>
    <w:rsid w:val="004D3B51"/>
    <w:rsid w:val="0053405E"/>
    <w:rsid w:val="00556CBD"/>
    <w:rsid w:val="006A1CB2"/>
    <w:rsid w:val="006B47B6"/>
    <w:rsid w:val="006F23BA"/>
    <w:rsid w:val="00700C4B"/>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3161C"/>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700C4B"/>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TableParagraph">
    <w:name w:val="Table Paragraph"/>
    <w:basedOn w:val="Normal"/>
    <w:uiPriority w:val="1"/>
    <w:qFormat/>
    <w:rsid w:val="00700C4B"/>
    <w:pPr>
      <w:widowControl w:val="0"/>
      <w:autoSpaceDE w:val="0"/>
      <w:autoSpaceDN w:val="0"/>
      <w:adjustRightInd w:val="0"/>
      <w:spacing w:after="0"/>
      <w:ind w:left="107"/>
      <w:jc w:val="left"/>
    </w:pPr>
    <w:rPr>
      <w:szCs w:val="24"/>
      <w:lang w:eastAsia="en-GB"/>
    </w:rPr>
  </w:style>
  <w:style w:type="paragraph" w:styleId="NormalWeb">
    <w:name w:val="Normal (Web)"/>
    <w:basedOn w:val="Normal"/>
    <w:uiPriority w:val="99"/>
    <w:unhideWhenUsed/>
    <w:locked/>
    <w:rsid w:val="00700C4B"/>
    <w:pPr>
      <w:spacing w:before="100" w:beforeAutospacing="1" w:after="100" w:afterAutospacing="1"/>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circabc.europa.eu/ui/group/6e9b7f79-da96-4a53-956f-e8f62c9d7fed/library/c3e817ba-9e94-4ced-acf4-52f9560d3ad9/details?download=true" TargetMode="External"/><Relationship Id="rId21" Type="http://schemas.openxmlformats.org/officeDocument/2006/relationships/control" Target="activeX/activeX4.xml"/><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8C25EE" w:rsidRDefault="00F00294" w:rsidP="00F00294">
          <w:pPr>
            <w:pStyle w:val="D33812E3C570400484B558C421C8A64E"/>
          </w:pPr>
          <w:r w:rsidRPr="003D4996">
            <w:rPr>
              <w:rStyle w:val="PlaceholderText"/>
            </w:rPr>
            <w:t>Click or tap to enter a date.</w:t>
          </w:r>
        </w:p>
      </w:docPartBody>
    </w:docPart>
    <w:docPart>
      <w:docPartPr>
        <w:name w:val="FA429BC3C24E418F9469C371B831F9AC"/>
        <w:category>
          <w:name w:val="General"/>
          <w:gallery w:val="placeholder"/>
        </w:category>
        <w:types>
          <w:type w:val="bbPlcHdr"/>
        </w:types>
        <w:behaviors>
          <w:behavior w:val="content"/>
        </w:behaviors>
        <w:guid w:val="{5E1329A3-AD9D-4CB4-90A0-68E60A1C01FD}"/>
      </w:docPartPr>
      <w:docPartBody>
        <w:p w:rsidR="00A77B9B" w:rsidRDefault="00A77B9B" w:rsidP="00A77B9B">
          <w:pPr>
            <w:pStyle w:val="FA429BC3C24E418F9469C371B831F9AC"/>
          </w:pPr>
          <w:r w:rsidRPr="00111AB6">
            <w:rPr>
              <w:rStyle w:val="PlaceholderText"/>
            </w:rPr>
            <w:t>Click or tap here to enter text.</w:t>
          </w:r>
        </w:p>
      </w:docPartBody>
    </w:docPart>
    <w:docPart>
      <w:docPartPr>
        <w:name w:val="D0DF47E2218F4E16AC617FFF061BA334"/>
        <w:category>
          <w:name w:val="General"/>
          <w:gallery w:val="placeholder"/>
        </w:category>
        <w:types>
          <w:type w:val="bbPlcHdr"/>
        </w:types>
        <w:behaviors>
          <w:behavior w:val="content"/>
        </w:behaviors>
        <w:guid w:val="{38D0A30E-58C5-4C7B-BE2C-A513AE58F587}"/>
      </w:docPartPr>
      <w:docPartBody>
        <w:p w:rsidR="00A77B9B" w:rsidRDefault="00A77B9B" w:rsidP="00A77B9B">
          <w:pPr>
            <w:pStyle w:val="D0DF47E2218F4E16AC617FFF061BA334"/>
          </w:pPr>
          <w:r w:rsidRPr="00111AB6">
            <w:rPr>
              <w:rStyle w:val="PlaceholderText"/>
            </w:rPr>
            <w:t>Click or tap here to enter text.</w:t>
          </w:r>
        </w:p>
      </w:docPartBody>
    </w:docPart>
    <w:docPart>
      <w:docPartPr>
        <w:name w:val="E4DCCFFB709749B598566FF718B487AA"/>
        <w:category>
          <w:name w:val="General"/>
          <w:gallery w:val="placeholder"/>
        </w:category>
        <w:types>
          <w:type w:val="bbPlcHdr"/>
        </w:types>
        <w:behaviors>
          <w:behavior w:val="content"/>
        </w:behaviors>
        <w:guid w:val="{51CF3883-FA76-4C84-8892-0E3034FFBEFC}"/>
      </w:docPartPr>
      <w:docPartBody>
        <w:p w:rsidR="00A77B9B" w:rsidRDefault="00A77B9B" w:rsidP="00A77B9B">
          <w:pPr>
            <w:pStyle w:val="E4DCCFFB709749B598566FF718B487AA"/>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C25EE"/>
    <w:rsid w:val="008F2A96"/>
    <w:rsid w:val="00983F83"/>
    <w:rsid w:val="00A77B9B"/>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77B9B"/>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A429BC3C24E418F9469C371B831F9AC">
    <w:name w:val="FA429BC3C24E418F9469C371B831F9AC"/>
    <w:rsid w:val="00A77B9B"/>
    <w:rPr>
      <w:kern w:val="2"/>
      <w14:ligatures w14:val="standardContextual"/>
    </w:rPr>
  </w:style>
  <w:style w:type="paragraph" w:customStyle="1" w:styleId="D0DF47E2218F4E16AC617FFF061BA334">
    <w:name w:val="D0DF47E2218F4E16AC617FFF061BA334"/>
    <w:rsid w:val="00A77B9B"/>
    <w:rPr>
      <w:kern w:val="2"/>
      <w14:ligatures w14:val="standardContextual"/>
    </w:rPr>
  </w:style>
  <w:style w:type="paragraph" w:customStyle="1" w:styleId="E4DCCFFB709749B598566FF718B487AA">
    <w:name w:val="E4DCCFFB709749B598566FF718B487AA"/>
    <w:rsid w:val="00A77B9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a41a97bf-0494-41d8-ba3d-259bd7771890"/>
    <ds:schemaRef ds:uri="http://www.w3.org/XML/1998/namespace"/>
    <ds:schemaRef ds:uri="http://purl.org/dc/elements/1.1/"/>
    <ds:schemaRef ds:uri="http://schemas.microsoft.com/office/infopath/2007/PartnerControls"/>
    <ds:schemaRef ds:uri="08927195-b699-4be0-9ee2-6c66dc215b5a"/>
    <ds:schemaRef ds:uri="http://schemas.microsoft.com/office/2006/documentManagement/types"/>
    <ds:schemaRef ds:uri="http://schemas.microsoft.com/office/2006/metadata/properties"/>
    <ds:schemaRef ds:uri="http://schemas.microsoft.com/sharepoint/v3/fields"/>
    <ds:schemaRef ds:uri="1929b814-5a78-4bdc-9841-d8b9ef424f65"/>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6</Pages>
  <Words>1937</Words>
  <Characters>11043</Characters>
  <Application>Microsoft Office Word</Application>
  <DocSecurity>0</DocSecurity>
  <PresentationFormat>Microsoft Word 14.0</PresentationFormat>
  <Lines>92</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2024-02-08T14:41:00Z</dcterms:created>
  <dcterms:modified xsi:type="dcterms:W3CDTF">2024-02-09T13:51:00Z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