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A75E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A75E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A75E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A75E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A75E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A75E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1A50DC1" w:rsidR="00377580" w:rsidRPr="00080A71" w:rsidRDefault="00EB2A11" w:rsidP="005F6927">
                <w:pPr>
                  <w:tabs>
                    <w:tab w:val="left" w:pos="426"/>
                  </w:tabs>
                  <w:rPr>
                    <w:bCs/>
                    <w:lang w:val="en-IE" w:eastAsia="en-GB"/>
                  </w:rPr>
                </w:pPr>
                <w:r w:rsidRPr="00EB2A11">
                  <w:rPr>
                    <w:bCs/>
                    <w:lang w:val="fr-BE" w:eastAsia="en-GB"/>
                  </w:rPr>
                  <w:t>BUDG-E-3</w:t>
                </w:r>
              </w:p>
            </w:tc>
          </w:sdtContent>
        </w:sdt>
      </w:tr>
      <w:tr w:rsidR="00377580" w:rsidRPr="006B47B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919E792" w:rsidR="00377580" w:rsidRPr="00080A71" w:rsidRDefault="00EB2A11" w:rsidP="005F6927">
                <w:pPr>
                  <w:tabs>
                    <w:tab w:val="left" w:pos="426"/>
                  </w:tabs>
                  <w:rPr>
                    <w:bCs/>
                    <w:lang w:val="en-IE" w:eastAsia="en-GB"/>
                  </w:rPr>
                </w:pPr>
                <w:r w:rsidRPr="00EB2A11">
                  <w:rPr>
                    <w:bCs/>
                    <w:lang w:val="fr-BE" w:eastAsia="en-GB"/>
                  </w:rPr>
                  <w:t>351631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D87DD20" w:rsidR="00377580" w:rsidRPr="00EB2A11" w:rsidRDefault="00EB2A11" w:rsidP="00EB2A11">
                <w:pPr>
                  <w:tabs>
                    <w:tab w:val="left" w:pos="426"/>
                  </w:tabs>
                  <w:rPr>
                    <w:bCs/>
                    <w:lang w:val="fr-BE" w:eastAsia="en-GB"/>
                  </w:rPr>
                </w:pPr>
                <w:r w:rsidRPr="00EB2A11">
                  <w:rPr>
                    <w:bCs/>
                    <w:lang w:val="fr-BE" w:eastAsia="en-GB"/>
                  </w:rPr>
                  <w:t>Christian Engelen</w:t>
                </w:r>
                <w:r w:rsidR="008A75EB">
                  <w:rPr>
                    <w:bCs/>
                    <w:lang w:val="fr-BE" w:eastAsia="en-GB"/>
                  </w:rPr>
                  <w:t xml:space="preserve">, </w:t>
                </w:r>
                <w:r w:rsidRPr="00EB2A11">
                  <w:rPr>
                    <w:bCs/>
                    <w:lang w:val="fr-BE" w:eastAsia="en-GB"/>
                  </w:rPr>
                  <w:t>Christian.engelen@ec.europa.eu</w:t>
                </w:r>
              </w:p>
            </w:sdtContent>
          </w:sdt>
          <w:p w14:paraId="32DD8032" w14:textId="31C7A75F" w:rsidR="00377580" w:rsidRPr="001D3EEC" w:rsidRDefault="008A75E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B2A11" w:rsidRPr="00EB2A11">
                  <w:rPr>
                    <w:bCs/>
                    <w:lang w:val="fr-BE" w:eastAsia="en-GB"/>
                  </w:rPr>
                  <w:t>2ième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EB2A11">
                      <w:rPr>
                        <w:bCs/>
                        <w:lang w:val="en-IE" w:eastAsia="en-GB"/>
                      </w:rPr>
                      <w:t>2024</w:t>
                    </w:r>
                  </w:sdtContent>
                </w:sdt>
              </w:sdtContent>
            </w:sdt>
          </w:p>
          <w:p w14:paraId="768BBE26" w14:textId="19588BBA" w:rsidR="00377580" w:rsidRPr="001D3EEC" w:rsidRDefault="008A75E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B2A1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EB2A11">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EB2A11"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DA47DE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73065F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A75E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A75E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A75E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650D84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BF389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965D5D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5pt" o:ole="">
                  <v:imagedata r:id="rId24" o:title=""/>
                </v:shape>
                <w:control r:id="rId25" w:name="OptionButton3" w:shapeid="_x0000_i1047"/>
              </w:object>
            </w:r>
          </w:p>
          <w:p w14:paraId="63DD2FA8" w14:textId="0DD6CF5E" w:rsidR="006B47B6" w:rsidRPr="0007110E" w:rsidRDefault="00BF389A" w:rsidP="00DE0E7F">
            <w:pPr>
              <w:tabs>
                <w:tab w:val="left" w:pos="426"/>
              </w:tabs>
              <w:spacing w:before="120" w:after="120"/>
              <w:rPr>
                <w:bCs/>
                <w:lang w:val="en-IE" w:eastAsia="en-GB"/>
              </w:rPr>
            </w:pPr>
            <w:r w:rsidRPr="00BF389A">
              <w:rPr>
                <w:bCs/>
                <w:lang w:val="fr-B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EB2A11">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1A2A45A" w14:textId="77777777" w:rsidR="00997684" w:rsidRPr="00997684" w:rsidRDefault="00997684" w:rsidP="00997684">
          <w:pPr>
            <w:rPr>
              <w:lang w:val="fr-BE" w:eastAsia="en-GB"/>
            </w:rPr>
          </w:pPr>
          <w:r w:rsidRPr="00997684">
            <w:rPr>
              <w:lang w:val="fr-BE" w:eastAsia="en-GB"/>
            </w:rPr>
            <w:t xml:space="preserve">L’unité E3 est en charge des émissions de dette de l’Union et des déboursements associés aux programmes d’assistance financière financés par ces émissions (SURE, NextGenerationEU, Assistance Macro-Financière, notamment pour l’Ukraine, etc.).  Dans ce contexte, l’unité est responsable de développer et mettre en œuvre la stratégie de financement et d’autres missions en particulier afférentes aux déboursements (administration des prêts, revue des échéanciers). L’unité est aussi responsable de la communication en la matière vis-à-vis de différentes parties prenantes comme les agences </w:t>
          </w:r>
          <w:r w:rsidRPr="00997684">
            <w:rPr>
              <w:lang w:val="fr-BE" w:eastAsia="en-GB"/>
            </w:rPr>
            <w:lastRenderedPageBreak/>
            <w:t xml:space="preserve">de notation, les banques d’investissement, les institutions paires, ainsi que du développement de la base d’investisseurs. L’unité est enfin en charge de nombreux projets permettant l’établissement des capacités nécessaires à l’accomplissement de ses missions.  </w:t>
          </w:r>
        </w:p>
        <w:p w14:paraId="18140A21" w14:textId="4787DC39" w:rsidR="001A0074" w:rsidRPr="00080A71" w:rsidRDefault="008A75EB"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2DB6CCE" w14:textId="77777777" w:rsidR="00EB2A11" w:rsidRPr="00EB2A11" w:rsidRDefault="00EB2A11" w:rsidP="00EB2A11">
          <w:pPr>
            <w:rPr>
              <w:lang w:val="fr-BE" w:eastAsia="en-GB"/>
            </w:rPr>
          </w:pPr>
          <w:r w:rsidRPr="00EB2A11">
            <w:rPr>
              <w:lang w:val="fr-BE" w:eastAsia="en-GB"/>
            </w:rPr>
            <w:t>Pour financer la réponse politique européenne à la crise de la COVID-19 et pour soutenir la reprise économique dans l'Union, la Commission a été mandatée pour mettre en œuvre la gestion de la dette liée l'instrument de relance NextGenerationEU (NGEU). Cette initiative politique prévoit l'émission d'obligations pour un montant pouvant atteindre 720 milliards d'euros d’ci fin 2026, avec un volume d'émission annuel compris entre 100 à 150 milliards d'euros au cours des prochaines années. Le produit de ces émissions sera utilisé pour financer les plans de relance nationaux (dont une partie sous la forme de prêts) et des programmes budgétaires européens existants.</w:t>
          </w:r>
        </w:p>
        <w:p w14:paraId="76EA03E2" w14:textId="77777777" w:rsidR="00EB2A11" w:rsidRPr="00EB2A11" w:rsidRDefault="00EB2A11" w:rsidP="00EB2A11">
          <w:pPr>
            <w:rPr>
              <w:lang w:val="fr-BE" w:eastAsia="en-GB"/>
            </w:rPr>
          </w:pPr>
        </w:p>
        <w:p w14:paraId="3B1D2FA2" w14:textId="0AA3E845" w:rsidR="001A0074" w:rsidRPr="00080A71" w:rsidRDefault="00EB2A11" w:rsidP="00EB2A11">
          <w:pPr>
            <w:rPr>
              <w:lang w:val="en-IE" w:eastAsia="en-GB"/>
            </w:rPr>
          </w:pPr>
          <w:r w:rsidRPr="00EB2A11">
            <w:rPr>
              <w:lang w:val="fr-BE" w:eastAsia="en-GB"/>
            </w:rPr>
            <w:t>La Commission est aussi chargée d’opérationnaliser le soutien financier à l’Ukraine et à d’autres pays tiers nécessitant un recours aux marchés obligataires. A compter de janvier 2023, la gestion de dette est « unifiée » pour tous les programmes et les opérations sont planifiées et exécutées sans considération des besoins spécifiques de financement afin de favoriser la liquidité des titres émis par l’UE. L'approche de financement de la Commission prévoit l'organisation d'opérations de financement par le biais d'une approche de financement groupé, complétée par une gestion des liquidités spécifique. Les fonds sont mobilisés par le biais de différents canaux de financement (transactions syndiquées et adjudications) et en utilisant tous les points de courbe (financement à court et à long terme). Enfin, la Commission va continuer d’émettre des obligations vertes sous réserve des dépenses éligibles issues de la Facilité de Relance et de Résilience (liée au programme NGEU).</w:t>
          </w: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47AF5F7B" w:rsidR="001A0074" w:rsidRDefault="00EB2A11" w:rsidP="0053405E">
          <w:pPr>
            <w:pStyle w:val="ListNumber"/>
            <w:numPr>
              <w:ilvl w:val="0"/>
              <w:numId w:val="0"/>
            </w:numPr>
            <w:rPr>
              <w:lang w:val="fr-BE" w:eastAsia="en-GB"/>
            </w:rPr>
          </w:pPr>
          <w:r w:rsidRPr="00EB2A11">
            <w:rPr>
              <w:lang w:val="fr-BE" w:eastAsia="en-GB"/>
            </w:rPr>
            <w:t>Ce poste offre aux experts nationaux dotés d'une expérience en gestion d'opérations financières et de dette la possibilité de rejoindre une équipe située au cœur du financement du plan de relance européen post COVID-19 et de bien d’autres priorités politiques qui nécessitent un recours aux marchés de capitaux.</w:t>
          </w:r>
        </w:p>
        <w:p w14:paraId="6ED91F37" w14:textId="77777777" w:rsidR="00EB2A11" w:rsidRPr="00EB2A11" w:rsidRDefault="00EB2A11" w:rsidP="00EB2A11">
          <w:pPr>
            <w:pStyle w:val="ListNumber"/>
            <w:numPr>
              <w:ilvl w:val="0"/>
              <w:numId w:val="0"/>
            </w:numPr>
            <w:ind w:left="709"/>
            <w:rPr>
              <w:lang w:val="en-IE" w:eastAsia="en-GB"/>
            </w:rPr>
          </w:pPr>
          <w:r w:rsidRPr="00EB2A11">
            <w:rPr>
              <w:lang w:val="en-IE" w:eastAsia="en-GB"/>
            </w:rPr>
            <w:t>La Commission cherche à compléter son équipe pas un expert national qui pourra apporter une expérience opérationnelle dans la gestion des opérations financières. En particulier, l'expert national sera sélectionné en vue de :</w:t>
          </w:r>
        </w:p>
        <w:p w14:paraId="1A8F750C" w14:textId="77777777" w:rsidR="00EB2A11" w:rsidRPr="00EB2A11" w:rsidRDefault="00EB2A11" w:rsidP="00EB2A11">
          <w:pPr>
            <w:pStyle w:val="ListNumber"/>
            <w:numPr>
              <w:ilvl w:val="0"/>
              <w:numId w:val="0"/>
            </w:numPr>
            <w:ind w:left="709"/>
            <w:rPr>
              <w:lang w:val="en-IE" w:eastAsia="en-GB"/>
            </w:rPr>
          </w:pPr>
          <w:r w:rsidRPr="00EB2A11">
            <w:rPr>
              <w:lang w:val="en-IE" w:eastAsia="en-GB"/>
            </w:rPr>
            <w:t>-</w:t>
          </w:r>
          <w:r w:rsidRPr="00EB2A11">
            <w:rPr>
              <w:lang w:val="en-IE" w:eastAsia="en-GB"/>
            </w:rPr>
            <w:tab/>
            <w:t>Renforcer la capacité de la Commission pour une gestion intégrée de la dette et des liquidités dans le cadre;</w:t>
          </w:r>
        </w:p>
        <w:p w14:paraId="0C8A0EC6" w14:textId="77777777" w:rsidR="00EB2A11" w:rsidRPr="00EB2A11" w:rsidRDefault="00EB2A11" w:rsidP="00EB2A11">
          <w:pPr>
            <w:pStyle w:val="ListNumber"/>
            <w:numPr>
              <w:ilvl w:val="0"/>
              <w:numId w:val="0"/>
            </w:numPr>
            <w:ind w:left="709"/>
            <w:rPr>
              <w:lang w:val="en-IE" w:eastAsia="en-GB"/>
            </w:rPr>
          </w:pPr>
          <w:r w:rsidRPr="00EB2A11">
            <w:rPr>
              <w:lang w:val="en-IE" w:eastAsia="en-GB"/>
            </w:rPr>
            <w:t>-</w:t>
          </w:r>
          <w:r w:rsidRPr="00EB2A11">
            <w:rPr>
              <w:lang w:val="en-IE" w:eastAsia="en-GB"/>
            </w:rPr>
            <w:tab/>
            <w:t>Soutenir la gestion et le contrôle des risques pour les opérations de financement, conformément aux politiques de risque définies par le responsable directeur des risques de la Commission ;</w:t>
          </w:r>
        </w:p>
        <w:p w14:paraId="27658B5C" w14:textId="77777777" w:rsidR="00EB2A11" w:rsidRPr="00EB2A11" w:rsidRDefault="00EB2A11" w:rsidP="00EB2A11">
          <w:pPr>
            <w:pStyle w:val="ListNumber"/>
            <w:numPr>
              <w:ilvl w:val="0"/>
              <w:numId w:val="0"/>
            </w:numPr>
            <w:ind w:left="709"/>
            <w:rPr>
              <w:lang w:val="en-IE" w:eastAsia="en-GB"/>
            </w:rPr>
          </w:pPr>
          <w:r w:rsidRPr="00EB2A11">
            <w:rPr>
              <w:lang w:val="en-IE" w:eastAsia="en-GB"/>
            </w:rPr>
            <w:lastRenderedPageBreak/>
            <w:t>-</w:t>
          </w:r>
          <w:r w:rsidRPr="00EB2A11">
            <w:rPr>
              <w:lang w:val="en-IE" w:eastAsia="en-GB"/>
            </w:rPr>
            <w:tab/>
            <w:t xml:space="preserve">Soutenir la Commission dans le développement du cadre opérationnel de la gestion de la dette, par exemple, par le biais d'instruments et de processus supplémentaires pour affiner son approche du financement. </w:t>
          </w:r>
        </w:p>
        <w:p w14:paraId="49F19231" w14:textId="2095EB1A" w:rsidR="00EB2A11" w:rsidRPr="00EB2A11" w:rsidRDefault="00EB2A11" w:rsidP="00EB2A11">
          <w:pPr>
            <w:pStyle w:val="ListNumber"/>
            <w:numPr>
              <w:ilvl w:val="0"/>
              <w:numId w:val="0"/>
            </w:numPr>
            <w:ind w:left="709"/>
            <w:rPr>
              <w:lang w:val="en-IE" w:eastAsia="en-GB"/>
            </w:rPr>
          </w:pPr>
          <w:r w:rsidRPr="00EB2A11">
            <w:rPr>
              <w:lang w:val="en-IE" w:eastAsia="en-GB"/>
            </w:rPr>
            <w:t xml:space="preserve">L'expert national assumera d'importantes responsabilités dans son domaine de compétence respectif et sera fortement sollicité pour des conseils stratégiques et opérationnels. L'expert national bénéficiera d'une autonomie considérable et d'une grande marge d'initiative pour atteindre les objectifs convenus, tout en étant pleinement intégré et en travaillant au sein de la structure organisationnelle et de gestion de la direction. </w:t>
          </w:r>
        </w:p>
        <w:p w14:paraId="03F329D9" w14:textId="53823F76" w:rsidR="00EB2A11" w:rsidRPr="00017FBA" w:rsidRDefault="00EB2A11" w:rsidP="00EB2A11">
          <w:pPr>
            <w:pStyle w:val="ListNumber"/>
            <w:numPr>
              <w:ilvl w:val="0"/>
              <w:numId w:val="0"/>
            </w:numPr>
            <w:rPr>
              <w:lang w:val="en-IE" w:eastAsia="en-GB"/>
            </w:rPr>
          </w:pPr>
          <w:r w:rsidRPr="00EB2A11">
            <w:rPr>
              <w:lang w:val="en-IE" w:eastAsia="en-GB"/>
            </w:rPr>
            <w:t>L'expert rejoindra la direction qui effectue les opérations de marché pour le compte du budget de l'Union ("Gestion d’actifs, de dette et des risques financiers"). Cette direction, dont l'essentiel des activités est situé à Luxembourg, fait partie de la direction générale du Budget de la Commission. En plus des activités d'emprunt et de prêt susmentionnées, cette direction, très active et en pleine expansion, gère également les actifs que la Commission détient au nom de différentes politiques de l'Union, notamment les fonds de garantie pour l'EFSI, InvestEU et la Garantie pour l'Actions Extérieure. Cette direction coordonne également le cadre politique de la Commission pour la gestion et le compte rendu de l'accumulation de passifs éventuels dans le cadre des garanties budgétaires.</w:t>
          </w: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07AF9"/>
    <w:rsid w:val="00215A56"/>
    <w:rsid w:val="0028413D"/>
    <w:rsid w:val="002841B7"/>
    <w:rsid w:val="002A6E30"/>
    <w:rsid w:val="002B37EB"/>
    <w:rsid w:val="002D7152"/>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8A75EB"/>
    <w:rsid w:val="0092295D"/>
    <w:rsid w:val="00997684"/>
    <w:rsid w:val="00A65B97"/>
    <w:rsid w:val="00A917BE"/>
    <w:rsid w:val="00B31DC8"/>
    <w:rsid w:val="00BD700C"/>
    <w:rsid w:val="00BF389A"/>
    <w:rsid w:val="00C518F5"/>
    <w:rsid w:val="00D703FC"/>
    <w:rsid w:val="00D82B48"/>
    <w:rsid w:val="00DC5C83"/>
    <w:rsid w:val="00E0579E"/>
    <w:rsid w:val="00E5708E"/>
    <w:rsid w:val="00E850B7"/>
    <w:rsid w:val="00E927FE"/>
    <w:rsid w:val="00EB2A11"/>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2066E8"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066E8"/>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dcmitype/"/>
    <ds:schemaRef ds:uri="http://schemas.microsoft.com/office/2006/documentManagement/types"/>
    <ds:schemaRef ds:uri="http://purl.org/dc/terms/"/>
    <ds:schemaRef ds:uri="http://schemas.openxmlformats.org/package/2006/metadata/core-properties"/>
    <ds:schemaRef ds:uri="08927195-b699-4be0-9ee2-6c66dc215b5a"/>
    <ds:schemaRef ds:uri="http://www.w3.org/XML/1998/namespace"/>
    <ds:schemaRef ds:uri="http://schemas.microsoft.com/office/infopath/2007/PartnerControls"/>
    <ds:schemaRef ds:uri="a41a97bf-0494-41d8-ba3d-259bd7771890"/>
    <ds:schemaRef ds:uri="http://purl.org/dc/elements/1.1/"/>
    <ds:schemaRef ds:uri="http://schemas.microsoft.com/sharepoint/v3/fields"/>
    <ds:schemaRef ds:uri="1929b814-5a78-4bdc-9841-d8b9ef424f65"/>
    <ds:schemaRef ds:uri="http://schemas.microsoft.com/office/2006/metadata/propertie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1499</Words>
  <Characters>8548</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PANTOU Christina (BUDG)</cp:lastModifiedBy>
  <cp:revision>6</cp:revision>
  <cp:lastPrinted>2023-04-18T07:01:00Z</cp:lastPrinted>
  <dcterms:created xsi:type="dcterms:W3CDTF">2024-02-08T12:02:00Z</dcterms:created>
  <dcterms:modified xsi:type="dcterms:W3CDTF">2024-02-08T15:11:00Z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