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014C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6014C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6014C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014C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014C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6014C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0F0D3E"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E2612BB" w:rsidR="00377580" w:rsidRPr="00080A71" w:rsidRDefault="000F0D3E" w:rsidP="005F6927">
                <w:pPr>
                  <w:tabs>
                    <w:tab w:val="left" w:pos="426"/>
                  </w:tabs>
                  <w:rPr>
                    <w:bCs/>
                    <w:lang w:val="en-IE" w:eastAsia="en-GB"/>
                  </w:rPr>
                </w:pPr>
                <w:r>
                  <w:rPr>
                    <w:bCs/>
                    <w:lang w:val="fr-BE" w:eastAsia="en-GB"/>
                  </w:rPr>
                  <w:t>FISMA-D-4</w:t>
                </w:r>
              </w:p>
            </w:tc>
          </w:sdtContent>
        </w:sdt>
      </w:tr>
      <w:tr w:rsidR="00377580" w:rsidRPr="000F0D3E"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4E426FF4" w:rsidR="00377580" w:rsidRPr="00080A71" w:rsidRDefault="0094761E" w:rsidP="005F6927">
                <w:pPr>
                  <w:tabs>
                    <w:tab w:val="left" w:pos="426"/>
                  </w:tabs>
                  <w:rPr>
                    <w:bCs/>
                    <w:lang w:val="en-IE" w:eastAsia="en-GB"/>
                  </w:rPr>
                </w:pPr>
                <w:r>
                  <w:rPr>
                    <w:bCs/>
                    <w:lang w:val="fr-BE" w:eastAsia="en-GB"/>
                  </w:rPr>
                  <w:t>198417</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C63F884" w:rsidR="00377580" w:rsidRPr="00487E96" w:rsidRDefault="000F0D3E" w:rsidP="005F6927">
                <w:pPr>
                  <w:tabs>
                    <w:tab w:val="left" w:pos="426"/>
                  </w:tabs>
                  <w:rPr>
                    <w:bCs/>
                    <w:lang w:val="fr-BE" w:eastAsia="en-GB"/>
                  </w:rPr>
                </w:pPr>
                <w:r>
                  <w:rPr>
                    <w:bCs/>
                    <w:lang w:val="fr-BE" w:eastAsia="en-GB"/>
                  </w:rPr>
                  <w:t>Didier MILLEROT</w:t>
                </w:r>
              </w:p>
            </w:sdtContent>
          </w:sdt>
          <w:p w14:paraId="32DD8032" w14:textId="66792998" w:rsidR="00377580" w:rsidRPr="001D3EEC" w:rsidRDefault="006014CC"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94761E">
                  <w:rPr>
                    <w:bCs/>
                    <w:lang w:val="fr-BE" w:eastAsia="en-GB"/>
                  </w:rPr>
                  <w:t>1st</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94761E">
                      <w:rPr>
                        <w:bCs/>
                        <w:lang w:val="fr-BE" w:eastAsia="en-GB"/>
                      </w:rPr>
                      <w:t>2024</w:t>
                    </w:r>
                  </w:sdtContent>
                </w:sdt>
              </w:sdtContent>
            </w:sdt>
          </w:p>
          <w:p w14:paraId="768BBE26" w14:textId="00497E9F" w:rsidR="00377580" w:rsidRPr="001D3EEC" w:rsidRDefault="006014CC"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0F0D3E">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0F0D3E">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487E96">
                  <w:rPr>
                    <w:bCs/>
                    <w:szCs w:val="24"/>
                    <w:lang w:val="fr-BE" w:eastAsia="en-GB"/>
                  </w:rPr>
                  <w:t xml:space="preserve"> </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13B2289"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6F3C32B"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6014CC"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6014C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6014CC"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D6FA403"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487E96"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8F41E17"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6944656D" w:rsidR="006B47B6" w:rsidRPr="0007110E" w:rsidRDefault="00BF389A" w:rsidP="00DE0E7F">
            <w:pPr>
              <w:tabs>
                <w:tab w:val="left" w:pos="426"/>
              </w:tabs>
              <w:spacing w:before="120" w:after="120"/>
              <w:rPr>
                <w:bCs/>
                <w:lang w:val="en-IE" w:eastAsia="en-GB"/>
              </w:rPr>
            </w:pPr>
            <w:r w:rsidRPr="000F0D3E">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3-25T00:00:00Z">
                  <w:dateFormat w:val="dd-MM-yyyy"/>
                  <w:lid w:val="fr-BE"/>
                  <w:storeMappedDataAs w:val="dateTime"/>
                  <w:calendar w:val="gregorian"/>
                </w:date>
              </w:sdtPr>
              <w:sdtEndPr/>
              <w:sdtContent>
                <w:r w:rsidR="006014CC">
                  <w:rPr>
                    <w:bCs/>
                    <w:lang w:val="fr-BE" w:eastAsia="en-GB"/>
                  </w:rPr>
                  <w:t>25-03-2024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20D32E3F" w14:textId="77777777" w:rsidR="000F0D3E" w:rsidRDefault="000F0D3E" w:rsidP="000F0D3E">
          <w:r>
            <w:t>La DG FISMA (Stabilité financière, services financiers et union des marchés des capitaux) est chargée d’initier et de mettre en œuvre des mesures de réglementation et d’intégration des marchés financiers.</w:t>
          </w:r>
        </w:p>
        <w:p w14:paraId="18140A21" w14:textId="46DEF545" w:rsidR="001A0074" w:rsidRPr="000F0D3E" w:rsidRDefault="000F0D3E" w:rsidP="001A0074">
          <w:r>
            <w:t xml:space="preserve">Le poste est vacant dans l’unité en charge du secteur assurances et fonds de pensions, laquelle est composée d’une vingtaine de membres administrateurs de la Commission européenne et experts nationaux détachés. Parmi ses attributions principales, l’unité assure le développement et la mise en œuvre d’un cadre juridique prudentiel européen pour les </w:t>
          </w:r>
          <w:r>
            <w:lastRenderedPageBreak/>
            <w:t>entreprises d’assurance (la Directive Solvabilité II). L’unité traite aussi des questions relatives à la protection des consommateurs en particulier dans la cadre de la distribution de produits d’assurance, y compris dans le secteur des véhicules à moteur et dans celui des pensions professionnelles et privées (IORP, PEPP). Dans ce contexte, l’unité joue un rôle clé dans l’élaboration d’une Stratégie pour les Investisseurs de Détail pour laquelle des propositions législatives ont été présentées en mai 2023. L’unité est également responsable des relations avec les pays tiers et les organisations internationales compétentes en matière d’assurance. Elle travaille en coopération étroite avec l’Autorité européenne des assurances et des pensions professionnelles (AEAPP) et représente l’UE dans le ses relations internationales, en particulier au sein de l’Association Internationale des Contrôleurs d’Assurance (AICA).</w:t>
          </w:r>
        </w:p>
      </w:sdtContent>
    </w:sdt>
    <w:p w14:paraId="30B422AA" w14:textId="77777777" w:rsidR="00301CA3" w:rsidRPr="00487E96"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68F6AAAA" w14:textId="535EE720" w:rsidR="00D509EF" w:rsidRDefault="00D509EF" w:rsidP="00D509EF">
          <w:pPr>
            <w:spacing w:after="300"/>
            <w:rPr>
              <w:szCs w:val="24"/>
              <w:lang w:val="fr-BE"/>
            </w:rPr>
          </w:pPr>
          <w:r>
            <w:rPr>
              <w:szCs w:val="24"/>
              <w:lang w:val="fr-BE"/>
            </w:rPr>
            <w:t>Les principales responsabilités seront liées à la finalisation et à la mise en œuvre de la révision de la directive Solvabilité II. Après la conclusion d'un accord politique sur le contenu des dispositions de niveau 1 de la revue (décembre 2023), le travail portera désormais sur la conception et l'adoption des dispositions correspondantes de niveau 2 / mesures d’exécution. Plusieurs domaines d'expertise seront nécessaires pour ce travail, notamment en matière de supervision micro et macroprudentielle des assureurs.</w:t>
          </w:r>
        </w:p>
        <w:p w14:paraId="59FE287A" w14:textId="77777777" w:rsidR="00D509EF" w:rsidRDefault="00D509EF" w:rsidP="00D509EF">
          <w:pPr>
            <w:spacing w:before="300" w:after="300"/>
            <w:rPr>
              <w:szCs w:val="24"/>
              <w:lang w:val="fr-BE"/>
            </w:rPr>
          </w:pPr>
          <w:r>
            <w:rPr>
              <w:szCs w:val="24"/>
              <w:lang w:val="fr-BE"/>
            </w:rPr>
            <w:t>De plus, le candidat retenu aura également l'occasion, en fonction de son expertise et des besoins de l'unité, de s'impliquer dans un ou plusieurs des domaines de travail suivants :</w:t>
          </w:r>
        </w:p>
        <w:p w14:paraId="0663BFAB" w14:textId="77777777" w:rsidR="00D509EF" w:rsidRDefault="00D509EF" w:rsidP="00D509EF">
          <w:pPr>
            <w:numPr>
              <w:ilvl w:val="0"/>
              <w:numId w:val="26"/>
            </w:numPr>
            <w:spacing w:after="0"/>
            <w:ind w:left="1440"/>
            <w:jc w:val="left"/>
            <w:rPr>
              <w:szCs w:val="24"/>
              <w:lang w:val="fr-BE"/>
            </w:rPr>
          </w:pPr>
          <w:r>
            <w:rPr>
              <w:szCs w:val="24"/>
              <w:lang w:val="fr-BE"/>
            </w:rPr>
            <w:t>le rôle de l'assurance dans le domaine de la finance durable, y compris le lien avec les initiatives horizontales et le débat sur les lacunes en matière de couverture de risque (‘protection gaps’) ;</w:t>
          </w:r>
        </w:p>
        <w:p w14:paraId="3BBCB373" w14:textId="77777777" w:rsidR="00D509EF" w:rsidRDefault="00D509EF" w:rsidP="00D509EF">
          <w:pPr>
            <w:numPr>
              <w:ilvl w:val="0"/>
              <w:numId w:val="26"/>
            </w:numPr>
            <w:spacing w:after="0"/>
            <w:ind w:left="1440"/>
            <w:jc w:val="left"/>
            <w:rPr>
              <w:szCs w:val="24"/>
              <w:lang w:val="fr-BE"/>
            </w:rPr>
          </w:pPr>
          <w:r>
            <w:rPr>
              <w:szCs w:val="24"/>
              <w:lang w:val="fr-BE"/>
            </w:rPr>
            <w:t>la supervision des groupes d'assurance, y compris une possible révision de la directive sur les conglomérats financiers (FICOD) ;</w:t>
          </w:r>
        </w:p>
        <w:p w14:paraId="513D22AF" w14:textId="77777777" w:rsidR="00D509EF" w:rsidRDefault="00D509EF" w:rsidP="00D509EF">
          <w:pPr>
            <w:numPr>
              <w:ilvl w:val="0"/>
              <w:numId w:val="26"/>
            </w:numPr>
            <w:spacing w:after="0"/>
            <w:ind w:left="1440"/>
            <w:jc w:val="left"/>
            <w:rPr>
              <w:szCs w:val="24"/>
              <w:lang w:val="fr-BE"/>
            </w:rPr>
          </w:pPr>
          <w:r>
            <w:rPr>
              <w:szCs w:val="24"/>
              <w:lang w:val="fr-BE"/>
            </w:rPr>
            <w:t>l'impact des développements numériques sur le secteur de l'assurance ;</w:t>
          </w:r>
        </w:p>
        <w:p w14:paraId="31688099" w14:textId="77777777" w:rsidR="00D509EF" w:rsidRDefault="00D509EF" w:rsidP="00D509EF">
          <w:pPr>
            <w:numPr>
              <w:ilvl w:val="0"/>
              <w:numId w:val="26"/>
            </w:numPr>
            <w:spacing w:after="0"/>
            <w:ind w:left="1440"/>
            <w:jc w:val="left"/>
            <w:rPr>
              <w:szCs w:val="24"/>
              <w:lang w:val="fr-BE"/>
            </w:rPr>
          </w:pPr>
          <w:r>
            <w:rPr>
              <w:szCs w:val="24"/>
              <w:lang w:val="fr-BE"/>
            </w:rPr>
            <w:t>la supervision macroprudentielle des entreprises d'assurance et des institutions de retraite professionnelle (IRP), y compris dans le contexte international ;</w:t>
          </w:r>
        </w:p>
        <w:p w14:paraId="111A2C13" w14:textId="77777777" w:rsidR="00D509EF" w:rsidRDefault="00D509EF" w:rsidP="00D509EF">
          <w:pPr>
            <w:numPr>
              <w:ilvl w:val="0"/>
              <w:numId w:val="26"/>
            </w:numPr>
            <w:spacing w:after="0"/>
            <w:ind w:left="1440"/>
            <w:jc w:val="left"/>
            <w:rPr>
              <w:szCs w:val="24"/>
              <w:lang w:val="fr-BE"/>
            </w:rPr>
          </w:pPr>
          <w:r>
            <w:rPr>
              <w:szCs w:val="24"/>
              <w:lang w:val="fr-BE"/>
            </w:rPr>
            <w:t>les problématiques liées à la protection des consommateurs, et notamment en contribuant à la négociation de l'initiative RIS et à la mise en œuvre de la directive sur la distribution d'assurances ;</w:t>
          </w:r>
        </w:p>
        <w:p w14:paraId="34199B1C" w14:textId="77777777" w:rsidR="00D509EF" w:rsidRDefault="00D509EF" w:rsidP="00D509EF">
          <w:pPr>
            <w:numPr>
              <w:ilvl w:val="0"/>
              <w:numId w:val="26"/>
            </w:numPr>
            <w:spacing w:after="0"/>
            <w:ind w:left="1440"/>
            <w:jc w:val="left"/>
            <w:rPr>
              <w:szCs w:val="24"/>
              <w:lang w:val="fr-BE"/>
            </w:rPr>
          </w:pPr>
          <w:r>
            <w:rPr>
              <w:szCs w:val="24"/>
              <w:lang w:val="fr-BE"/>
            </w:rPr>
            <w:t>le travail d'application, les vérifications de transposition, le traitement des cas de mauvaise application du cadre réglementaire des assurances et des pensions.</w:t>
          </w:r>
        </w:p>
        <w:p w14:paraId="55606294" w14:textId="77777777" w:rsidR="00D509EF" w:rsidRDefault="00D509EF" w:rsidP="00D509EF">
          <w:pPr>
            <w:spacing w:before="300" w:after="300"/>
            <w:rPr>
              <w:szCs w:val="24"/>
              <w:lang w:val="fr-BE"/>
            </w:rPr>
          </w:pPr>
          <w:r>
            <w:rPr>
              <w:szCs w:val="24"/>
              <w:lang w:val="fr-BE"/>
            </w:rPr>
            <w:t>L'expert réalisera des analyses, rédigera des notes et des synthèses et contribuera à l'élaboration d'initiatives politiques dans les domaines relevant de sa responsabilité. Il informera la direction de FISMA ou la Commissaire lors de leurs rencontres avec les parties prenantes, et participera à des réunions de haut niveau, sous la supervision d'un responsable. L'expert prendra part à des réunions liées aux processus législatifs en cours, aux groupes d'experts et à d'autres forums pertinents pour le poste. L'expert participera également occasionnellement à des conférences publiques sur des sujets liés à ses domaines de responsabilité. Le poste implique des contacts réguliers avec l’AEAPP/l’AICA et la participation aux groupes de travail de l’AEAPP ou de l’AICA.</w:t>
          </w:r>
        </w:p>
        <w:p w14:paraId="46275643" w14:textId="4A91B879" w:rsidR="00D509EF" w:rsidRPr="00D509EF" w:rsidRDefault="00D509EF" w:rsidP="00D509EF">
          <w:pPr>
            <w:spacing w:before="300" w:after="100"/>
            <w:rPr>
              <w:szCs w:val="24"/>
              <w:lang w:val="fr-BE"/>
            </w:rPr>
          </w:pPr>
          <w:r>
            <w:rPr>
              <w:szCs w:val="24"/>
              <w:lang w:val="fr-BE"/>
            </w:rPr>
            <w:lastRenderedPageBreak/>
            <w:t>L'expert fera partie d'une équipe hautement motivée et conviviale et devra travailler en équipe et fournir un travail de qualité sur différents sujets simultanément. Le candidat retenu devra être un bon communicant tant à l'écrit qu'à l'oral, avoir une approche analytique et orientée vers la résolution de problèmes, ainsi qu'un bon sens des priorités et d'excellentes compétences interpersonnelles.</w:t>
          </w:r>
        </w:p>
        <w:p w14:paraId="3B1D2FA2" w14:textId="6AA4249E" w:rsidR="001A0074" w:rsidRPr="000F0D3E" w:rsidRDefault="006014CC" w:rsidP="001A0074"/>
      </w:sdtContent>
    </w:sdt>
    <w:p w14:paraId="3D69C09B" w14:textId="77777777" w:rsidR="00301CA3" w:rsidRPr="00487E96"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154A575" w14:textId="4A4A3B83" w:rsidR="000F0D3E" w:rsidRDefault="00487E96" w:rsidP="000F0D3E">
          <w:pPr>
            <w:tabs>
              <w:tab w:val="left" w:pos="709"/>
            </w:tabs>
            <w:spacing w:after="0"/>
            <w:ind w:right="60"/>
            <w:rPr>
              <w:lang w:eastAsia="en-GB"/>
            </w:rPr>
          </w:pPr>
          <w:r>
            <w:rPr>
              <w:lang w:val="fr-BE" w:eastAsia="en-GB"/>
            </w:rPr>
            <w:t>Le candidat doit posséder un</w:t>
          </w:r>
          <w:r w:rsidR="00F53CD0">
            <w:rPr>
              <w:lang w:val="fr-BE" w:eastAsia="en-GB"/>
            </w:rPr>
            <w:t>e</w:t>
          </w:r>
          <w:r>
            <w:rPr>
              <w:lang w:val="fr-BE" w:eastAsia="en-GB"/>
            </w:rPr>
            <w:t xml:space="preserve"> d</w:t>
          </w:r>
          <w:r w:rsidR="000F0D3E">
            <w:rPr>
              <w:lang w:eastAsia="en-GB"/>
            </w:rPr>
            <w:t xml:space="preserve">iplôme universitaire ou formation professionnelle ou expérience professionnelle de niveau équivalent dans le(s) domaine(s): </w:t>
          </w:r>
          <w:r w:rsidR="000F0D3E">
            <w:t>économie, économétrie ou mathématiques, actuariat, droit ou comptabilité.</w:t>
          </w:r>
        </w:p>
        <w:p w14:paraId="675C6014" w14:textId="77777777" w:rsidR="000F0D3E" w:rsidRDefault="000F0D3E" w:rsidP="000F0D3E">
          <w:pPr>
            <w:tabs>
              <w:tab w:val="left" w:pos="709"/>
            </w:tabs>
            <w:spacing w:after="0"/>
            <w:ind w:left="709" w:right="60"/>
            <w:rPr>
              <w:lang w:eastAsia="en-GB"/>
            </w:rPr>
          </w:pPr>
        </w:p>
        <w:p w14:paraId="660BC645" w14:textId="77777777" w:rsidR="000F0D3E" w:rsidRDefault="000F0D3E" w:rsidP="000F0D3E">
          <w:pPr>
            <w:tabs>
              <w:tab w:val="left" w:pos="709"/>
            </w:tabs>
            <w:spacing w:after="0"/>
            <w:ind w:right="60"/>
            <w:rPr>
              <w:u w:val="single"/>
              <w:lang w:eastAsia="en-GB"/>
            </w:rPr>
          </w:pPr>
          <w:r>
            <w:rPr>
              <w:lang w:eastAsia="en-GB"/>
            </w:rPr>
            <w:t xml:space="preserve">Le candidat doit posséder une expérience </w:t>
          </w:r>
          <w:r>
            <w:t>dans le</w:t>
          </w:r>
          <w:r>
            <w:rPr>
              <w:lang w:eastAsia="en-GB"/>
            </w:rPr>
            <w:t xml:space="preserve"> secteur financier ou </w:t>
          </w:r>
          <w:r>
            <w:t>dans</w:t>
          </w:r>
          <w:r>
            <w:rPr>
              <w:lang w:eastAsia="en-GB"/>
            </w:rPr>
            <w:t xml:space="preserve"> sa réglementation. Le candidat doit avoir une bonne connaissance du secteur de l’assurance et de l’activité d’assurance et </w:t>
          </w:r>
          <w:r>
            <w:t>doit avoir un intérêt prononcé pour</w:t>
          </w:r>
          <w:r>
            <w:rPr>
              <w:lang w:eastAsia="en-GB"/>
            </w:rPr>
            <w:t xml:space="preserve"> la </w:t>
          </w:r>
          <w:r>
            <w:t>finance durable</w:t>
          </w:r>
          <w:r>
            <w:rPr>
              <w:lang w:eastAsia="en-GB"/>
            </w:rPr>
            <w:t xml:space="preserve">. </w:t>
          </w:r>
          <w:r>
            <w:t>La</w:t>
          </w:r>
          <w:r>
            <w:rPr>
              <w:lang w:eastAsia="en-GB"/>
            </w:rPr>
            <w:t xml:space="preserve"> connaissance des procédures institutionnelles de l’Union et de la rédaction juridique serait également un atout.</w:t>
          </w:r>
          <w:r>
            <w:t xml:space="preserve"> Une expérience antérieure en matière de conception de politiques et d'analyse économique serait un atout supplémentaire. </w:t>
          </w:r>
        </w:p>
        <w:p w14:paraId="6CC22BA4" w14:textId="77777777" w:rsidR="000F0D3E" w:rsidRDefault="000F0D3E" w:rsidP="000F0D3E">
          <w:pPr>
            <w:tabs>
              <w:tab w:val="left" w:pos="709"/>
            </w:tabs>
            <w:spacing w:after="0"/>
            <w:ind w:left="709" w:right="60"/>
            <w:rPr>
              <w:u w:val="single"/>
              <w:lang w:eastAsia="en-GB"/>
            </w:rPr>
          </w:pPr>
        </w:p>
        <w:p w14:paraId="701125F7" w14:textId="77777777" w:rsidR="000F0D3E" w:rsidRDefault="000F0D3E" w:rsidP="000F0D3E">
          <w:pPr>
            <w:tabs>
              <w:tab w:val="left" w:pos="709"/>
            </w:tabs>
            <w:spacing w:after="0"/>
            <w:ind w:right="60"/>
            <w:rPr>
              <w:u w:val="single"/>
              <w:lang w:eastAsia="en-GB"/>
            </w:rPr>
          </w:pPr>
          <w:r>
            <w:rPr>
              <w:lang w:eastAsia="en-GB"/>
            </w:rPr>
            <w:t xml:space="preserve">Ce poste requiert une grande flexibilité et une grande capacité à résister à la pression. </w:t>
          </w:r>
          <w:r>
            <w:t>Étant donné que l</w:t>
          </w:r>
          <w:r>
            <w:rPr>
              <w:lang w:eastAsia="en-GB"/>
            </w:rPr>
            <w:t xml:space="preserve">es interlocuteurs </w:t>
          </w:r>
          <w:r>
            <w:t>seront</w:t>
          </w:r>
          <w:r>
            <w:rPr>
              <w:lang w:eastAsia="en-GB"/>
            </w:rPr>
            <w:t xml:space="preserve"> souvent de haut niveau (par exemple, représentants de gouvernements nationaux, députés européens, dirigeants d’entreprises d’assurance), l’expert devra aussi savoir faire preuve de sens politique.</w:t>
          </w:r>
        </w:p>
        <w:p w14:paraId="5CEA6A71" w14:textId="77777777" w:rsidR="000F0D3E" w:rsidRDefault="000F0D3E" w:rsidP="000F0D3E">
          <w:pPr>
            <w:tabs>
              <w:tab w:val="left" w:pos="709"/>
            </w:tabs>
            <w:spacing w:after="0"/>
            <w:ind w:left="709" w:right="60"/>
            <w:rPr>
              <w:u w:val="single"/>
              <w:lang w:eastAsia="en-GB"/>
            </w:rPr>
          </w:pPr>
        </w:p>
        <w:p w14:paraId="07A3C9C6" w14:textId="77777777" w:rsidR="000F0D3E" w:rsidRDefault="000F0D3E" w:rsidP="000F0D3E">
          <w:pPr>
            <w:tabs>
              <w:tab w:val="left" w:pos="709"/>
            </w:tabs>
            <w:spacing w:after="0"/>
            <w:ind w:right="60"/>
            <w:rPr>
              <w:u w:val="single"/>
              <w:lang w:eastAsia="en-GB"/>
            </w:rPr>
          </w:pPr>
          <w:r>
            <w:rPr>
              <w:lang w:eastAsia="en-GB"/>
            </w:rPr>
            <w:t>L'expert national détaché doit maîtriser au moins deux langues de l'Union européenne. La langue de travail principale est l’anglais. Une bonne maîtrise du français serait appréciée</w:t>
          </w:r>
          <w:r>
            <w:t xml:space="preserve"> mais elle n'est pas nécessaire</w:t>
          </w:r>
          <w:r>
            <w:rPr>
              <w:lang w:eastAsia="en-GB"/>
            </w:rPr>
            <w:t>.</w:t>
          </w:r>
        </w:p>
        <w:p w14:paraId="7E409EA7" w14:textId="4A4A3B83" w:rsidR="001A0074" w:rsidRPr="00017FBA" w:rsidRDefault="006014CC"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 xml:space="preserve">est un </w:t>
      </w:r>
      <w:r w:rsidR="00866E7F">
        <w:rPr>
          <w:lang w:val="fr-BE" w:eastAsia="en-GB"/>
        </w:rPr>
        <w:lastRenderedPageBreak/>
        <w:t>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lastRenderedPageBreak/>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DAC2C43"/>
    <w:multiLevelType w:val="multilevel"/>
    <w:tmpl w:val="95EABE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7"/>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107991307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F0D3E"/>
    <w:rsid w:val="001A0074"/>
    <w:rsid w:val="001D3EEC"/>
    <w:rsid w:val="00215A56"/>
    <w:rsid w:val="0028413D"/>
    <w:rsid w:val="002841B7"/>
    <w:rsid w:val="002A6E30"/>
    <w:rsid w:val="002B37EB"/>
    <w:rsid w:val="00301CA3"/>
    <w:rsid w:val="00377580"/>
    <w:rsid w:val="00394581"/>
    <w:rsid w:val="00443957"/>
    <w:rsid w:val="00462268"/>
    <w:rsid w:val="00487E96"/>
    <w:rsid w:val="004A4BB7"/>
    <w:rsid w:val="004D3B51"/>
    <w:rsid w:val="0053405E"/>
    <w:rsid w:val="00556CBD"/>
    <w:rsid w:val="006014CC"/>
    <w:rsid w:val="006A1CB2"/>
    <w:rsid w:val="006B47B6"/>
    <w:rsid w:val="006F23BA"/>
    <w:rsid w:val="0074301E"/>
    <w:rsid w:val="007A10AA"/>
    <w:rsid w:val="007A1396"/>
    <w:rsid w:val="007B5FAE"/>
    <w:rsid w:val="007E131B"/>
    <w:rsid w:val="007E4F35"/>
    <w:rsid w:val="008241B0"/>
    <w:rsid w:val="008315CD"/>
    <w:rsid w:val="00866E7F"/>
    <w:rsid w:val="008A0FF3"/>
    <w:rsid w:val="0092295D"/>
    <w:rsid w:val="0094761E"/>
    <w:rsid w:val="00A65B97"/>
    <w:rsid w:val="00A917BE"/>
    <w:rsid w:val="00B31DC8"/>
    <w:rsid w:val="00BF389A"/>
    <w:rsid w:val="00C518F5"/>
    <w:rsid w:val="00CC2F64"/>
    <w:rsid w:val="00D509EF"/>
    <w:rsid w:val="00D703FC"/>
    <w:rsid w:val="00D82B48"/>
    <w:rsid w:val="00DC5C83"/>
    <w:rsid w:val="00E0579E"/>
    <w:rsid w:val="00E5708E"/>
    <w:rsid w:val="00E850B7"/>
    <w:rsid w:val="00E927FE"/>
    <w:rsid w:val="00F53CD0"/>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730291">
      <w:bodyDiv w:val="1"/>
      <w:marLeft w:val="0"/>
      <w:marRight w:val="0"/>
      <w:marTop w:val="0"/>
      <w:marBottom w:val="0"/>
      <w:divBdr>
        <w:top w:val="none" w:sz="0" w:space="0" w:color="auto"/>
        <w:left w:val="none" w:sz="0" w:space="0" w:color="auto"/>
        <w:bottom w:val="none" w:sz="0" w:space="0" w:color="auto"/>
        <w:right w:val="none" w:sz="0" w:space="0" w:color="auto"/>
      </w:divBdr>
    </w:div>
    <w:div w:id="585653199">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321351232">
      <w:bodyDiv w:val="1"/>
      <w:marLeft w:val="0"/>
      <w:marRight w:val="0"/>
      <w:marTop w:val="0"/>
      <w:marBottom w:val="0"/>
      <w:divBdr>
        <w:top w:val="none" w:sz="0" w:space="0" w:color="auto"/>
        <w:left w:val="none" w:sz="0" w:space="0" w:color="auto"/>
        <w:bottom w:val="none" w:sz="0" w:space="0" w:color="auto"/>
        <w:right w:val="none" w:sz="0" w:space="0" w:color="auto"/>
      </w:divBdr>
    </w:div>
    <w:div w:id="1464929297">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20690679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267ACA"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267ACA"/>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EN,FR,DE</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FA5E8D44-21BD-457F-B4CE-C8F142BB18BC}">
  <ds:schemaRefs>
    <ds:schemaRef ds:uri="http://schemas.microsoft.com/sharepoint/v3/contenttype/forms"/>
  </ds:schemaRefs>
</ds:datastoreItem>
</file>

<file path=customXml/itemProps3.xml><?xml version="1.0" encoding="utf-8"?>
<ds:datastoreItem xmlns:ds="http://schemas.openxmlformats.org/officeDocument/2006/customXml" ds:itemID="{5067DB2D-92C5-4ACE-BE5C-FE4A236B5877}">
  <ds:schemaRefs>
    <ds:schemaRef ds:uri="http://schemas.microsoft.com/office/2006/metadata/properties"/>
    <ds:schemaRef ds:uri="http://schemas.microsoft.com/office/infopath/2007/PartnerControls"/>
    <ds:schemaRef ds:uri="1929b814-5a78-4bdc-9841-d8b9ef424f65"/>
    <ds:schemaRef ds:uri="http://schemas.microsoft.com/sharepoint/v3/fields"/>
    <ds:schemaRef ds:uri="a41a97bf-0494-41d8-ba3d-259bd7771890"/>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9F26B046-6CFC-4B3E-8AEB-ECCA7EB50E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Eurolook.dotm</Template>
  <TotalTime>28</TotalTime>
  <Pages>5</Pages>
  <Words>1799</Words>
  <Characters>8942</Characters>
  <Application>Microsoft Office Word</Application>
  <DocSecurity>0</DocSecurity>
  <PresentationFormat>Microsoft Word 14.0</PresentationFormat>
  <Lines>223</Lines>
  <Paragraphs>119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7</cp:revision>
  <cp:lastPrinted>2023-04-18T07:01:00Z</cp:lastPrinted>
  <dcterms:created xsi:type="dcterms:W3CDTF">2023-09-20T14:26:00Z</dcterms:created>
  <dcterms:modified xsi:type="dcterms:W3CDTF">2024-01-11T12:07:00Z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Brussels|a2fd1745-7a8b-472f-87d8-c065744c40dd</vt:lpwstr>
  </property>
  <property fmtid="{D5CDD505-2E9C-101B-9397-08002B2CF9AE}" pid="10" name="EC_Portal_SM_Location">
    <vt:lpwstr>1;#Brussels|a2fd1745-7a8b-472f-87d8-c065744c40dd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6;#French|797213b8-07f2-436e-a021-30df8c8bbd6c;#5;#English|256b0f03-2527-4c41-b261-a16799168ae6;#55;#Seconded national experts|8541174c-e865-48c8-ad74-a224e0cea60d;#1;#Brussels|a2fd1745-7a8b-472f-87d8-c065744c40dd</vt:lpwstr>
  </property>
  <property fmtid="{D5CDD505-2E9C-101B-9397-08002B2CF9AE}" pid="14" name="EC_Portal_SM_NavigationLanguage">
    <vt:lpwstr>5;#English|256b0f03-2527-4c41-b261-a16799168ae6;#6;#French|797213b8-07f2-436e-a021-30df8c8bbd6c</vt:lpwstr>
  </property>
  <property fmtid="{D5CDD505-2E9C-101B-9397-08002B2CF9AE}" pid="15" name="EC_Portal_SM_TopicsTaxHTField0">
    <vt:lpwstr>Seconded national experts|8541174c-e865-48c8-ad74-a224e0cea60d</vt:lpwstr>
  </property>
  <property fmtid="{D5CDD505-2E9C-101B-9397-08002B2CF9AE}" pid="16" name="EC_Portal_SM_Topics">
    <vt:lpwstr>55;#Seconded national experts|8541174c-e865-48c8-ad74-a224e0cea60d</vt:lpwstr>
  </property>
  <property fmtid="{D5CDD505-2E9C-101B-9397-08002B2CF9AE}" pid="17" name="EC_Portal_SM_NavigationLanguageTaxHTField0">
    <vt:lpwstr>English|256b0f03-2527-4c41-b261-a16799168ae6;French|797213b8-07f2-436e-a021-30df8c8bbd6c</vt:lpwstr>
  </property>
  <property fmtid="{D5CDD505-2E9C-101B-9397-08002B2CF9AE}" pid="18" name="EC_Portal_SM_DocumentTypeTaxHTField0">
    <vt:lpwstr/>
  </property>
</Properties>
</file>