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E144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E144E">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E144E">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E144E">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E144E">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7CFA47BF" w:rsidR="008241B0" w:rsidRPr="001D3EEC" w:rsidRDefault="007E144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 xml:space="preserve">AVIS DE VACANCE POUR </w:t>
          </w:r>
          <w:r w:rsidR="008739AB">
            <w:rPr>
              <w:lang w:val="fr-BE"/>
            </w:rPr>
            <w:t>DEUX</w:t>
          </w:r>
          <w:r w:rsidR="00B31DC8" w:rsidRPr="001D3EEC">
            <w:rPr>
              <w:lang w:val="fr-BE"/>
            </w:rPr>
            <w:t xml:space="preserve"> POSTE</w:t>
          </w:r>
          <w:r w:rsidR="008739AB">
            <w:rPr>
              <w:lang w:val="fr-BE"/>
            </w:rPr>
            <w:t>S</w:t>
          </w:r>
          <w:r w:rsidR="00B31DC8" w:rsidRPr="001D3EEC">
            <w:rPr>
              <w:lang w:val="fr-BE"/>
            </w:rPr>
            <w:t xml:space="preserv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5527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FF0FFFF" w:rsidR="00377580" w:rsidRPr="0005527A" w:rsidRDefault="0005527A" w:rsidP="005F6927">
                <w:pPr>
                  <w:tabs>
                    <w:tab w:val="left" w:pos="426"/>
                  </w:tabs>
                  <w:rPr>
                    <w:bCs/>
                    <w:lang w:val="fr-BE" w:eastAsia="en-GB"/>
                  </w:rPr>
                </w:pPr>
                <w:r>
                  <w:rPr>
                    <w:bCs/>
                    <w:lang w:val="fr-BE" w:eastAsia="en-GB"/>
                  </w:rPr>
                  <w:t>DG BUDG – Taskforce Guichet Unique STEP</w:t>
                </w:r>
              </w:p>
            </w:tc>
          </w:sdtContent>
        </w:sdt>
      </w:tr>
      <w:tr w:rsidR="00377580" w:rsidRPr="0005527A"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727EA49" w:rsidR="00377580" w:rsidRPr="00080A71" w:rsidRDefault="007E144E" w:rsidP="005F6927">
                <w:pPr>
                  <w:tabs>
                    <w:tab w:val="left" w:pos="426"/>
                  </w:tabs>
                  <w:rPr>
                    <w:bCs/>
                    <w:lang w:val="en-IE" w:eastAsia="en-GB"/>
                  </w:rPr>
                </w:pPr>
                <w:hyperlink r:id="rId15" w:history="1">
                  <w:r w:rsidR="0005527A">
                    <w:rPr>
                      <w:rStyle w:val="Hyperlink"/>
                      <w:rFonts w:ascii="Arial" w:hAnsi="Arial" w:cs="Arial"/>
                      <w:color w:val="006699"/>
                      <w:sz w:val="17"/>
                      <w:szCs w:val="17"/>
                      <w:bdr w:val="none" w:sz="0" w:space="0" w:color="auto" w:frame="1"/>
                    </w:rPr>
                    <w:t>427030</w:t>
                  </w:r>
                </w:hyperlink>
                <w:r w:rsidR="0005527A">
                  <w:rPr>
                    <w:rFonts w:ascii="Arial" w:hAnsi="Arial" w:cs="Arial"/>
                    <w:color w:val="000000"/>
                    <w:sz w:val="18"/>
                    <w:szCs w:val="18"/>
                  </w:rPr>
                  <w:t xml:space="preserve"> et </w:t>
                </w:r>
                <w:hyperlink r:id="rId16" w:history="1">
                  <w:r w:rsidR="0005527A">
                    <w:rPr>
                      <w:rStyle w:val="Hyperlink"/>
                      <w:rFonts w:ascii="Arial" w:hAnsi="Arial" w:cs="Arial"/>
                      <w:color w:val="006699"/>
                      <w:sz w:val="17"/>
                      <w:szCs w:val="17"/>
                      <w:bdr w:val="none" w:sz="0" w:space="0" w:color="auto" w:frame="1"/>
                    </w:rPr>
                    <w:t>427028</w:t>
                  </w:r>
                </w:hyperlink>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0510C720" w14:textId="7CF45C90" w:rsidR="0005527A" w:rsidRDefault="0005527A" w:rsidP="005F6927">
                <w:pPr>
                  <w:tabs>
                    <w:tab w:val="left" w:pos="426"/>
                  </w:tabs>
                  <w:rPr>
                    <w:bCs/>
                    <w:lang w:val="fr-BE" w:eastAsia="en-GB"/>
                  </w:rPr>
                </w:pPr>
                <w:r>
                  <w:rPr>
                    <w:bCs/>
                    <w:lang w:val="fr-BE" w:eastAsia="en-GB"/>
                  </w:rPr>
                  <w:t>Caroline Vandierendonck / Chef</w:t>
                </w:r>
                <w:r w:rsidR="007E144E">
                  <w:rPr>
                    <w:bCs/>
                    <w:lang w:val="fr-BE" w:eastAsia="en-GB"/>
                  </w:rPr>
                  <w:t>fe</w:t>
                </w:r>
                <w:r>
                  <w:rPr>
                    <w:bCs/>
                    <w:lang w:val="fr-BE" w:eastAsia="en-GB"/>
                  </w:rPr>
                  <w:t xml:space="preserve"> de la Taskforce</w:t>
                </w:r>
              </w:p>
              <w:p w14:paraId="3ABD43EB" w14:textId="336EE286" w:rsidR="0005527A" w:rsidRPr="0005527A" w:rsidRDefault="0005527A" w:rsidP="005F6927">
                <w:pPr>
                  <w:tabs>
                    <w:tab w:val="left" w:pos="426"/>
                  </w:tabs>
                  <w:rPr>
                    <w:bCs/>
                    <w:lang w:val="fr-BE" w:eastAsia="en-GB"/>
                  </w:rPr>
                </w:pPr>
                <w:r>
                  <w:rPr>
                    <w:bCs/>
                    <w:lang w:val="fr-BE" w:eastAsia="en-GB"/>
                  </w:rPr>
                  <w:t>Caroline.vandierendonck@ec.europa.eu</w:t>
                </w:r>
              </w:p>
            </w:sdtContent>
          </w:sdt>
          <w:p w14:paraId="32DD8032" w14:textId="0AA9F9DF" w:rsidR="00377580" w:rsidRPr="001D3EEC" w:rsidRDefault="007E144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5527A">
                  <w:rPr>
                    <w:bCs/>
                    <w:lang w:val="fr-BE" w:eastAsia="en-GB"/>
                  </w:rPr>
                  <w:t>2e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232C">
                      <w:rPr>
                        <w:bCs/>
                        <w:lang w:val="fr-BE" w:eastAsia="en-GB"/>
                      </w:rPr>
                      <w:t>2024</w:t>
                    </w:r>
                  </w:sdtContent>
                </w:sdt>
              </w:sdtContent>
            </w:sdt>
          </w:p>
          <w:p w14:paraId="768BBE26" w14:textId="0A46C023" w:rsidR="00377580" w:rsidRPr="001D3EEC" w:rsidRDefault="007E144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05527A">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5527A">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AC06498"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7" o:title=""/>
                </v:shape>
                <w:control r:id="rId18" w:name="OptionButton6" w:shapeid="_x0000_i1037"/>
              </w:object>
            </w:r>
            <w:r>
              <w:rPr>
                <w:bCs/>
                <w:szCs w:val="24"/>
                <w:lang w:val="en-GB" w:eastAsia="en-GB"/>
              </w:rPr>
              <w:object w:dxaOrig="225" w:dyaOrig="225" w14:anchorId="70119E70">
                <v:shape id="_x0000_i1039" type="#_x0000_t75" style="width:108pt;height:21.5pt" o:ole="">
                  <v:imagedata r:id="rId19" o:title=""/>
                </v:shape>
                <w:control r:id="rId20"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8609DD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21" o:title=""/>
                </v:shape>
                <w:control r:id="rId22"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E144E"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E144E"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E144E"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2D48D38"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23" o:title=""/>
                </v:shape>
                <w:control r:id="rId24" w:name="OptionButton5" w:shapeid="_x0000_i1043"/>
              </w:object>
            </w:r>
          </w:p>
        </w:tc>
      </w:tr>
      <w:tr w:rsidR="00E850B7" w:rsidRPr="0005527A"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35A2EEC2" w14:textId="03CF504B" w:rsidR="00E850B7" w:rsidRDefault="00E850B7" w:rsidP="00DE0E7F">
            <w:pPr>
              <w:tabs>
                <w:tab w:val="left" w:pos="426"/>
              </w:tabs>
              <w:spacing w:before="120" w:after="120"/>
              <w:rPr>
                <w:bCs/>
                <w:szCs w:val="24"/>
                <w:lang w:val="en-GB" w:eastAsia="en-GB"/>
              </w:rPr>
            </w:pPr>
            <w:r>
              <w:rPr>
                <w:bCs/>
                <w:szCs w:val="24"/>
                <w:lang w:val="en-GB" w:eastAsia="en-GB"/>
              </w:rPr>
              <w:object w:dxaOrig="225" w:dyaOrig="225" w14:anchorId="4F9AA0C1">
                <v:shape id="_x0000_i1045" type="#_x0000_t75" style="width:108pt;height:21.5pt" o:ole="">
                  <v:imagedata r:id="rId25" o:title=""/>
                </v:shape>
                <w:control r:id="rId26" w:name="OptionButton2" w:shapeid="_x0000_i1045"/>
              </w:object>
            </w:r>
            <w:r>
              <w:rPr>
                <w:bCs/>
                <w:szCs w:val="24"/>
                <w:lang w:val="en-GB" w:eastAsia="en-GB"/>
              </w:rPr>
              <w:object w:dxaOrig="225" w:dyaOrig="225" w14:anchorId="7A15FAEE">
                <v:shape id="_x0000_i1047" type="#_x0000_t75" style="width:108pt;height:21.5pt" o:ole="">
                  <v:imagedata r:id="rId27" o:title=""/>
                </v:shape>
                <w:control r:id="rId28" w:name="OptionButton3" w:shapeid="_x0000_i1047"/>
              </w:object>
            </w:r>
          </w:p>
          <w:p w14:paraId="63DD2FA8" w14:textId="7581A99D" w:rsidR="006B47B6" w:rsidRPr="0007110E" w:rsidRDefault="00BF389A" w:rsidP="00DE0E7F">
            <w:pPr>
              <w:tabs>
                <w:tab w:val="left" w:pos="426"/>
              </w:tabs>
              <w:spacing w:before="120" w:after="120"/>
              <w:rPr>
                <w:bCs/>
                <w:lang w:val="en-IE" w:eastAsia="en-GB"/>
              </w:rPr>
            </w:pPr>
            <w:r w:rsidRPr="0005527A">
              <w:rPr>
                <w:bCs/>
                <w:lang w:val="en-IE" w:eastAsia="en-GB"/>
              </w:rPr>
              <w:t>Date limite pour postuler</w:t>
            </w:r>
            <w:r>
              <w:rPr>
                <w:bCs/>
                <w:lang w:val="en-IE" w:eastAsia="en-GB"/>
              </w:rPr>
              <w:t xml:space="preserve">: </w:t>
            </w:r>
            <w:sdt>
              <w:sdtPr>
                <w:rPr>
                  <w:bCs/>
                  <w:lang w:val="en-IE" w:eastAsia="en-GB"/>
                </w:rPr>
                <w:id w:val="319154040"/>
                <w:placeholder>
                  <w:docPart w:val="D33812E3C570400484B558C421C8A64E"/>
                </w:placeholder>
                <w:date w:fullDate="2024-02-26T00:00:00Z">
                  <w:dateFormat w:val="dd-MM-yyyy"/>
                  <w:lid w:val="fr-BE"/>
                  <w:storeMappedDataAs w:val="dateTime"/>
                  <w:calendar w:val="gregorian"/>
                </w:date>
              </w:sdtPr>
              <w:sdtEndPr/>
              <w:sdtContent>
                <w:r w:rsidR="0005527A">
                  <w:rPr>
                    <w:bCs/>
                    <w:lang w:val="fr-BE" w:eastAsia="en-GB"/>
                  </w:rPr>
                  <w:t>2</w:t>
                </w:r>
                <w:r w:rsidR="00077AC3">
                  <w:rPr>
                    <w:bCs/>
                    <w:lang w:val="fr-BE" w:eastAsia="en-GB"/>
                  </w:rPr>
                  <w:t>6</w:t>
                </w:r>
                <w:r w:rsidR="0005527A">
                  <w:rPr>
                    <w:bCs/>
                    <w:lang w:val="fr-BE" w:eastAsia="en-GB"/>
                  </w:rPr>
                  <w:t>-02-2024</w:t>
                </w:r>
              </w:sdtContent>
            </w:sdt>
          </w:p>
        </w:tc>
      </w:tr>
    </w:tbl>
    <w:p w14:paraId="64E3B7F7" w14:textId="4ACBF2E8" w:rsidR="00E850B7" w:rsidRPr="00BF389A" w:rsidRDefault="00E850B7" w:rsidP="00377580">
      <w:pPr>
        <w:rPr>
          <w:b/>
          <w:bCs/>
          <w:lang w:val="en-I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rFonts w:eastAsia="Times New Roman" w:cs="Times New Roman"/>
          <w:sz w:val="24"/>
          <w:lang w:val="fr-BE" w:eastAsia="en-GB"/>
        </w:rPr>
        <w:id w:val="1822233941"/>
        <w:placeholder>
          <w:docPart w:val="502342290B3541ABA4032C2AA949ADE4"/>
        </w:placeholder>
      </w:sdtPr>
      <w:sdtEndPr/>
      <w:sdtContent>
        <w:p w14:paraId="23842B2B" w14:textId="77777777" w:rsidR="00872EF5" w:rsidRDefault="00872EF5" w:rsidP="00872EF5">
          <w:pPr>
            <w:pStyle w:val="P68B1DB1-Normal6"/>
            <w:spacing w:after="0" w:line="240" w:lineRule="auto"/>
            <w:ind w:left="426"/>
            <w:jc w:val="both"/>
            <w:rPr>
              <w:rFonts w:eastAsia="Times New Roman" w:cs="Times New Roman"/>
            </w:rPr>
          </w:pPr>
          <w:r>
            <w:t xml:space="preserve">Conformément à la proposition de règlement établissant la </w:t>
          </w:r>
          <w:r>
            <w:rPr>
              <w:b/>
            </w:rPr>
            <w:t xml:space="preserve">plateforme «Technologies stratégiques pour l’Europe» (STEP) </w:t>
          </w:r>
          <w:r>
            <w:t xml:space="preserve">afin de préserver un avantage européen sur ces technologies, de renforcer la compétitivité de l’Europe et de préserver la cohésion et le marché unique, la DG BUDG accueille temporairement une </w:t>
          </w:r>
          <w:r>
            <w:rPr>
              <w:b/>
            </w:rPr>
            <w:t xml:space="preserve">task-force </w:t>
          </w:r>
          <w:r>
            <w:t>pour la mise en œuvre du programme STEP. Cette nouvelle unité est directement rattachée au Directeur général de la DG BUDG.</w:t>
          </w:r>
        </w:p>
        <w:p w14:paraId="2078DC9A" w14:textId="77777777" w:rsidR="00872EF5" w:rsidRDefault="00872EF5" w:rsidP="00872EF5">
          <w:pPr>
            <w:pStyle w:val="p1"/>
            <w:ind w:left="426"/>
            <w:jc w:val="both"/>
            <w:rPr>
              <w:sz w:val="22"/>
            </w:rPr>
          </w:pPr>
        </w:p>
        <w:p w14:paraId="57B3BA77" w14:textId="77777777" w:rsidR="00872EF5" w:rsidRDefault="00872EF5" w:rsidP="00872EF5">
          <w:pPr>
            <w:pStyle w:val="P68B1DB1-p17"/>
            <w:ind w:left="426"/>
            <w:jc w:val="both"/>
          </w:pPr>
          <w:r>
            <w:t xml:space="preserve">Par l’intermédiaire de la task-force, la DG BUDG encouragera l’inclusion des priorités STEP dans la mise en œuvre des programmes gérés directement et indirectement et soutiendra la reprogrammation vers les objectifs STEP dans le cadre des fonds de la politique de cohésion. </w:t>
          </w:r>
        </w:p>
        <w:p w14:paraId="25053BC0" w14:textId="77777777" w:rsidR="00872EF5" w:rsidRDefault="00872EF5" w:rsidP="00872EF5">
          <w:pPr>
            <w:pStyle w:val="P68B1DB1-p17"/>
            <w:ind w:left="426"/>
            <w:jc w:val="both"/>
          </w:pPr>
          <w:r>
            <w:t>En outre, la task force servira d’interface avec les promoteurs de projets qui recherchent des conseils sur les possibilités de financement de l’UE pour investir en Europe. Cela couvrira toutes les formes de financement: subventions, fonds propres, emprunts ou garanties qui peuvent être fournis dans le cadre des différents programmes de l’UE, y compris au moyen d’instruments financiers mis en œuvre par des partenaires. La plateforme constituera un lieu central pour promouvoir les possibilités de financement de l’UE et attirer les investissements industriels en Europe.</w:t>
          </w:r>
        </w:p>
        <w:p w14:paraId="54D20A64" w14:textId="77777777" w:rsidR="00872EF5" w:rsidRDefault="00872EF5" w:rsidP="00872EF5">
          <w:pPr>
            <w:pStyle w:val="p1"/>
            <w:ind w:left="426"/>
            <w:jc w:val="both"/>
            <w:rPr>
              <w:rFonts w:ascii="Times New Roman" w:hAnsi="Times New Roman"/>
              <w:sz w:val="22"/>
            </w:rPr>
          </w:pPr>
        </w:p>
        <w:p w14:paraId="18E58FC6" w14:textId="77777777" w:rsidR="00872EF5" w:rsidRDefault="00872EF5" w:rsidP="00872EF5">
          <w:pPr>
            <w:pStyle w:val="P68B1DB1-p17"/>
            <w:ind w:left="426"/>
            <w:jc w:val="both"/>
          </w:pPr>
          <w:r>
            <w:t xml:space="preserve">Un label de souveraineté et un portail de souveraineté seront créés afin de promouvoir les synergies entre les programmes existants. Le label de souveraineté sera attribué à des projets contribuant aux objectifs de STEP, à condition que le projet ait été jugé conforme aux exigences minimales de qualité d’un appel à propositions dans le cadre d’Horizon Europe, du programme pour une Europe numérique, du Fonds européen de la défense, du programme «L’UE pour la santé» ou du Fonds pour l’innovation. En outre, un portail de souveraineté affichera, dans un format interactif, toutes les informations nécessaires sur STEP pour les promoteurs de projets et les autorités des États membres. </w:t>
          </w:r>
        </w:p>
        <w:p w14:paraId="39C9528E" w14:textId="77777777" w:rsidR="00872EF5" w:rsidRDefault="00872EF5" w:rsidP="00872EF5">
          <w:pPr>
            <w:pStyle w:val="p1"/>
            <w:jc w:val="both"/>
            <w:rPr>
              <w:rFonts w:ascii="Times New Roman" w:hAnsi="Times New Roman"/>
              <w:sz w:val="18"/>
            </w:rPr>
          </w:pPr>
        </w:p>
        <w:p w14:paraId="18140A21" w14:textId="7B70F131" w:rsidR="001A0074" w:rsidRPr="00080A71" w:rsidRDefault="007E144E" w:rsidP="00872EF5">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sz w:val="24"/>
          <w:lang w:val="fr-BE" w:eastAsia="en-GB"/>
        </w:rPr>
        <w:id w:val="-723136291"/>
        <w:placeholder>
          <w:docPart w:val="43375E7FB7294216B3B48CC222A08C2F"/>
        </w:placeholder>
      </w:sdtPr>
      <w:sdtEndPr/>
      <w:sdtContent>
        <w:p w14:paraId="1D901D1E" w14:textId="02CC6912" w:rsidR="0005527A" w:rsidRDefault="0005527A" w:rsidP="0005527A">
          <w:pPr>
            <w:pStyle w:val="P68B1DB1-Normal5"/>
            <w:spacing w:after="0" w:line="240" w:lineRule="auto"/>
            <w:ind w:left="426"/>
            <w:jc w:val="both"/>
            <w:rPr>
              <w:lang w:val="fr-BE" w:eastAsia="en-GB"/>
            </w:rPr>
          </w:pPr>
          <w:r>
            <w:rPr>
              <w:lang w:val="fr-BE" w:eastAsia="en-GB"/>
            </w:rPr>
            <w:t>Nous proposons deux postes.</w:t>
          </w:r>
        </w:p>
        <w:p w14:paraId="409A7267" w14:textId="77777777" w:rsidR="0005527A" w:rsidRDefault="0005527A" w:rsidP="0005527A">
          <w:pPr>
            <w:pStyle w:val="P68B1DB1-Normal5"/>
            <w:spacing w:after="0" w:line="240" w:lineRule="auto"/>
            <w:ind w:left="426"/>
            <w:jc w:val="both"/>
            <w:rPr>
              <w:lang w:val="fr-BE" w:eastAsia="en-GB"/>
            </w:rPr>
          </w:pPr>
        </w:p>
        <w:p w14:paraId="0F744901" w14:textId="66DE3FED" w:rsidR="0005527A" w:rsidRDefault="0005527A" w:rsidP="0005527A">
          <w:pPr>
            <w:pStyle w:val="P68B1DB1-Normal5"/>
            <w:spacing w:after="0" w:line="240" w:lineRule="auto"/>
            <w:ind w:left="426"/>
            <w:jc w:val="both"/>
          </w:pPr>
          <w:r>
            <w:rPr>
              <w:lang w:val="fr-BE" w:eastAsia="en-GB"/>
            </w:rPr>
            <w:t xml:space="preserve">Les postes sont </w:t>
          </w:r>
          <w:r>
            <w:t>destinés à des experts nationaux ayant une expérience dans la mise en œuvre des programmes de dépenses de l’UE et d’autres priorités politiques liées aux transitions écologique et numérique. Compte tenu de la place centrale de la task force dans la gestion des fonds de l’UE, les experts nationaux pourront ainsi acquérir une connaissance unique du fonctionnement du cadre financier pluriannuel et de ses programmes respectifs, ce qui sera essentiel pour la mise en place du prochain cadre financier pluriannuel.</w:t>
          </w:r>
        </w:p>
        <w:p w14:paraId="7B216E7F" w14:textId="77777777" w:rsidR="0005527A" w:rsidRDefault="0005527A" w:rsidP="0005527A">
          <w:pPr>
            <w:spacing w:after="0"/>
            <w:ind w:left="426"/>
          </w:pPr>
        </w:p>
        <w:p w14:paraId="4C98F4BF" w14:textId="77777777" w:rsidR="0005527A" w:rsidRDefault="0005527A" w:rsidP="0005527A">
          <w:pPr>
            <w:pStyle w:val="P68B1DB1-Normal6"/>
            <w:spacing w:after="0" w:line="240" w:lineRule="auto"/>
            <w:ind w:left="426"/>
            <w:jc w:val="both"/>
            <w:rPr>
              <w:rFonts w:eastAsia="Times New Roman" w:cs="Times New Roman"/>
            </w:rPr>
          </w:pPr>
          <w:r>
            <w:t xml:space="preserve">Conformément à la proposition de règlement établissant la </w:t>
          </w:r>
          <w:r>
            <w:rPr>
              <w:b/>
            </w:rPr>
            <w:t xml:space="preserve">plateforme «Technologies stratégiques pour l’Europe» (STEP) </w:t>
          </w:r>
          <w:r>
            <w:t xml:space="preserve">afin de préserver un avantage européen sur ces technologies, de renforcer la compétitivité de l’Europe et de préserver la cohésion et le marché unique, la DG BUDG accueille temporairement une </w:t>
          </w:r>
          <w:r>
            <w:rPr>
              <w:b/>
            </w:rPr>
            <w:t xml:space="preserve">task-force </w:t>
          </w:r>
          <w:r>
            <w:t>pour la mise en œuvre du programme STEP. Cette nouvelle unité est directement rattachée au Directeur général de la DG BUDG.</w:t>
          </w:r>
        </w:p>
        <w:p w14:paraId="22F231E8" w14:textId="77777777" w:rsidR="0005527A" w:rsidRDefault="0005527A" w:rsidP="0005527A">
          <w:pPr>
            <w:pStyle w:val="p1"/>
            <w:ind w:left="426"/>
            <w:jc w:val="both"/>
            <w:rPr>
              <w:sz w:val="22"/>
            </w:rPr>
          </w:pPr>
        </w:p>
        <w:p w14:paraId="4071680C" w14:textId="77777777" w:rsidR="0005527A" w:rsidRDefault="0005527A" w:rsidP="0005527A">
          <w:pPr>
            <w:pStyle w:val="P68B1DB1-p17"/>
            <w:ind w:left="426"/>
            <w:jc w:val="both"/>
          </w:pPr>
          <w:r>
            <w:t xml:space="preserve">Par l’intermédiaire de la task-force, la DG BUDG encouragera l’inclusion des priorités STEP dans la mise en œuvre des programmes gérés directement et indirectement et soutiendra la reprogrammation vers les objectifs STEP dans le cadre des fonds de la politique de cohésion. </w:t>
          </w:r>
        </w:p>
        <w:p w14:paraId="59B17B3C" w14:textId="77777777" w:rsidR="0005527A" w:rsidRDefault="0005527A" w:rsidP="0005527A">
          <w:pPr>
            <w:pStyle w:val="P68B1DB1-p17"/>
            <w:ind w:left="426"/>
            <w:jc w:val="both"/>
          </w:pPr>
          <w:r>
            <w:t>En outre, la task force servira d’interface avec les promoteurs de projets qui recherchent des conseils sur les possibilités de financement de l’UE pour investir en Europe. Cela couvrira toutes les formes de financement: subventions, fonds propres, emprunts ou garanties qui peuvent être fournis dans le cadre des différents programmes de l’UE, y compris au moyen d’instruments financiers mis en œuvre par des partenaires. La plateforme constituera un lieu central pour promouvoir les possibilités de financement de l’UE et attirer les investissements industriels en Europe.</w:t>
          </w:r>
        </w:p>
        <w:p w14:paraId="08D195B3" w14:textId="77777777" w:rsidR="0005527A" w:rsidRDefault="0005527A" w:rsidP="0005527A">
          <w:pPr>
            <w:pStyle w:val="p1"/>
            <w:ind w:left="426"/>
            <w:jc w:val="both"/>
            <w:rPr>
              <w:rFonts w:ascii="Times New Roman" w:hAnsi="Times New Roman"/>
              <w:sz w:val="22"/>
            </w:rPr>
          </w:pPr>
        </w:p>
        <w:p w14:paraId="6B68B2E4" w14:textId="24D39BC7" w:rsidR="0005527A" w:rsidRDefault="0005527A" w:rsidP="0005527A">
          <w:pPr>
            <w:pStyle w:val="P68B1DB1-p17"/>
            <w:ind w:left="426"/>
            <w:jc w:val="both"/>
          </w:pPr>
          <w:r>
            <w:t>Un label de souveraineté et un portail de souveraineté seront créés afin de promouvoir les synergies entre les programmes existants. Le label de souveraineté sera attribué</w:t>
          </w:r>
          <w:r w:rsidR="00872EF5">
            <w:t xml:space="preserve"> </w:t>
          </w:r>
          <w:r>
            <w:t xml:space="preserve">à des projets contribuant aux objectifs de STEP, à condition que le projet ait été jugé conforme aux </w:t>
          </w:r>
          <w:r>
            <w:lastRenderedPageBreak/>
            <w:t xml:space="preserve">exigences minimales de qualité d’un appel à propositions dans le cadre d’Horizon Europe, du programme pour une Europe numérique, du Fonds européen de la défense, du programme «L’UE pour la santé» ou du Fonds pour l’innovation. En outre, un portail de souveraineté affichera, dans un format interactif, toutes les informations nécessaires sur STEP pour les promoteurs de projets et les autorités des États membres. </w:t>
          </w:r>
        </w:p>
        <w:p w14:paraId="2AA3BDE1" w14:textId="77777777" w:rsidR="0005527A" w:rsidRDefault="0005527A" w:rsidP="0005527A">
          <w:pPr>
            <w:pStyle w:val="p1"/>
            <w:jc w:val="both"/>
            <w:rPr>
              <w:rFonts w:ascii="Times New Roman" w:hAnsi="Times New Roman"/>
              <w:sz w:val="18"/>
            </w:rPr>
          </w:pPr>
        </w:p>
        <w:p w14:paraId="66B82DB0" w14:textId="77777777" w:rsidR="0005527A" w:rsidRDefault="0005527A" w:rsidP="0005527A">
          <w:pPr>
            <w:spacing w:after="0"/>
            <w:ind w:left="426"/>
          </w:pPr>
        </w:p>
        <w:p w14:paraId="42BDA7AF" w14:textId="77777777" w:rsidR="0005527A" w:rsidRDefault="0005527A" w:rsidP="0005527A">
          <w:pPr>
            <w:pStyle w:val="P68B1DB1-Normal5"/>
            <w:spacing w:after="0" w:line="240" w:lineRule="auto"/>
            <w:ind w:left="426"/>
            <w:jc w:val="both"/>
          </w:pPr>
          <w:r>
            <w:t>La Commission cherche à compléter son équipe par des experts nationaux qui peuvent apporter une vaste expérience opérationnelle dans la mise en œuvre des programmes de dépenses de l’UE. En particulier, les experts nationaux seront sélectionnés en vue de:</w:t>
          </w:r>
        </w:p>
        <w:p w14:paraId="00D6A9E3" w14:textId="77777777" w:rsidR="0005527A" w:rsidRDefault="0005527A" w:rsidP="0005527A">
          <w:pPr>
            <w:pStyle w:val="P68B1DB1-ListParagraph8"/>
            <w:numPr>
              <w:ilvl w:val="0"/>
              <w:numId w:val="26"/>
            </w:numPr>
            <w:spacing w:after="0" w:line="240" w:lineRule="auto"/>
            <w:jc w:val="both"/>
          </w:pPr>
          <w:r>
            <w:t>coordonner la mise en œuvre du programme STEP au sein de la Commission et avec les États membres, fournir des conseils stratégiques au niveau politique et à l’encadrement supérieur, dialoguer avec les principaux partenaires européens chargés de la mise en œuvre et coopérer étroitement avec les autres DG de la Commission</w:t>
          </w:r>
        </w:p>
        <w:p w14:paraId="46401D9D" w14:textId="77777777" w:rsidR="0005527A" w:rsidRDefault="0005527A" w:rsidP="0005527A">
          <w:pPr>
            <w:pStyle w:val="P68B1DB1-ListParagraph8"/>
            <w:numPr>
              <w:ilvl w:val="0"/>
              <w:numId w:val="26"/>
            </w:numPr>
            <w:spacing w:after="0" w:line="240" w:lineRule="auto"/>
            <w:jc w:val="both"/>
          </w:pPr>
          <w:r>
            <w:t>aider les États membres au sujet es questions relatives à la reprogrammation de leurs fonds de la politique de cohésion en vue de la réalisation des objectifs du programme STEP</w:t>
          </w:r>
        </w:p>
        <w:p w14:paraId="24BCFA10" w14:textId="77777777" w:rsidR="0005527A" w:rsidRDefault="0005527A" w:rsidP="0005527A">
          <w:pPr>
            <w:pStyle w:val="P68B1DB1-ListParagraph8"/>
            <w:numPr>
              <w:ilvl w:val="0"/>
              <w:numId w:val="26"/>
            </w:numPr>
            <w:spacing w:after="0" w:line="240" w:lineRule="auto"/>
            <w:jc w:val="both"/>
          </w:pPr>
          <w:r>
            <w:t>Inclure les nouvelles priorités STEP dans les programmes de travail et les appels à propositions des fonds en gestion directe</w:t>
          </w:r>
        </w:p>
        <w:p w14:paraId="00D1F795" w14:textId="77777777" w:rsidR="0005527A" w:rsidRDefault="0005527A" w:rsidP="0005527A">
          <w:pPr>
            <w:pStyle w:val="P68B1DB1-ListParagraph8"/>
            <w:numPr>
              <w:ilvl w:val="0"/>
              <w:numId w:val="26"/>
            </w:numPr>
            <w:spacing w:after="0" w:line="240" w:lineRule="auto"/>
            <w:jc w:val="both"/>
          </w:pPr>
          <w:r>
            <w:t xml:space="preserve">Fournir des conseils aux promoteurs de projets sur les possibilités de financement disponibles au sein de l’UE et promouvoir la combinaison de financements provenant de différents instruments pour contribuer au financement des secteurs industriels. Cela devrait couvrir toutes les formes de soutien découlant des différents programmes, y compris au moyen d’instruments financiers mis en œuvre avec des partenaires. </w:t>
          </w:r>
        </w:p>
        <w:p w14:paraId="1213B259" w14:textId="77777777" w:rsidR="0005527A" w:rsidRDefault="0005527A" w:rsidP="0005527A">
          <w:pPr>
            <w:pStyle w:val="P68B1DB1-ListParagraph8"/>
            <w:numPr>
              <w:ilvl w:val="0"/>
              <w:numId w:val="26"/>
            </w:numPr>
            <w:spacing w:after="0" w:line="240" w:lineRule="auto"/>
            <w:jc w:val="both"/>
          </w:pPr>
          <w:r>
            <w:t>Faire avancer les travaux sur la dimension des aides d’État liée à l’initiative STEP</w:t>
          </w:r>
        </w:p>
        <w:p w14:paraId="18ADC20C" w14:textId="77777777" w:rsidR="0005527A" w:rsidRDefault="0005527A" w:rsidP="0005527A">
          <w:pPr>
            <w:pStyle w:val="P68B1DB1-ListParagraph8"/>
            <w:numPr>
              <w:ilvl w:val="0"/>
              <w:numId w:val="26"/>
            </w:numPr>
            <w:spacing w:after="0" w:line="240" w:lineRule="auto"/>
            <w:jc w:val="both"/>
          </w:pPr>
          <w:r>
            <w:t>Mettre en œuvre le portail  de souveraineté et le label de souveraineté</w:t>
          </w:r>
        </w:p>
        <w:p w14:paraId="5CFA10CD" w14:textId="77777777" w:rsidR="0005527A" w:rsidRDefault="0005527A" w:rsidP="0005527A">
          <w:pPr>
            <w:pStyle w:val="P68B1DB1-Normal5"/>
            <w:spacing w:after="0" w:line="240" w:lineRule="auto"/>
            <w:ind w:left="709" w:hanging="283"/>
            <w:jc w:val="both"/>
          </w:pPr>
          <w:r>
            <w:t xml:space="preserve"> </w:t>
          </w:r>
        </w:p>
        <w:p w14:paraId="006360C8" w14:textId="77777777" w:rsidR="0005527A" w:rsidRDefault="0005527A" w:rsidP="0005527A">
          <w:pPr>
            <w:pStyle w:val="P68B1DB1-Normal5"/>
            <w:spacing w:after="0" w:line="240" w:lineRule="auto"/>
            <w:ind w:left="426"/>
            <w:jc w:val="both"/>
          </w:pPr>
          <w:r>
            <w:t xml:space="preserve">Les experts nationaux disposeront d’une autonomie et d’une marge d’initiative considérables pour atteindre les objectifs convenus, tout en étant pleinement intégrés et en travaillant au sein de la structure organisationnelle/de gestion de la task-force et de la DG. </w:t>
          </w:r>
        </w:p>
        <w:p w14:paraId="3B1D2FA2" w14:textId="7F847B6B" w:rsidR="001A0074" w:rsidRPr="00080A71" w:rsidRDefault="007E144E"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sz w:val="24"/>
          <w:lang w:val="fr-BE" w:eastAsia="en-GB"/>
        </w:rPr>
        <w:id w:val="-689827953"/>
        <w:placeholder>
          <w:docPart w:val="C681F6FA0FB94712B2C889AACA29AC9D"/>
        </w:placeholder>
      </w:sdtPr>
      <w:sdtEndPr/>
      <w:sdtContent>
        <w:p w14:paraId="193AA7ED" w14:textId="7B404CA0" w:rsidR="0005527A" w:rsidRDefault="0005527A" w:rsidP="0005527A">
          <w:pPr>
            <w:pStyle w:val="P68B1DB1-Normal5"/>
            <w:tabs>
              <w:tab w:val="left" w:pos="709"/>
            </w:tabs>
            <w:spacing w:after="0" w:line="240" w:lineRule="auto"/>
            <w:ind w:left="709" w:right="60"/>
            <w:jc w:val="both"/>
            <w:rPr>
              <w:lang w:val="fr-BE" w:eastAsia="en-GB"/>
            </w:rPr>
          </w:pPr>
          <w:r>
            <w:rPr>
              <w:lang w:val="fr-BE" w:eastAsia="en-GB"/>
            </w:rPr>
            <w:t>Nous recherchons des profils dynamiques pour rejoindre l’équipe.</w:t>
          </w:r>
        </w:p>
        <w:p w14:paraId="59DE0AED" w14:textId="77777777" w:rsidR="0005527A" w:rsidRDefault="0005527A" w:rsidP="0005527A">
          <w:pPr>
            <w:pStyle w:val="P68B1DB1-Normal5"/>
            <w:tabs>
              <w:tab w:val="left" w:pos="709"/>
            </w:tabs>
            <w:spacing w:after="0" w:line="240" w:lineRule="auto"/>
            <w:ind w:left="709" w:right="60"/>
            <w:jc w:val="both"/>
            <w:rPr>
              <w:lang w:val="fr-BE" w:eastAsia="en-GB"/>
            </w:rPr>
          </w:pPr>
        </w:p>
        <w:p w14:paraId="7056B2C6" w14:textId="7A48E74A" w:rsidR="0005527A" w:rsidRDefault="0005527A" w:rsidP="0005527A">
          <w:pPr>
            <w:pStyle w:val="P68B1DB1-Normal5"/>
            <w:tabs>
              <w:tab w:val="left" w:pos="709"/>
            </w:tabs>
            <w:spacing w:after="0" w:line="240" w:lineRule="auto"/>
            <w:ind w:left="709" w:right="60"/>
            <w:jc w:val="both"/>
          </w:pPr>
          <w:r>
            <w:rPr>
              <w:u w:val="single"/>
            </w:rPr>
            <w:t>Diplôme</w:t>
          </w:r>
          <w:r>
            <w:t xml:space="preserve"> </w:t>
          </w:r>
        </w:p>
        <w:p w14:paraId="491539BC" w14:textId="77777777" w:rsidR="0005527A" w:rsidRDefault="0005527A" w:rsidP="0005527A">
          <w:pPr>
            <w:pStyle w:val="P68B1DB1-Normal5"/>
            <w:tabs>
              <w:tab w:val="left" w:pos="709"/>
            </w:tabs>
            <w:spacing w:after="0" w:line="240" w:lineRule="auto"/>
            <w:ind w:left="709" w:right="1317"/>
            <w:jc w:val="both"/>
          </w:pPr>
          <w:r>
            <w:t>Diplôme universitaire ou formation professionnelle ou expérience professionnelle de niveau équivalent dans le (s) domaine (s): économie, affaires juridiques, finances ou sciences</w:t>
          </w:r>
        </w:p>
        <w:p w14:paraId="4E54B90A" w14:textId="77777777" w:rsidR="0005527A" w:rsidRDefault="0005527A" w:rsidP="0005527A">
          <w:pPr>
            <w:tabs>
              <w:tab w:val="left" w:pos="709"/>
            </w:tabs>
            <w:spacing w:after="0"/>
            <w:ind w:left="709" w:right="60"/>
          </w:pPr>
        </w:p>
        <w:p w14:paraId="234B8303" w14:textId="77777777" w:rsidR="0005527A" w:rsidRDefault="0005527A" w:rsidP="0005527A">
          <w:pPr>
            <w:pStyle w:val="P68B1DB1-Normal9"/>
            <w:tabs>
              <w:tab w:val="left" w:pos="709"/>
            </w:tabs>
            <w:spacing w:after="0" w:line="240" w:lineRule="auto"/>
            <w:ind w:left="709" w:right="60"/>
            <w:jc w:val="both"/>
          </w:pPr>
          <w:r>
            <w:t>Expérience professionnelle</w:t>
          </w:r>
        </w:p>
        <w:p w14:paraId="22EDBD6B" w14:textId="77777777" w:rsidR="0005527A" w:rsidRDefault="0005527A" w:rsidP="0005527A">
          <w:pPr>
            <w:pStyle w:val="P68B1DB1-Normal5"/>
            <w:tabs>
              <w:tab w:val="left" w:pos="1276"/>
            </w:tabs>
            <w:spacing w:after="0" w:line="240" w:lineRule="auto"/>
            <w:ind w:left="709" w:right="60"/>
            <w:jc w:val="both"/>
          </w:pPr>
          <w:r>
            <w:t>Expérience dans la gestion des éléments suivants:</w:t>
          </w:r>
        </w:p>
        <w:p w14:paraId="1588759C" w14:textId="77777777" w:rsidR="0005527A" w:rsidRDefault="0005527A" w:rsidP="0005527A">
          <w:pPr>
            <w:pStyle w:val="P68B1DB1-ListParagraph8"/>
            <w:numPr>
              <w:ilvl w:val="0"/>
              <w:numId w:val="27"/>
            </w:numPr>
            <w:tabs>
              <w:tab w:val="left" w:pos="1276"/>
            </w:tabs>
            <w:spacing w:after="0" w:line="240" w:lineRule="auto"/>
            <w:ind w:right="60"/>
            <w:jc w:val="both"/>
          </w:pPr>
          <w:r>
            <w:t>Mise en œuvre de programmes de l’UE, par exemple les fonds de la politique de cohésion ou la facilité pour la reprise et la résilience</w:t>
          </w:r>
        </w:p>
        <w:p w14:paraId="2F149CF1" w14:textId="77777777" w:rsidR="0005527A" w:rsidRDefault="0005527A" w:rsidP="0005527A">
          <w:pPr>
            <w:pStyle w:val="P68B1DB1-ListParagraph8"/>
            <w:numPr>
              <w:ilvl w:val="0"/>
              <w:numId w:val="27"/>
            </w:numPr>
            <w:tabs>
              <w:tab w:val="left" w:pos="1276"/>
            </w:tabs>
            <w:spacing w:after="0" w:line="240" w:lineRule="auto"/>
            <w:ind w:right="60"/>
            <w:jc w:val="both"/>
          </w:pPr>
          <w:r>
            <w:t xml:space="preserve">Mise en place et mise en œuvre d’instruments financiers, soit avec des institutions financières internationales, soit avec des banques nationales de développement. Gestion du financement de projets au moyen de combinaisons de fonds propres, de dettes ou de financement </w:t>
          </w:r>
          <w:r w:rsidRPr="006870C2">
            <w:rPr>
              <w:highlight w:val="yellow"/>
            </w:rPr>
            <w:t>mezzanine</w:t>
          </w:r>
        </w:p>
        <w:p w14:paraId="44D59707" w14:textId="77777777" w:rsidR="0005527A" w:rsidRDefault="0005527A" w:rsidP="0005527A">
          <w:pPr>
            <w:pStyle w:val="P68B1DB1-ListParagraph8"/>
            <w:numPr>
              <w:ilvl w:val="0"/>
              <w:numId w:val="27"/>
            </w:numPr>
            <w:tabs>
              <w:tab w:val="left" w:pos="1276"/>
            </w:tabs>
            <w:spacing w:after="0" w:line="240" w:lineRule="auto"/>
            <w:ind w:right="60"/>
            <w:jc w:val="both"/>
          </w:pPr>
          <w:r>
            <w:t>Expérience des programmes gérés directement par la Commission (par exemple, Fonds pour l’innovation, programme pour une Europe numérique, etc.)</w:t>
          </w:r>
        </w:p>
        <w:p w14:paraId="510FBA57" w14:textId="77777777" w:rsidR="0005527A" w:rsidRDefault="0005527A" w:rsidP="0005527A">
          <w:pPr>
            <w:pStyle w:val="P68B1DB1-ListParagraph8"/>
            <w:numPr>
              <w:ilvl w:val="0"/>
              <w:numId w:val="27"/>
            </w:numPr>
            <w:tabs>
              <w:tab w:val="left" w:pos="1276"/>
            </w:tabs>
            <w:spacing w:after="0" w:line="240" w:lineRule="auto"/>
            <w:ind w:right="60"/>
            <w:jc w:val="both"/>
          </w:pPr>
          <w:r>
            <w:t>Mise en œuvre de programmes de financement nationaux apportant un soutien (sous la forme de subventions ou d’autres formes de soutien financier) aux entreprises</w:t>
          </w:r>
        </w:p>
        <w:p w14:paraId="636C6A6E" w14:textId="77777777" w:rsidR="0005527A" w:rsidRDefault="0005527A" w:rsidP="0005527A">
          <w:pPr>
            <w:pStyle w:val="P68B1DB1-ListParagraph8"/>
            <w:numPr>
              <w:ilvl w:val="0"/>
              <w:numId w:val="27"/>
            </w:numPr>
            <w:tabs>
              <w:tab w:val="left" w:pos="1276"/>
            </w:tabs>
            <w:spacing w:after="0" w:line="240" w:lineRule="auto"/>
            <w:ind w:right="60"/>
            <w:jc w:val="both"/>
          </w:pPr>
          <w:r>
            <w:t>Expérience en matière de gestion des aides d’État</w:t>
          </w:r>
        </w:p>
        <w:p w14:paraId="513BDB19" w14:textId="77777777" w:rsidR="0005527A" w:rsidRDefault="0005527A" w:rsidP="0005527A">
          <w:pPr>
            <w:pStyle w:val="P68B1DB1-ListParagraph8"/>
            <w:numPr>
              <w:ilvl w:val="0"/>
              <w:numId w:val="27"/>
            </w:numPr>
            <w:tabs>
              <w:tab w:val="left" w:pos="1276"/>
            </w:tabs>
            <w:spacing w:after="0" w:line="240" w:lineRule="auto"/>
            <w:ind w:right="60"/>
            <w:jc w:val="both"/>
          </w:pPr>
          <w:r>
            <w:lastRenderedPageBreak/>
            <w:t>Expérience des questions budgétaires de l’UE ou des États membres</w:t>
          </w:r>
        </w:p>
        <w:p w14:paraId="00511F75" w14:textId="77777777" w:rsidR="0005527A" w:rsidRDefault="0005527A" w:rsidP="0005527A">
          <w:pPr>
            <w:tabs>
              <w:tab w:val="left" w:pos="1276"/>
            </w:tabs>
            <w:spacing w:after="0"/>
            <w:ind w:left="709" w:right="60"/>
          </w:pPr>
        </w:p>
        <w:p w14:paraId="43308905" w14:textId="77777777" w:rsidR="0005527A" w:rsidRDefault="0005527A" w:rsidP="0005527A">
          <w:pPr>
            <w:pStyle w:val="P68B1DB1-Normal9"/>
            <w:tabs>
              <w:tab w:val="left" w:pos="709"/>
            </w:tabs>
            <w:spacing w:after="0" w:line="240" w:lineRule="auto"/>
            <w:ind w:left="709" w:right="60"/>
            <w:jc w:val="both"/>
          </w:pPr>
          <w:r>
            <w:t>Langue (s) nécessaire (s) pour l’accomplissement des tâches</w:t>
          </w:r>
        </w:p>
        <w:p w14:paraId="38056387" w14:textId="77777777" w:rsidR="0005527A" w:rsidRDefault="0005527A" w:rsidP="0005527A">
          <w:pPr>
            <w:pStyle w:val="P68B1DB1-Normal5"/>
            <w:tabs>
              <w:tab w:val="left" w:pos="709"/>
            </w:tabs>
            <w:spacing w:after="0" w:line="240" w:lineRule="auto"/>
            <w:ind w:left="709" w:right="60"/>
            <w:jc w:val="both"/>
          </w:pPr>
          <w:r>
            <w:t>L’anglais est la langue de travail principale et la capacité de communiquer et de rédiger efficacement en anglais est une nécessité.</w:t>
          </w:r>
        </w:p>
        <w:p w14:paraId="41C80AAF" w14:textId="77777777" w:rsidR="0005527A" w:rsidRDefault="0005527A" w:rsidP="0005527A">
          <w:pPr>
            <w:tabs>
              <w:tab w:val="left" w:pos="709"/>
            </w:tabs>
            <w:spacing w:after="0"/>
            <w:ind w:left="709" w:right="60"/>
          </w:pPr>
        </w:p>
        <w:p w14:paraId="7E409EA7" w14:textId="324EB0D8" w:rsidR="001A0074" w:rsidRPr="00017FBA" w:rsidRDefault="007E144E"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lastRenderedPageBreak/>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9"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30"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31"/>
      <w:headerReference w:type="default" r:id="rId32"/>
      <w:footerReference w:type="even" r:id="rId33"/>
      <w:footerReference w:type="default" r:id="rId34"/>
      <w:headerReference w:type="first" r:id="rId35"/>
      <w:footerReference w:type="first" r:id="rId36"/>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9257AE7"/>
    <w:multiLevelType w:val="hybridMultilevel"/>
    <w:tmpl w:val="807A5BF2"/>
    <w:lvl w:ilvl="0" w:tplc="4E3CEDD4">
      <w:start w:val="1"/>
      <w:numFmt w:val="bullet"/>
      <w:lvlText w:val="-"/>
      <w:lvlJc w:val="left"/>
      <w:pPr>
        <w:ind w:left="1069" w:hanging="360"/>
      </w:pPr>
      <w:rPr>
        <w:rFonts w:ascii="Times New Roman" w:eastAsia="Times New Roman" w:hAnsi="Times New Roman" w:cs="Times New Roman" w:hint="default"/>
      </w:rPr>
    </w:lvl>
    <w:lvl w:ilvl="1" w:tplc="18090003" w:tentative="1">
      <w:start w:val="1"/>
      <w:numFmt w:val="bullet"/>
      <w:lvlText w:val="o"/>
      <w:lvlJc w:val="left"/>
      <w:pPr>
        <w:ind w:left="1789" w:hanging="360"/>
      </w:pPr>
      <w:rPr>
        <w:rFonts w:ascii="Courier New" w:hAnsi="Courier New" w:cs="Courier New" w:hint="default"/>
      </w:rPr>
    </w:lvl>
    <w:lvl w:ilvl="2" w:tplc="18090005" w:tentative="1">
      <w:start w:val="1"/>
      <w:numFmt w:val="bullet"/>
      <w:lvlText w:val=""/>
      <w:lvlJc w:val="left"/>
      <w:pPr>
        <w:ind w:left="2509" w:hanging="360"/>
      </w:pPr>
      <w:rPr>
        <w:rFonts w:ascii="Wingdings" w:hAnsi="Wingdings" w:hint="default"/>
      </w:rPr>
    </w:lvl>
    <w:lvl w:ilvl="3" w:tplc="18090001" w:tentative="1">
      <w:start w:val="1"/>
      <w:numFmt w:val="bullet"/>
      <w:lvlText w:val=""/>
      <w:lvlJc w:val="left"/>
      <w:pPr>
        <w:ind w:left="3229" w:hanging="360"/>
      </w:pPr>
      <w:rPr>
        <w:rFonts w:ascii="Symbol" w:hAnsi="Symbol" w:hint="default"/>
      </w:rPr>
    </w:lvl>
    <w:lvl w:ilvl="4" w:tplc="18090003" w:tentative="1">
      <w:start w:val="1"/>
      <w:numFmt w:val="bullet"/>
      <w:lvlText w:val="o"/>
      <w:lvlJc w:val="left"/>
      <w:pPr>
        <w:ind w:left="3949" w:hanging="360"/>
      </w:pPr>
      <w:rPr>
        <w:rFonts w:ascii="Courier New" w:hAnsi="Courier New" w:cs="Courier New" w:hint="default"/>
      </w:rPr>
    </w:lvl>
    <w:lvl w:ilvl="5" w:tplc="18090005" w:tentative="1">
      <w:start w:val="1"/>
      <w:numFmt w:val="bullet"/>
      <w:lvlText w:val=""/>
      <w:lvlJc w:val="left"/>
      <w:pPr>
        <w:ind w:left="4669" w:hanging="360"/>
      </w:pPr>
      <w:rPr>
        <w:rFonts w:ascii="Wingdings" w:hAnsi="Wingdings" w:hint="default"/>
      </w:rPr>
    </w:lvl>
    <w:lvl w:ilvl="6" w:tplc="18090001" w:tentative="1">
      <w:start w:val="1"/>
      <w:numFmt w:val="bullet"/>
      <w:lvlText w:val=""/>
      <w:lvlJc w:val="left"/>
      <w:pPr>
        <w:ind w:left="5389" w:hanging="360"/>
      </w:pPr>
      <w:rPr>
        <w:rFonts w:ascii="Symbol" w:hAnsi="Symbol" w:hint="default"/>
      </w:rPr>
    </w:lvl>
    <w:lvl w:ilvl="7" w:tplc="18090003" w:tentative="1">
      <w:start w:val="1"/>
      <w:numFmt w:val="bullet"/>
      <w:lvlText w:val="o"/>
      <w:lvlJc w:val="left"/>
      <w:pPr>
        <w:ind w:left="6109" w:hanging="360"/>
      </w:pPr>
      <w:rPr>
        <w:rFonts w:ascii="Courier New" w:hAnsi="Courier New" w:cs="Courier New" w:hint="default"/>
      </w:rPr>
    </w:lvl>
    <w:lvl w:ilvl="8" w:tplc="18090005" w:tentative="1">
      <w:start w:val="1"/>
      <w:numFmt w:val="bullet"/>
      <w:lvlText w:val=""/>
      <w:lvlJc w:val="left"/>
      <w:pPr>
        <w:ind w:left="6829" w:hanging="360"/>
      </w:pPr>
      <w:rPr>
        <w:rFonts w:ascii="Wingdings" w:hAnsi="Wingdings" w:hint="default"/>
      </w:rPr>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95C0A7B"/>
    <w:multiLevelType w:val="hybridMultilevel"/>
    <w:tmpl w:val="790885F6"/>
    <w:lvl w:ilvl="0" w:tplc="18090001">
      <w:start w:val="1"/>
      <w:numFmt w:val="bullet"/>
      <w:lvlText w:val=""/>
      <w:lvlJc w:val="left"/>
      <w:pPr>
        <w:ind w:left="1146" w:hanging="360"/>
      </w:pPr>
      <w:rPr>
        <w:rFonts w:ascii="Symbol" w:hAnsi="Symbol" w:hint="default"/>
      </w:rPr>
    </w:lvl>
    <w:lvl w:ilvl="1" w:tplc="18090003" w:tentative="1">
      <w:start w:val="1"/>
      <w:numFmt w:val="bullet"/>
      <w:lvlText w:val="o"/>
      <w:lvlJc w:val="left"/>
      <w:pPr>
        <w:ind w:left="1866" w:hanging="360"/>
      </w:pPr>
      <w:rPr>
        <w:rFonts w:ascii="Courier New" w:hAnsi="Courier New" w:cs="Courier New" w:hint="default"/>
      </w:rPr>
    </w:lvl>
    <w:lvl w:ilvl="2" w:tplc="18090005" w:tentative="1">
      <w:start w:val="1"/>
      <w:numFmt w:val="bullet"/>
      <w:lvlText w:val=""/>
      <w:lvlJc w:val="left"/>
      <w:pPr>
        <w:ind w:left="2586" w:hanging="360"/>
      </w:pPr>
      <w:rPr>
        <w:rFonts w:ascii="Wingdings" w:hAnsi="Wingdings" w:hint="default"/>
      </w:rPr>
    </w:lvl>
    <w:lvl w:ilvl="3" w:tplc="18090001" w:tentative="1">
      <w:start w:val="1"/>
      <w:numFmt w:val="bullet"/>
      <w:lvlText w:val=""/>
      <w:lvlJc w:val="left"/>
      <w:pPr>
        <w:ind w:left="3306" w:hanging="360"/>
      </w:pPr>
      <w:rPr>
        <w:rFonts w:ascii="Symbol" w:hAnsi="Symbol" w:hint="default"/>
      </w:rPr>
    </w:lvl>
    <w:lvl w:ilvl="4" w:tplc="18090003" w:tentative="1">
      <w:start w:val="1"/>
      <w:numFmt w:val="bullet"/>
      <w:lvlText w:val="o"/>
      <w:lvlJc w:val="left"/>
      <w:pPr>
        <w:ind w:left="4026" w:hanging="360"/>
      </w:pPr>
      <w:rPr>
        <w:rFonts w:ascii="Courier New" w:hAnsi="Courier New" w:cs="Courier New" w:hint="default"/>
      </w:rPr>
    </w:lvl>
    <w:lvl w:ilvl="5" w:tplc="18090005" w:tentative="1">
      <w:start w:val="1"/>
      <w:numFmt w:val="bullet"/>
      <w:lvlText w:val=""/>
      <w:lvlJc w:val="left"/>
      <w:pPr>
        <w:ind w:left="4746" w:hanging="360"/>
      </w:pPr>
      <w:rPr>
        <w:rFonts w:ascii="Wingdings" w:hAnsi="Wingdings" w:hint="default"/>
      </w:rPr>
    </w:lvl>
    <w:lvl w:ilvl="6" w:tplc="18090001" w:tentative="1">
      <w:start w:val="1"/>
      <w:numFmt w:val="bullet"/>
      <w:lvlText w:val=""/>
      <w:lvlJc w:val="left"/>
      <w:pPr>
        <w:ind w:left="5466" w:hanging="360"/>
      </w:pPr>
      <w:rPr>
        <w:rFonts w:ascii="Symbol" w:hAnsi="Symbol" w:hint="default"/>
      </w:rPr>
    </w:lvl>
    <w:lvl w:ilvl="7" w:tplc="18090003" w:tentative="1">
      <w:start w:val="1"/>
      <w:numFmt w:val="bullet"/>
      <w:lvlText w:val="o"/>
      <w:lvlJc w:val="left"/>
      <w:pPr>
        <w:ind w:left="6186" w:hanging="360"/>
      </w:pPr>
      <w:rPr>
        <w:rFonts w:ascii="Courier New" w:hAnsi="Courier New" w:cs="Courier New" w:hint="default"/>
      </w:rPr>
    </w:lvl>
    <w:lvl w:ilvl="8" w:tplc="18090005" w:tentative="1">
      <w:start w:val="1"/>
      <w:numFmt w:val="bullet"/>
      <w:lvlText w:val=""/>
      <w:lvlJc w:val="left"/>
      <w:pPr>
        <w:ind w:left="6906" w:hanging="360"/>
      </w:pPr>
      <w:rPr>
        <w:rFonts w:ascii="Wingdings" w:hAnsi="Wingdings" w:hint="default"/>
      </w:rPr>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4"/>
  </w:num>
  <w:num w:numId="17" w16cid:durableId="359092911">
    <w:abstractNumId w:val="9"/>
  </w:num>
  <w:num w:numId="18" w16cid:durableId="308289900">
    <w:abstractNumId w:val="10"/>
  </w:num>
  <w:num w:numId="19" w16cid:durableId="1964581914">
    <w:abstractNumId w:val="25"/>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6"/>
  </w:num>
  <w:num w:numId="26" w16cid:durableId="74330490">
    <w:abstractNumId w:val="23"/>
  </w:num>
  <w:num w:numId="27" w16cid:durableId="9711304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5527A"/>
    <w:rsid w:val="00077AC3"/>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232C"/>
    <w:rsid w:val="0053405E"/>
    <w:rsid w:val="00556CBD"/>
    <w:rsid w:val="006A1CB2"/>
    <w:rsid w:val="006B47B6"/>
    <w:rsid w:val="006F23BA"/>
    <w:rsid w:val="0074301E"/>
    <w:rsid w:val="007A10AA"/>
    <w:rsid w:val="007A1396"/>
    <w:rsid w:val="007B5FAE"/>
    <w:rsid w:val="007E131B"/>
    <w:rsid w:val="007E144E"/>
    <w:rsid w:val="007E4F35"/>
    <w:rsid w:val="008241B0"/>
    <w:rsid w:val="008315CD"/>
    <w:rsid w:val="00866E7F"/>
    <w:rsid w:val="00872EF5"/>
    <w:rsid w:val="008739AB"/>
    <w:rsid w:val="008A0FF3"/>
    <w:rsid w:val="0092295D"/>
    <w:rsid w:val="00A65B97"/>
    <w:rsid w:val="00A917BE"/>
    <w:rsid w:val="00B31DC8"/>
    <w:rsid w:val="00BF389A"/>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1">
    <w:name w:val="p1"/>
    <w:basedOn w:val="Normal"/>
    <w:rsid w:val="0005527A"/>
    <w:pPr>
      <w:spacing w:after="0"/>
      <w:jc w:val="left"/>
    </w:pPr>
    <w:rPr>
      <w:rFonts w:ascii=".AppleSystemUIFont" w:eastAsiaTheme="minorEastAsia" w:hAnsi=".AppleSystemUIFont"/>
      <w:sz w:val="28"/>
      <w:lang w:val="fr"/>
    </w:rPr>
  </w:style>
  <w:style w:type="paragraph" w:customStyle="1" w:styleId="P68B1DB1-Normal5">
    <w:name w:val="P68B1DB1-Normal5"/>
    <w:basedOn w:val="Normal"/>
    <w:rsid w:val="0005527A"/>
    <w:pPr>
      <w:spacing w:after="200" w:line="276" w:lineRule="auto"/>
      <w:jc w:val="left"/>
    </w:pPr>
    <w:rPr>
      <w:sz w:val="22"/>
      <w:lang w:val="fr"/>
    </w:rPr>
  </w:style>
  <w:style w:type="paragraph" w:customStyle="1" w:styleId="P68B1DB1-Normal6">
    <w:name w:val="P68B1DB1-Normal6"/>
    <w:basedOn w:val="Normal"/>
    <w:rsid w:val="0005527A"/>
    <w:pPr>
      <w:spacing w:after="200" w:line="276" w:lineRule="auto"/>
      <w:jc w:val="left"/>
    </w:pPr>
    <w:rPr>
      <w:rFonts w:eastAsiaTheme="minorHAnsi" w:cstheme="minorBidi"/>
      <w:sz w:val="22"/>
      <w:lang w:val="fr"/>
    </w:rPr>
  </w:style>
  <w:style w:type="paragraph" w:customStyle="1" w:styleId="P68B1DB1-p17">
    <w:name w:val="P68B1DB1-p17"/>
    <w:basedOn w:val="p1"/>
    <w:rsid w:val="0005527A"/>
    <w:rPr>
      <w:rFonts w:ascii="Times New Roman" w:hAnsi="Times New Roman"/>
      <w:sz w:val="22"/>
    </w:rPr>
  </w:style>
  <w:style w:type="paragraph" w:customStyle="1" w:styleId="P68B1DB1-ListParagraph8">
    <w:name w:val="P68B1DB1-ListParagraph8"/>
    <w:basedOn w:val="ListParagraph"/>
    <w:rsid w:val="0005527A"/>
    <w:pPr>
      <w:spacing w:after="200" w:line="276" w:lineRule="auto"/>
      <w:jc w:val="left"/>
    </w:pPr>
    <w:rPr>
      <w:sz w:val="22"/>
      <w:lang w:val="fr"/>
    </w:rPr>
  </w:style>
  <w:style w:type="paragraph" w:styleId="ListParagraph">
    <w:name w:val="List Paragraph"/>
    <w:basedOn w:val="Normal"/>
    <w:semiHidden/>
    <w:locked/>
    <w:rsid w:val="0005527A"/>
    <w:pPr>
      <w:ind w:left="720"/>
      <w:contextualSpacing/>
    </w:pPr>
  </w:style>
  <w:style w:type="paragraph" w:customStyle="1" w:styleId="P68B1DB1-Normal9">
    <w:name w:val="P68B1DB1-Normal9"/>
    <w:basedOn w:val="Normal"/>
    <w:rsid w:val="0005527A"/>
    <w:pPr>
      <w:spacing w:after="200" w:line="276" w:lineRule="auto"/>
      <w:jc w:val="left"/>
    </w:pPr>
    <w:rPr>
      <w:sz w:val="22"/>
      <w:u w:val="single"/>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1.xml"/><Relationship Id="rId26" Type="http://schemas.openxmlformats.org/officeDocument/2006/relationships/control" Target="activeX/activeX5.xml"/><Relationship Id="rId39" Type="http://schemas.openxmlformats.org/officeDocument/2006/relationships/theme" Target="theme/theme1.xml"/><Relationship Id="rId21" Type="http://schemas.openxmlformats.org/officeDocument/2006/relationships/image" Target="media/image4.wmf"/><Relationship Id="rId34" Type="http://schemas.openxmlformats.org/officeDocument/2006/relationships/footer" Target="footer2.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6.wmf"/><Relationship Id="rId33" Type="http://schemas.openxmlformats.org/officeDocument/2006/relationships/footer" Target="footer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javascript:showJobDetails_252180_17()" TargetMode="External"/><Relationship Id="rId20" Type="http://schemas.openxmlformats.org/officeDocument/2006/relationships/control" Target="activeX/activeX2.xml"/><Relationship Id="rId29" Type="http://schemas.openxmlformats.org/officeDocument/2006/relationships/hyperlink" Target="https://eur-lex.europa.eu/legal-content/FR/TXT/?uri=CELEX:32015D0444"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4.xm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javascript:showJobDetails_252180_16()" TargetMode="External"/><Relationship Id="rId23" Type="http://schemas.openxmlformats.org/officeDocument/2006/relationships/image" Target="media/image5.wmf"/><Relationship Id="rId28" Type="http://schemas.openxmlformats.org/officeDocument/2006/relationships/control" Target="activeX/activeX6.xml"/><Relationship Id="rId36" Type="http://schemas.openxmlformats.org/officeDocument/2006/relationships/footer" Target="footer3.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3.xml"/><Relationship Id="rId27" Type="http://schemas.openxmlformats.org/officeDocument/2006/relationships/image" Target="media/image7.wmf"/><Relationship Id="rId30" Type="http://schemas.openxmlformats.org/officeDocument/2006/relationships/hyperlink" Target="https://europa.eu/europass/fr/create-your-europass-cv" TargetMode="External"/><Relationship Id="rId35" Type="http://schemas.openxmlformats.org/officeDocument/2006/relationships/header" Target="header3.xml"/><Relationship Id="rId8" Type="http://schemas.openxmlformats.org/officeDocument/2006/relationships/numbering" Target="numbering.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D33812E3C570400484B558C421C8A64E"/>
        <w:category>
          <w:name w:val="General"/>
          <w:gallery w:val="placeholder"/>
        </w:category>
        <w:types>
          <w:type w:val="bbPlcHdr"/>
        </w:types>
        <w:behaviors>
          <w:behavior w:val="content"/>
        </w:behaviors>
        <w:guid w:val="{3FF764B2-9E88-4E6C-B30C-DA65C9685CFA}"/>
      </w:docPartPr>
      <w:docPartBody>
        <w:p w:rsidR="00AB1270" w:rsidRDefault="00F00294" w:rsidP="00F00294">
          <w:pPr>
            <w:pStyle w:val="D33812E3C570400484B558C421C8A64E"/>
          </w:pPr>
          <w:r w:rsidRPr="003D4996">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pleSystemUIFont">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7D34E9"/>
    <w:multiLevelType w:val="multilevel"/>
    <w:tmpl w:val="37CCD5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0970940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AB1270"/>
    <w:rsid w:val="00B36F01"/>
    <w:rsid w:val="00CB23CA"/>
    <w:rsid w:val="00E96C07"/>
    <w:rsid w:val="00F0029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0294"/>
    <w:rPr>
      <w:color w:val="288061"/>
    </w:rPr>
  </w:style>
  <w:style w:type="paragraph" w:customStyle="1" w:styleId="D33812E3C570400484B558C421C8A64E">
    <w:name w:val="D33812E3C570400484B558C421C8A64E"/>
    <w:rsid w:val="00F00294"/>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717fa00a5dc8414d430c8d810616aa0c">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ba9f2507049b1898a9000559091b030a"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Portal_SM_IsProfessional xmlns="1929b814-5a78-4bdc-9841-d8b9ef424f65">false</EC_Portal_SM_IsProfessional>
    <EC_Common_Languages xmlns="http://schemas.microsoft.com/sharepoint/v3/fields">DE,EN,FR</EC_Common_Languages>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DEUX POSTES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7.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DDC654CD-EA3B-4263-9012-88A07B3C3F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D67EB-D7BF-45BC-9B1A-92CCB7CA617E}">
  <ds:schemaRefs>
    <ds:schemaRef ds:uri="http://schemas.openxmlformats.org/officeDocument/2006/bibliography"/>
  </ds:schemaRefs>
</ds:datastoreItem>
</file>

<file path=customXml/itemProps3.xml><?xml version="1.0" encoding="utf-8"?>
<ds:datastoreItem xmlns:ds="http://schemas.openxmlformats.org/officeDocument/2006/customXml" ds:itemID="{594F23C0-C9F5-4BF4-B4D3-740274A98906}">
  <ds:schemaRefs>
    <ds:schemaRef ds:uri="http://schemas.microsoft.com/sharepoint/v3/contenttype/forms"/>
  </ds:schemaRefs>
</ds:datastoreItem>
</file>

<file path=customXml/itemProps4.xml><?xml version="1.0" encoding="utf-8"?>
<ds:datastoreItem xmlns:ds="http://schemas.openxmlformats.org/officeDocument/2006/customXml" ds:itemID="{0FE24155-2102-4D0B-801C-6C578ADF1CE6}">
  <ds:schemaRefs>
    <ds:schemaRef ds:uri="http://schemas.microsoft.com/office/2006/documentManagement/types"/>
    <ds:schemaRef ds:uri="08927195-b699-4be0-9ee2-6c66dc215b5a"/>
    <ds:schemaRef ds:uri="a41a97bf-0494-41d8-ba3d-259bd7771890"/>
    <ds:schemaRef ds:uri="http://schemas.microsoft.com/sharepoint/v3/fields"/>
    <ds:schemaRef ds:uri="http://purl.org/dc/elements/1.1/"/>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1929b814-5a78-4bdc-9841-d8b9ef424f65"/>
    <ds:schemaRef ds:uri="http://schemas.microsoft.com/office/2006/metadata/properties"/>
  </ds:schemaRefs>
</ds:datastoreItem>
</file>

<file path=customXml/itemProps5.xml><?xml version="1.0" encoding="utf-8"?>
<ds:datastoreItem xmlns:ds="http://schemas.openxmlformats.org/officeDocument/2006/customXml" ds:itemID="{54DD96F4-BBF0-45E7-A229-B4D6064D9A94}">
  <ds:schemaRefs/>
</ds:datastoreItem>
</file>

<file path=customXml/itemProps6.xml><?xml version="1.0" encoding="utf-8"?>
<ds:datastoreItem xmlns:ds="http://schemas.openxmlformats.org/officeDocument/2006/customXml" ds:itemID="{4EF90DE6-88B6-4264-9629-4D8DFDFE87D2}">
  <ds:schemaRefs/>
</ds:datastoreItem>
</file>

<file path=customXml/itemProps7.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3</TotalTime>
  <Pages>5</Pages>
  <Words>1959</Words>
  <Characters>11111</Characters>
  <Application>Microsoft Office Word</Application>
  <DocSecurity>0</DocSecurity>
  <PresentationFormat>Microsoft Word 14.0</PresentationFormat>
  <Lines>222</Lines>
  <Paragraphs>101</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VANDIERENDONCK Caroline (BUDG)</cp:lastModifiedBy>
  <cp:revision>7</cp:revision>
  <cp:lastPrinted>2023-04-18T07:01:00Z</cp:lastPrinted>
  <dcterms:created xsi:type="dcterms:W3CDTF">2024-01-08T21:37:00Z</dcterms:created>
  <dcterms:modified xsi:type="dcterms:W3CDTF">2024-01-08T21:55:00Z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Bruxelles|a2fd1745-7a8b-472f-87d8-c065744c40dd</vt:lpwstr>
  </property>
  <property fmtid="{D5CDD505-2E9C-101B-9397-08002B2CF9AE}" pid="10" name="EC_Portal_SM_Location">
    <vt:lpwstr>1;#Bruxelles|a2fd1745-7a8b-472f-87d8-c065744c40dd</vt:lpwstr>
  </property>
  <property fmtid="{D5CDD505-2E9C-101B-9397-08002B2CF9AE}" pid="11" name="EC_Portal_SM_DocumentType">
    <vt:lpwstr/>
  </property>
  <property fmtid="{D5CDD505-2E9C-101B-9397-08002B2CF9AE}" pid="12" name="ContentTypeId">
    <vt:lpwstr>0x010100B115F2CDA271DD4BBE79039B2B10322D005972CF4DFAC7AC44A3C80A3589CF2E1E</vt:lpwstr>
  </property>
  <property fmtid="{D5CDD505-2E9C-101B-9397-08002B2CF9AE}" pid="13" name="TaxCatchAll">
    <vt:lpwstr>6;#Français|797213b8-07f2-436e-a021-30df8c8bbd6c;#5;#Anglais|256b0f03-2527-4c41-b261-a16799168ae6;#55;#Experts nationaux détachés|8541174c-e865-48c8-ad74-a224e0cea60d;#1;#Bruxelles|a2fd1745-7a8b-472f-87d8-c065744c40dd</vt:lpwstr>
  </property>
  <property fmtid="{D5CDD505-2E9C-101B-9397-08002B2CF9AE}" pid="14" name="EC_Portal_SM_NavigationLanguage">
    <vt:lpwstr>5;#Anglais|256b0f03-2527-4c41-b261-a16799168ae6;#6;#Français|797213b8-07f2-436e-a021-30df8c8bbd6c</vt:lpwstr>
  </property>
  <property fmtid="{D5CDD505-2E9C-101B-9397-08002B2CF9AE}" pid="15" name="EC_Portal_SM_TopicsTaxHTField0">
    <vt:lpwstr>Experts nationaux détachés|8541174c-e865-48c8-ad74-a224e0cea60d</vt:lpwstr>
  </property>
  <property fmtid="{D5CDD505-2E9C-101B-9397-08002B2CF9AE}" pid="16" name="EC_Portal_SM_Topics">
    <vt:lpwstr>55;#Experts nationaux détachés|8541174c-e865-48c8-ad74-a224e0cea60d</vt:lpwstr>
  </property>
  <property fmtid="{D5CDD505-2E9C-101B-9397-08002B2CF9AE}" pid="17" name="EC_Portal_SM_NavigationLanguageTaxHTField0">
    <vt:lpwstr>Anglais|256b0f03-2527-4c41-b261-a16799168ae6;Français|797213b8-07f2-436e-a021-30df8c8bbd6c</vt:lpwstr>
  </property>
  <property fmtid="{D5CDD505-2E9C-101B-9397-08002B2CF9AE}" pid="18" name="EC_Portal_SM_DocumentTypeTaxHTField0">
    <vt:lpwstr/>
  </property>
</Properties>
</file>