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8577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8577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8577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8577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8577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8577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70A9B3AD077244FDAECE0A1AF8B80C5C"/>
                </w:placeholder>
              </w:sdtPr>
              <w:sdtEndPr>
                <w:rPr>
                  <w:lang w:val="en-IE"/>
                </w:rPr>
              </w:sdtEndPr>
              <w:sdtContent>
                <w:tc>
                  <w:tcPr>
                    <w:tcW w:w="5491" w:type="dxa"/>
                  </w:tcPr>
                  <w:p w14:paraId="163192D7" w14:textId="435CC296" w:rsidR="00546DB1" w:rsidRPr="00546DB1" w:rsidRDefault="000B03E0" w:rsidP="00AB56F9">
                    <w:pPr>
                      <w:tabs>
                        <w:tab w:val="left" w:pos="426"/>
                      </w:tabs>
                      <w:spacing w:before="120"/>
                      <w:rPr>
                        <w:bCs/>
                        <w:lang w:val="en-IE" w:eastAsia="en-GB"/>
                      </w:rPr>
                    </w:pPr>
                    <w:r>
                      <w:rPr>
                        <w:bCs/>
                        <w:lang w:val="en-IE" w:eastAsia="en-GB"/>
                      </w:rPr>
                      <w:t xml:space="preserve">INTPA -G-5 </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738364067"/>
                <w:placeholder>
                  <w:docPart w:val="0050C872EEAB411CA1B2215DB332F037"/>
                </w:placeholder>
              </w:sdtPr>
              <w:sdtEndPr>
                <w:rPr>
                  <w:lang w:val="en-IE"/>
                </w:rPr>
              </w:sdtEndPr>
              <w:sdtContent>
                <w:tc>
                  <w:tcPr>
                    <w:tcW w:w="5491" w:type="dxa"/>
                  </w:tcPr>
                  <w:p w14:paraId="32FCC887" w14:textId="2C17AA0A" w:rsidR="00546DB1" w:rsidRPr="003B2E38" w:rsidRDefault="000B03E0" w:rsidP="00AB56F9">
                    <w:pPr>
                      <w:tabs>
                        <w:tab w:val="left" w:pos="426"/>
                      </w:tabs>
                      <w:spacing w:before="120"/>
                      <w:rPr>
                        <w:bCs/>
                        <w:lang w:val="en-IE" w:eastAsia="en-GB"/>
                      </w:rPr>
                    </w:pPr>
                    <w:r>
                      <w:rPr>
                        <w:bCs/>
                        <w:lang w:val="en-IE" w:eastAsia="en-GB"/>
                      </w:rPr>
                      <w:t>351522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7100861" w:rsidR="00546DB1" w:rsidRPr="003B2E38" w:rsidRDefault="000B03E0" w:rsidP="00AB56F9">
                <w:pPr>
                  <w:tabs>
                    <w:tab w:val="left" w:pos="426"/>
                  </w:tabs>
                  <w:spacing w:before="120"/>
                  <w:rPr>
                    <w:bCs/>
                    <w:lang w:val="en-IE" w:eastAsia="en-GB"/>
                  </w:rPr>
                </w:pPr>
                <w:r>
                  <w:rPr>
                    <w:bCs/>
                    <w:lang w:eastAsia="en-GB"/>
                  </w:rPr>
                  <w:t>Daniel GIOREV</w:t>
                </w:r>
              </w:p>
            </w:sdtContent>
          </w:sdt>
          <w:p w14:paraId="227D6F6E" w14:textId="286F4651" w:rsidR="00546DB1" w:rsidRPr="009F216F" w:rsidRDefault="0008577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3157EBBA" w:rsidR="00546DB1" w:rsidRPr="00546DB1" w:rsidRDefault="0008577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B03E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D2CD02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5pt" o:ole="">
                  <v:imagedata r:id="rId15" o:title=""/>
                </v:shape>
                <w:control r:id="rId16" w:name="OptionButton6" w:shapeid="_x0000_i1049"/>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BAC4CC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8577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8577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8577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454635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22E8DD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85774" w:rsidRDefault="00803007" w:rsidP="007C07D8">
      <w:pPr>
        <w:pStyle w:val="ListNumber"/>
        <w:numPr>
          <w:ilvl w:val="0"/>
          <w:numId w:val="0"/>
        </w:numPr>
        <w:ind w:left="709" w:hanging="709"/>
        <w:rPr>
          <w:lang w:eastAsia="en-GB"/>
        </w:rPr>
      </w:pPr>
      <w:r w:rsidRPr="00085774">
        <w:rPr>
          <w:b/>
          <w:bCs/>
          <w:lang w:eastAsia="en-GB"/>
        </w:rPr>
        <w:t>Wer wi</w:t>
      </w:r>
      <w:r w:rsidR="002F7504" w:rsidRPr="00085774">
        <w:rPr>
          <w:b/>
          <w:bCs/>
          <w:lang w:eastAsia="en-GB"/>
        </w:rPr>
        <w:t>r</w:t>
      </w:r>
      <w:r w:rsidRPr="00085774">
        <w:rPr>
          <w:b/>
          <w:bCs/>
          <w:lang w:eastAsia="en-GB"/>
        </w:rPr>
        <w:t xml:space="preserve"> sind</w:t>
      </w:r>
    </w:p>
    <w:sdt>
      <w:sdtPr>
        <w:rPr>
          <w:lang w:val="en-US" w:eastAsia="en-GB"/>
        </w:rPr>
        <w:id w:val="1822233941"/>
        <w:placeholder>
          <w:docPart w:val="FE6C9874556B47B1A65A432926DB0BCE"/>
        </w:placeholder>
      </w:sdtPr>
      <w:sdtEndPr/>
      <w:sdtContent>
        <w:p w14:paraId="4909BBC3" w14:textId="3EC76246" w:rsidR="000B03E0" w:rsidRPr="00085774" w:rsidRDefault="000B03E0" w:rsidP="000B03E0">
          <w:pPr>
            <w:rPr>
              <w:lang w:eastAsia="en-GB"/>
            </w:rPr>
          </w:pPr>
          <w:r w:rsidRPr="00085774">
            <w:rPr>
              <w:lang w:eastAsia="en-GB"/>
            </w:rPr>
            <w:t xml:space="preserve">Innerhalb der Europäischen Kommission ist die Generaldirektion Internationale Partnerschaften für die Entwicklungszusammenarbeit als Teil des umfassenderen </w:t>
          </w:r>
          <w:r w:rsidRPr="00085774">
            <w:rPr>
              <w:lang w:eastAsia="en-GB"/>
            </w:rPr>
            <w:lastRenderedPageBreak/>
            <w:t xml:space="preserve">Rahmens der EU für internationale Zusammenarbeit und auswärtiges Handeln zuständig. Dies umfasst die Zusammenarbeit mit Entwicklungsländern in verschiedenen Entwicklungsstadien und die Gewährleistung enger Verbindungen und Kohärenz zwischen den internen Politiken und Prioritäten der EU und ihrem auswärtigen Handeln. </w:t>
          </w:r>
        </w:p>
        <w:p w14:paraId="455B1B8C" w14:textId="0211F971" w:rsidR="000B03E0" w:rsidRPr="00085774" w:rsidRDefault="000B03E0" w:rsidP="000B03E0">
          <w:pPr>
            <w:rPr>
              <w:lang w:eastAsia="en-GB"/>
            </w:rPr>
          </w:pPr>
          <w:r w:rsidRPr="00085774">
            <w:rPr>
              <w:lang w:eastAsia="en-GB"/>
            </w:rPr>
            <w:t xml:space="preserve">Im Rahmen des Gesamtmandats der GD INTPA und innerhalb der Direktion G „Humane Entwicklung, Migration, Regierungsführung und Frieden“ formuliert und koordiniert das thematische Referat G5 „Resilienz, Frieden, Sicherheit“ sektorspezifische Maßnahmen in diesen Bereichen durch: </w:t>
          </w:r>
        </w:p>
        <w:p w14:paraId="533C9922" w14:textId="77777777" w:rsidR="000B03E0" w:rsidRPr="000B03E0" w:rsidRDefault="000B03E0" w:rsidP="000B03E0">
          <w:pPr>
            <w:rPr>
              <w:lang w:val="en-US" w:eastAsia="en-GB"/>
            </w:rPr>
          </w:pPr>
          <w:r w:rsidRPr="000B03E0">
            <w:rPr>
              <w:lang w:val="en-US" w:eastAsia="en-GB"/>
            </w:rPr>
            <w:t>• Bereitstellung von Fachwissen in den Bereichen Resilienz, Frieden und Sicherheit</w:t>
          </w:r>
        </w:p>
        <w:p w14:paraId="56CB8DEF" w14:textId="77777777" w:rsidR="000B03E0" w:rsidRPr="000B03E0" w:rsidRDefault="000B03E0" w:rsidP="000B03E0">
          <w:pPr>
            <w:rPr>
              <w:lang w:val="en-US" w:eastAsia="en-GB"/>
            </w:rPr>
          </w:pPr>
          <w:r w:rsidRPr="000B03E0">
            <w:rPr>
              <w:lang w:val="en-US" w:eastAsia="en-GB"/>
            </w:rPr>
            <w:t xml:space="preserve">• Arbeit an der durchgängigen Berücksichtigung des humanitären Nexus @-@ Development @-@ Peace in der Arbeit der EU in der Zentrale und vor Ort. </w:t>
          </w:r>
        </w:p>
        <w:p w14:paraId="5A10E8D5" w14:textId="77777777" w:rsidR="000B03E0" w:rsidRPr="000B03E0" w:rsidRDefault="000B03E0" w:rsidP="000B03E0">
          <w:pPr>
            <w:rPr>
              <w:lang w:val="en-US" w:eastAsia="en-GB"/>
            </w:rPr>
          </w:pPr>
          <w:r w:rsidRPr="000B03E0">
            <w:rPr>
              <w:lang w:val="en-US" w:eastAsia="en-GB"/>
            </w:rPr>
            <w:t>• Bereitstellung von Fachwissen und Unterstützung für den Kapazitätsaufbau und die Gewährleistung von Konfliktsensitivität, Friedensbildungs- und Resilienzkonzepten in Ländern, die von Krisen und/oder Fragilität betroffen sind</w:t>
          </w:r>
        </w:p>
        <w:p w14:paraId="55C11981" w14:textId="77777777" w:rsidR="000B03E0" w:rsidRPr="000B03E0" w:rsidRDefault="000B03E0" w:rsidP="000B03E0">
          <w:pPr>
            <w:rPr>
              <w:lang w:val="en-US" w:eastAsia="en-GB"/>
            </w:rPr>
          </w:pPr>
          <w:r w:rsidRPr="000B03E0">
            <w:rPr>
              <w:lang w:val="en-US" w:eastAsia="en-GB"/>
            </w:rPr>
            <w:t>• Als Kompetenzzentrum für die Zusammenarbeit bei der Reform des Sicherheitssektors (SSR) transnationale organisierte Kriminalität; Schutz kritischer Infrastrukturen; Prävention und Bekämpfung von gewaltbereitem Extremismus, illegalen Finanzströmen, Bekämpfung von Geldwäsche und Terrorismusfinanzierung</w:t>
          </w:r>
        </w:p>
        <w:p w14:paraId="6BFC59CE" w14:textId="77777777" w:rsidR="000B03E0" w:rsidRPr="000B03E0" w:rsidRDefault="000B03E0" w:rsidP="000B03E0">
          <w:pPr>
            <w:rPr>
              <w:lang w:val="en-US" w:eastAsia="en-GB"/>
            </w:rPr>
          </w:pPr>
          <w:r w:rsidRPr="000B03E0">
            <w:rPr>
              <w:lang w:val="en-US" w:eastAsia="en-GB"/>
            </w:rPr>
            <w:t xml:space="preserve">• Gemeinsames Management von EU-Instrumenten zur Krisenvorsorge und -analyse (z. B. EU-Konfliktverhütungs- und -Frühwarnsystem und RPBA/PDNA). </w:t>
          </w:r>
        </w:p>
        <w:p w14:paraId="77519F05" w14:textId="069B07A5" w:rsidR="000B03E0" w:rsidRPr="000B03E0" w:rsidRDefault="000B03E0" w:rsidP="000B03E0">
          <w:pPr>
            <w:rPr>
              <w:lang w:val="en-US" w:eastAsia="en-GB"/>
            </w:rPr>
          </w:pPr>
          <w:r w:rsidRPr="000B03E0">
            <w:rPr>
              <w:lang w:val="en-US" w:eastAsia="en-GB"/>
            </w:rPr>
            <w:t>• Zusammenarbeit mit einer Reihe von Partnern wie den Bretton-Woods-Institutionen, der OECD und den Vereinten Nationen (UNDP, Büro der Vereinten Nationen zur Unterstützung der Friedenskonsolidierung, Büro der Vereinten Nationen für Drogen- und Verbrechensbekämpfung, Büro der Vereinten Nationen für Terrorismusbekämpfung) sowie anderen spezialisierten internationalen Gremien und Organisationen (Interpol, Arbeitsgruppe „Bekämpfung der Geldwäsche und der Terrorismusbekämpfung“) als Anlaufstelle und Koordinierungsstelle für die oben genannten Fragen.</w:t>
          </w:r>
        </w:p>
        <w:p w14:paraId="0AA39866" w14:textId="6462170B" w:rsidR="000B03E0" w:rsidRPr="000B03E0" w:rsidRDefault="000B03E0" w:rsidP="000B03E0">
          <w:pPr>
            <w:rPr>
              <w:lang w:val="en-US" w:eastAsia="en-GB"/>
            </w:rPr>
          </w:pPr>
          <w:r w:rsidRPr="000B03E0">
            <w:rPr>
              <w:lang w:val="en-US" w:eastAsia="en-GB"/>
            </w:rPr>
            <w:t xml:space="preserve">Die Arbeit des Referats ist in die allgemeinen Prioritäten der EU, einschließlich der Global-Gateway-Strategie, eingebettet. </w:t>
          </w:r>
        </w:p>
        <w:p w14:paraId="76DD1EEA" w14:textId="411A3C40" w:rsidR="00803007" w:rsidRDefault="000B03E0" w:rsidP="000B03E0">
          <w:pPr>
            <w:rPr>
              <w:lang w:val="en-US" w:eastAsia="en-GB"/>
            </w:rPr>
          </w:pPr>
          <w:r w:rsidRPr="000B03E0">
            <w:rPr>
              <w:lang w:val="en-US" w:eastAsia="en-GB"/>
            </w:rPr>
            <w:t>Das Referat verfügt über zwei voneinander abhängige Teams (1) Frieden/Resilienz und (2) Sicherheit, die mit einer Vielzahl von Gesprächspartnern im EU-System (u. a. mit anderen Dienststellen der Europäischen Kommission, dem Auswärtigen Dienst, den EU-Delegationen und den EU-Mitgliedstaaten usw.) in Partnerländern weltweit (Afrika, Lateinamerika und Karibik, Asien und Pazifik) sowie international (u. a. mit anderen multilateralen Organisationen und zwischenstaatlichen Fachgremien) zusammenarbeiten.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D37D59D" w14:textId="77777777" w:rsidR="000B03E0" w:rsidRPr="000B03E0" w:rsidRDefault="000B03E0" w:rsidP="000B03E0">
          <w:pPr>
            <w:rPr>
              <w:lang w:val="en-US" w:eastAsia="en-GB"/>
            </w:rPr>
          </w:pPr>
          <w:r w:rsidRPr="000B03E0">
            <w:rPr>
              <w:lang w:val="en-US" w:eastAsia="en-GB"/>
            </w:rPr>
            <w:t xml:space="preserve">Er hat die Aufgabe: </w:t>
          </w:r>
        </w:p>
        <w:p w14:paraId="220AB297" w14:textId="77777777" w:rsidR="000B03E0" w:rsidRPr="000B03E0" w:rsidRDefault="000B03E0" w:rsidP="000B03E0">
          <w:pPr>
            <w:rPr>
              <w:lang w:val="en-US" w:eastAsia="en-GB"/>
            </w:rPr>
          </w:pPr>
        </w:p>
        <w:p w14:paraId="0F721A6F" w14:textId="77777777" w:rsidR="000B03E0" w:rsidRPr="000B03E0" w:rsidRDefault="000B03E0" w:rsidP="000B03E0">
          <w:pPr>
            <w:rPr>
              <w:lang w:val="en-US" w:eastAsia="en-GB"/>
            </w:rPr>
          </w:pPr>
          <w:r w:rsidRPr="000B03E0">
            <w:rPr>
              <w:lang w:val="en-US" w:eastAsia="en-GB"/>
            </w:rPr>
            <w:lastRenderedPageBreak/>
            <w:t xml:space="preserve">Unterstützung bei der Gestaltung von EU-Programmen und -Strategien in Fragen der Resilienz, des Friedens und der Sicherheit; </w:t>
          </w:r>
        </w:p>
        <w:p w14:paraId="276CC40E" w14:textId="77777777" w:rsidR="000B03E0" w:rsidRPr="000B03E0" w:rsidRDefault="000B03E0" w:rsidP="000B03E0">
          <w:pPr>
            <w:rPr>
              <w:lang w:val="en-US" w:eastAsia="en-GB"/>
            </w:rPr>
          </w:pPr>
          <w:r w:rsidRPr="000B03E0">
            <w:rPr>
              <w:lang w:val="en-US" w:eastAsia="en-GB"/>
            </w:rPr>
            <w:t xml:space="preserve">Beratung und Unterstützung der EU-Delegationen weltweit und der INTPA-Referate (insbesondere der geografischen Referate) in den genannten Fachbereichen sowie Gewährleistung der Kohärenz und Koordinierung von Team Europa mit den EU-Mitgliedstaaten. Dazu gehören Beratung und Unterstützung bei der Konzeption und Verwaltung von Projekten und Programmen im Zusammenhang mit dem Aufbau von Frieden und Resilienz und dem Aufbau von Kapazitäten, die zur Bewältigung von Konflikttreibern beitragen. </w:t>
          </w:r>
        </w:p>
        <w:p w14:paraId="12AA1B9D" w14:textId="791346CE" w:rsidR="000B03E0" w:rsidRPr="000B03E0" w:rsidRDefault="000B03E0" w:rsidP="000B03E0">
          <w:pPr>
            <w:rPr>
              <w:lang w:val="en-US" w:eastAsia="en-GB"/>
            </w:rPr>
          </w:pPr>
          <w:r w:rsidRPr="000B03E0">
            <w:rPr>
              <w:lang w:val="en-US" w:eastAsia="en-GB"/>
            </w:rPr>
            <w:t xml:space="preserve">Konzeption, Organisation und Beteiligung an gemeinsamen Konfliktanalysen, Konfliktsensitivitäts- und Risikobewertungen in fragilen Ländern und Kontexten . </w:t>
          </w:r>
        </w:p>
        <w:p w14:paraId="22F2174D" w14:textId="1E13247C" w:rsidR="000B03E0" w:rsidRPr="000B03E0" w:rsidRDefault="000B03E0" w:rsidP="000B03E0">
          <w:pPr>
            <w:rPr>
              <w:lang w:val="en-US" w:eastAsia="en-GB"/>
            </w:rPr>
          </w:pPr>
          <w:r w:rsidRPr="000B03E0">
            <w:rPr>
              <w:lang w:val="en-US" w:eastAsia="en-GB"/>
            </w:rPr>
            <w:t xml:space="preserve">Förderung und Unterstützung der Operationalisierung des humanitären Nexus </w:t>
          </w:r>
          <w:r>
            <w:rPr>
              <w:lang w:val="en-US" w:eastAsia="en-GB"/>
            </w:rPr>
            <w:t>-</w:t>
          </w:r>
          <w:r w:rsidRPr="000B03E0">
            <w:rPr>
              <w:lang w:val="en-US" w:eastAsia="en-GB"/>
            </w:rPr>
            <w:t xml:space="preserve"> Development</w:t>
          </w:r>
          <w:r>
            <w:rPr>
              <w:lang w:val="en-US" w:eastAsia="en-GB"/>
            </w:rPr>
            <w:t xml:space="preserve"> -</w:t>
          </w:r>
          <w:r w:rsidRPr="000B03E0">
            <w:rPr>
              <w:lang w:val="en-US" w:eastAsia="en-GB"/>
            </w:rPr>
            <w:t xml:space="preserve">Peace (HDP) in relevanten Kontexten. </w:t>
          </w:r>
        </w:p>
        <w:p w14:paraId="3C74A077" w14:textId="77777777" w:rsidR="000B03E0" w:rsidRPr="000B03E0" w:rsidRDefault="000B03E0" w:rsidP="000B03E0">
          <w:pPr>
            <w:rPr>
              <w:lang w:val="en-US" w:eastAsia="en-GB"/>
            </w:rPr>
          </w:pPr>
          <w:r w:rsidRPr="000B03E0">
            <w:rPr>
              <w:lang w:val="en-US" w:eastAsia="en-GB"/>
            </w:rPr>
            <w:t xml:space="preserve">Die verschiedenen politischen Dialoge über Fragen des Friedens und der Resilienz mit EU-Mitgliedstaaten und Partnerländern auf bilateraler und regionaler Ebene zu verfolgen und dazu beizutragen;  </w:t>
          </w:r>
        </w:p>
        <w:p w14:paraId="12B9C59B" w14:textId="613CD79C" w:rsidR="00803007" w:rsidRPr="009F216F" w:rsidRDefault="000B03E0" w:rsidP="000B03E0">
          <w:pPr>
            <w:rPr>
              <w:lang w:eastAsia="en-GB"/>
            </w:rPr>
          </w:pPr>
          <w:r w:rsidRPr="000B03E0">
            <w:rPr>
              <w:lang w:val="en-US" w:eastAsia="en-GB"/>
            </w:rPr>
            <w:t>Enge Zusammenarbeit mit anderen Dienststellen der Europäischen Kommission und dem EAD sowie gegebenenfalls Kontakte zu externen Interessenträgern.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28FAE06" w14:textId="77777777" w:rsidR="000B03E0" w:rsidRPr="000B03E0" w:rsidRDefault="000B03E0" w:rsidP="000B03E0">
          <w:pPr>
            <w:rPr>
              <w:lang w:eastAsia="en-GB"/>
            </w:rPr>
          </w:pPr>
          <w:r w:rsidRPr="000B03E0">
            <w:rPr>
              <w:lang w:eastAsia="en-GB"/>
            </w:rPr>
            <w:t>Der Bewerber würde über einen Masterabschluss (oder einen gleichwertigen Abschluss) in Wirtschafts- und Sozialwissenschaften verfügen, z. B. Politikwissenschaft, Recht, Wirtschaft, internationale Beziehungen, Frieden.</w:t>
          </w:r>
        </w:p>
        <w:p w14:paraId="2A0F153A" w14:textId="1D13E28A" w:rsidR="009321C6" w:rsidRPr="009F216F" w:rsidRDefault="000B03E0" w:rsidP="000B03E0">
          <w:pPr>
            <w:rPr>
              <w:lang w:eastAsia="en-GB"/>
            </w:rPr>
          </w:pPr>
          <w:r w:rsidRPr="000B03E0">
            <w:rPr>
              <w:lang w:eastAsia="en-GB"/>
            </w:rPr>
            <w:t xml:space="preserve">Konfliktstudien, Entwicklungsstudien, Sicherheitsstudien oder gleichwertige Erfahrungen. Er/sie sollte über Erfahrung in Fragen der Resilienz, des Friedens und der Sicherheit verfügen, auch in Bezug auf fragile und von Konflikten/Krisen betroffene Länder. </w:t>
          </w:r>
          <w:r w:rsidRPr="000B03E0">
            <w:rPr>
              <w:lang w:val="en-US" w:eastAsia="en-GB"/>
            </w:rPr>
            <w:t>Erfahrung vor Ort wird als wichtiger Vorteil angesehen. Ausgeprägte analytische Fähigkeiten sind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5774"/>
    <w:rsid w:val="000B03E0"/>
    <w:rsid w:val="000D7B5E"/>
    <w:rsid w:val="001203F8"/>
    <w:rsid w:val="001263FB"/>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772A8E" w:rsidRDefault="008C406B" w:rsidP="008C406B">
          <w:pPr>
            <w:pStyle w:val="7A095002B5044C529611DC1FFA548CF4"/>
          </w:pPr>
          <w:r w:rsidRPr="003D4996">
            <w:rPr>
              <w:rStyle w:val="PlaceholderText"/>
            </w:rPr>
            <w:t>Click or tap to enter a date.</w:t>
          </w:r>
        </w:p>
      </w:docPartBody>
    </w:docPart>
    <w:docPart>
      <w:docPartPr>
        <w:name w:val="70A9B3AD077244FDAECE0A1AF8B80C5C"/>
        <w:category>
          <w:name w:val="General"/>
          <w:gallery w:val="placeholder"/>
        </w:category>
        <w:types>
          <w:type w:val="bbPlcHdr"/>
        </w:types>
        <w:behaviors>
          <w:behavior w:val="content"/>
        </w:behaviors>
        <w:guid w:val="{73096C73-3B78-4901-9FE5-C9755FB0B217}"/>
      </w:docPartPr>
      <w:docPartBody>
        <w:p w:rsidR="00B8057B" w:rsidRDefault="002F737C" w:rsidP="002F737C">
          <w:pPr>
            <w:pStyle w:val="70A9B3AD077244FDAECE0A1AF8B80C5C"/>
          </w:pPr>
          <w:r w:rsidRPr="0007110E">
            <w:rPr>
              <w:rStyle w:val="PlaceholderText"/>
              <w:bCs/>
            </w:rPr>
            <w:t>Click or tap here to enter text.</w:t>
          </w:r>
        </w:p>
      </w:docPartBody>
    </w:docPart>
    <w:docPart>
      <w:docPartPr>
        <w:name w:val="0050C872EEAB411CA1B2215DB332F037"/>
        <w:category>
          <w:name w:val="General"/>
          <w:gallery w:val="placeholder"/>
        </w:category>
        <w:types>
          <w:type w:val="bbPlcHdr"/>
        </w:types>
        <w:behaviors>
          <w:behavior w:val="content"/>
        </w:behaviors>
        <w:guid w:val="{7E7E2766-360F-4623-BDC8-CF941C0D2B7F}"/>
      </w:docPartPr>
      <w:docPartBody>
        <w:p w:rsidR="00B8057B" w:rsidRDefault="002F737C" w:rsidP="002F737C">
          <w:pPr>
            <w:pStyle w:val="0050C872EEAB411CA1B2215DB332F03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F737C"/>
    <w:rsid w:val="0056186B"/>
    <w:rsid w:val="00723B02"/>
    <w:rsid w:val="00772A8E"/>
    <w:rsid w:val="008A7C76"/>
    <w:rsid w:val="008C406B"/>
    <w:rsid w:val="008D04E3"/>
    <w:rsid w:val="00A71FAD"/>
    <w:rsid w:val="00B21BDA"/>
    <w:rsid w:val="00B8057B"/>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F737C"/>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70A9B3AD077244FDAECE0A1AF8B80C5C">
    <w:name w:val="70A9B3AD077244FDAECE0A1AF8B80C5C"/>
    <w:rsid w:val="002F737C"/>
  </w:style>
  <w:style w:type="paragraph" w:customStyle="1" w:styleId="0050C872EEAB411CA1B2215DB332F037">
    <w:name w:val="0050C872EEAB411CA1B2215DB332F037"/>
    <w:rsid w:val="002F73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264AC718-AF23-442A-92F5-08EA22515F3E}">
  <ds:schemaRefs>
    <ds:schemaRef ds:uri="http://www.w3.org/XML/1998/namespace"/>
    <ds:schemaRef ds:uri="08927195-b699-4be0-9ee2-6c66dc215b5a"/>
    <ds:schemaRef ds:uri="http://schemas.openxmlformats.org/package/2006/metadata/core-properties"/>
    <ds:schemaRef ds:uri="http://schemas.microsoft.com/office/2006/documentManagement/types"/>
    <ds:schemaRef ds:uri="1929b814-5a78-4bdc-9841-d8b9ef424f65"/>
    <ds:schemaRef ds:uri="http://purl.org/dc/dcmitype/"/>
    <ds:schemaRef ds:uri="http://purl.org/dc/elements/1.1/"/>
    <ds:schemaRef ds:uri="http://schemas.microsoft.com/sharepoint/v3/fields"/>
    <ds:schemaRef ds:uri="http://purl.org/dc/terms/"/>
    <ds:schemaRef ds:uri="http://schemas.microsoft.com/office/2006/metadata/properties"/>
    <ds:schemaRef ds:uri="http://schemas.microsoft.com/office/infopath/2007/PartnerControl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1461</Words>
  <Characters>8328</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VATANSEVER Yasemin (INTPA)</cp:lastModifiedBy>
  <cp:revision>3</cp:revision>
  <dcterms:created xsi:type="dcterms:W3CDTF">2023-10-13T10:05:00Z</dcterms:created>
  <dcterms:modified xsi:type="dcterms:W3CDTF">2024-01-16T08:48:00Z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