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AD696" w14:textId="77777777" w:rsidR="00A51B15" w:rsidRPr="006E6391" w:rsidRDefault="00A51B15" w:rsidP="00010568">
      <w:pPr>
        <w:tabs>
          <w:tab w:val="left" w:pos="0"/>
        </w:tabs>
        <w:spacing w:after="120"/>
        <w:jc w:val="center"/>
        <w:rPr>
          <w:rFonts w:ascii="Cambria" w:hAnsi="Cambria"/>
          <w:b/>
          <w:bCs/>
          <w:sz w:val="24"/>
          <w:szCs w:val="24"/>
          <w:lang w:eastAsia="ar-SA"/>
        </w:rPr>
      </w:pPr>
      <w:bookmarkStart w:id="0" w:name="_Toc4496054"/>
      <w:bookmarkStart w:id="1" w:name="HeaderIII"/>
      <w:r w:rsidRPr="006E6391">
        <w:rPr>
          <w:rFonts w:ascii="Cambria" w:hAnsi="Cambria"/>
          <w:b/>
          <w:bCs/>
          <w:sz w:val="24"/>
          <w:szCs w:val="24"/>
          <w:lang w:eastAsia="ar-SA"/>
        </w:rPr>
        <w:t>ОТЧЕТ</w:t>
      </w:r>
    </w:p>
    <w:p w14:paraId="13FAD697" w14:textId="342B0CDE" w:rsidR="00A51B15" w:rsidRPr="006E6391" w:rsidRDefault="00A51B15" w:rsidP="00010568">
      <w:pPr>
        <w:tabs>
          <w:tab w:val="left" w:pos="0"/>
        </w:tabs>
        <w:spacing w:after="120"/>
        <w:jc w:val="center"/>
        <w:rPr>
          <w:rFonts w:ascii="Cambria" w:hAnsi="Cambria"/>
          <w:b/>
          <w:bCs/>
          <w:sz w:val="24"/>
          <w:szCs w:val="24"/>
          <w:lang w:val="en-US" w:eastAsia="ar-SA"/>
        </w:rPr>
      </w:pPr>
      <w:r w:rsidRPr="006E6391">
        <w:rPr>
          <w:rFonts w:ascii="Cambria" w:hAnsi="Cambria"/>
          <w:b/>
          <w:bCs/>
          <w:sz w:val="24"/>
          <w:szCs w:val="24"/>
          <w:lang w:eastAsia="ar-SA"/>
        </w:rPr>
        <w:t>за степента на изпълнение на утвърдените политики и програми на Министерството на външните работи за</w:t>
      </w:r>
      <w:r w:rsidR="00405A62" w:rsidRPr="006E6391">
        <w:rPr>
          <w:rFonts w:ascii="Cambria" w:hAnsi="Cambria"/>
          <w:b/>
          <w:bCs/>
          <w:sz w:val="24"/>
          <w:szCs w:val="24"/>
          <w:lang w:eastAsia="ar-SA"/>
        </w:rPr>
        <w:t xml:space="preserve"> </w:t>
      </w:r>
      <w:r w:rsidR="006E6391">
        <w:rPr>
          <w:rFonts w:ascii="Cambria" w:hAnsi="Cambria"/>
          <w:b/>
          <w:bCs/>
          <w:sz w:val="24"/>
          <w:szCs w:val="24"/>
          <w:lang w:eastAsia="ar-SA"/>
        </w:rPr>
        <w:t xml:space="preserve">първото полугодие на </w:t>
      </w:r>
      <w:r w:rsidRPr="006E6391">
        <w:rPr>
          <w:rFonts w:ascii="Cambria" w:hAnsi="Cambria"/>
          <w:b/>
          <w:bCs/>
          <w:sz w:val="24"/>
          <w:szCs w:val="24"/>
          <w:lang w:eastAsia="ar-SA"/>
        </w:rPr>
        <w:t>20</w:t>
      </w:r>
      <w:r w:rsidR="00BF520C" w:rsidRPr="006E6391">
        <w:rPr>
          <w:rFonts w:ascii="Cambria" w:hAnsi="Cambria"/>
          <w:b/>
          <w:bCs/>
          <w:sz w:val="24"/>
          <w:szCs w:val="24"/>
          <w:lang w:val="en-US" w:eastAsia="ar-SA"/>
        </w:rPr>
        <w:t>2</w:t>
      </w:r>
      <w:r w:rsidR="006E6391">
        <w:rPr>
          <w:rFonts w:ascii="Cambria" w:hAnsi="Cambria"/>
          <w:b/>
          <w:bCs/>
          <w:sz w:val="24"/>
          <w:szCs w:val="24"/>
          <w:lang w:eastAsia="ar-SA"/>
        </w:rPr>
        <w:t>3</w:t>
      </w:r>
      <w:r w:rsidRPr="006E6391">
        <w:rPr>
          <w:rFonts w:ascii="Cambria" w:hAnsi="Cambria"/>
          <w:b/>
          <w:bCs/>
          <w:sz w:val="24"/>
          <w:szCs w:val="24"/>
          <w:lang w:eastAsia="ar-SA"/>
        </w:rPr>
        <w:t xml:space="preserve"> г</w:t>
      </w:r>
      <w:r w:rsidRPr="006E6391">
        <w:rPr>
          <w:rFonts w:ascii="Cambria" w:hAnsi="Cambria"/>
          <w:b/>
          <w:bCs/>
          <w:sz w:val="24"/>
          <w:szCs w:val="24"/>
          <w:lang w:val="en-US" w:eastAsia="ar-SA"/>
        </w:rPr>
        <w:t>.</w:t>
      </w:r>
    </w:p>
    <w:p w14:paraId="13FAD698" w14:textId="77777777" w:rsidR="00D65490" w:rsidRPr="006E6391" w:rsidRDefault="00D65490" w:rsidP="00010568">
      <w:pPr>
        <w:tabs>
          <w:tab w:val="left" w:pos="0"/>
        </w:tabs>
        <w:spacing w:after="120"/>
        <w:jc w:val="center"/>
        <w:rPr>
          <w:rFonts w:ascii="Cambria" w:hAnsi="Cambria"/>
          <w:b/>
          <w:bCs/>
          <w:sz w:val="24"/>
          <w:szCs w:val="24"/>
          <w:lang w:eastAsia="ar-SA"/>
        </w:rPr>
      </w:pPr>
      <w:r w:rsidRPr="006E6391">
        <w:rPr>
          <w:rFonts w:ascii="Cambria" w:hAnsi="Cambria"/>
          <w:b/>
          <w:bCs/>
          <w:sz w:val="24"/>
          <w:szCs w:val="24"/>
          <w:lang w:eastAsia="ar-SA"/>
        </w:rPr>
        <w:t>(резюме)</w:t>
      </w:r>
    </w:p>
    <w:p w14:paraId="13FAD699" w14:textId="77777777" w:rsidR="00A51B15" w:rsidRPr="006E6391" w:rsidRDefault="00A51B15" w:rsidP="00010568">
      <w:pPr>
        <w:tabs>
          <w:tab w:val="left" w:pos="0"/>
        </w:tabs>
        <w:spacing w:after="120"/>
        <w:jc w:val="both"/>
        <w:rPr>
          <w:rFonts w:ascii="Cambria" w:hAnsi="Cambria"/>
          <w:sz w:val="24"/>
          <w:szCs w:val="24"/>
          <w:lang w:val="en-US"/>
        </w:rPr>
      </w:pPr>
    </w:p>
    <w:bookmarkEnd w:id="0"/>
    <w:bookmarkEnd w:id="1"/>
    <w:p w14:paraId="1C351EFC" w14:textId="77777777" w:rsidR="006E6391" w:rsidRPr="006E6391" w:rsidRDefault="006E6391" w:rsidP="006E6391">
      <w:pPr>
        <w:pStyle w:val="NoSpacing"/>
        <w:spacing w:after="120"/>
        <w:jc w:val="both"/>
        <w:rPr>
          <w:rFonts w:ascii="Cambria" w:eastAsia="Times New Roman" w:hAnsi="Cambria"/>
          <w:sz w:val="24"/>
          <w:szCs w:val="24"/>
          <w:lang w:eastAsia="bg-BG"/>
        </w:rPr>
      </w:pPr>
      <w:r w:rsidRPr="006E6391">
        <w:rPr>
          <w:rFonts w:ascii="Cambria" w:eastAsia="Times New Roman" w:hAnsi="Cambria"/>
          <w:sz w:val="24"/>
          <w:szCs w:val="24"/>
          <w:lang w:eastAsia="bg-BG"/>
        </w:rPr>
        <w:t xml:space="preserve">Водещи насоки в работата на МВнР и задграничните представителства продължават да са: активна позиция и принос на страната към формирането и реализацията на политиките в рамките на ЕС и НАТО; ефективно участие в работата на ООН, ОССЕ, Съвета на Европа и други международни организации; ангажираност с принципите на върховенството на правото, човешките права, демокрацията, международното право и </w:t>
      </w:r>
      <w:proofErr w:type="spellStart"/>
      <w:r w:rsidRPr="006E6391">
        <w:rPr>
          <w:rFonts w:ascii="Cambria" w:eastAsia="Times New Roman" w:hAnsi="Cambria"/>
          <w:sz w:val="24"/>
          <w:szCs w:val="24"/>
          <w:lang w:eastAsia="bg-BG"/>
        </w:rPr>
        <w:t>мултилатерализма</w:t>
      </w:r>
      <w:proofErr w:type="spellEnd"/>
      <w:r w:rsidRPr="006E6391">
        <w:rPr>
          <w:rFonts w:ascii="Cambria" w:eastAsia="Times New Roman" w:hAnsi="Cambria"/>
          <w:sz w:val="24"/>
          <w:szCs w:val="24"/>
          <w:lang w:eastAsia="bg-BG"/>
        </w:rPr>
        <w:t xml:space="preserve"> при решаването на глобалните проблеми; активна двустранна политика и ефективна защита на интересите на българските общности и българските граждани извън страната. </w:t>
      </w:r>
    </w:p>
    <w:p w14:paraId="3CF25E39" w14:textId="26062049" w:rsidR="006E6391" w:rsidRPr="006E6391" w:rsidRDefault="006E6391" w:rsidP="006E6391">
      <w:pPr>
        <w:pStyle w:val="NoSpacing"/>
        <w:spacing w:after="120"/>
        <w:jc w:val="both"/>
        <w:rPr>
          <w:rFonts w:ascii="Cambria" w:eastAsia="Times New Roman" w:hAnsi="Cambria"/>
          <w:sz w:val="24"/>
          <w:szCs w:val="24"/>
          <w:lang w:eastAsia="bg-BG"/>
        </w:rPr>
      </w:pPr>
      <w:r w:rsidRPr="006E6391">
        <w:rPr>
          <w:rFonts w:ascii="Cambria" w:eastAsia="Times New Roman" w:hAnsi="Cambria"/>
          <w:sz w:val="24"/>
          <w:szCs w:val="24"/>
          <w:lang w:eastAsia="bg-BG"/>
        </w:rPr>
        <w:t>През отчетния период МВнР бе активно ангажирано с организирането и успешното провеждане зад граница на изборите за народни представители, проведени на 02.04.2023 г. Това са петите поред последната година и половина, които МВнР организира в чужбина.. Сънародниците ни гласуваха в 37 избирателни секции – от които 245 с машинно гласуване, в 61 държави, в които гласуваха над 185 хил. български граждани. От 4150 членове на СИК, 737 бяха командировани от България.</w:t>
      </w:r>
    </w:p>
    <w:p w14:paraId="39157EC8" w14:textId="77777777" w:rsidR="006E6391" w:rsidRPr="006E6391" w:rsidRDefault="006E6391" w:rsidP="006E6391">
      <w:pPr>
        <w:pStyle w:val="NoSpacing"/>
        <w:spacing w:after="120"/>
        <w:jc w:val="both"/>
        <w:rPr>
          <w:rFonts w:ascii="Cambria" w:eastAsia="Times New Roman" w:hAnsi="Cambria"/>
          <w:sz w:val="24"/>
          <w:szCs w:val="24"/>
          <w:lang w:eastAsia="bg-BG"/>
        </w:rPr>
      </w:pPr>
      <w:r w:rsidRPr="006E6391">
        <w:rPr>
          <w:rFonts w:ascii="Cambria" w:eastAsia="Times New Roman" w:hAnsi="Cambria"/>
          <w:sz w:val="24"/>
          <w:szCs w:val="24"/>
          <w:lang w:eastAsia="bg-BG"/>
        </w:rPr>
        <w:t xml:space="preserve">Министерството на външните работи последователно отстоява националните приоритети в разработването и реализирането на политиките на ЕС по ключови теми като: разширяването на ЕС и отношения със страните от Западните Балкани, присъединяване на България към </w:t>
      </w:r>
      <w:proofErr w:type="spellStart"/>
      <w:r w:rsidRPr="006E6391">
        <w:rPr>
          <w:rFonts w:ascii="Cambria" w:eastAsia="Times New Roman" w:hAnsi="Cambria"/>
          <w:sz w:val="24"/>
          <w:szCs w:val="24"/>
          <w:lang w:eastAsia="bg-BG"/>
        </w:rPr>
        <w:t>Шенген</w:t>
      </w:r>
      <w:proofErr w:type="spellEnd"/>
      <w:r w:rsidRPr="006E6391">
        <w:rPr>
          <w:rFonts w:ascii="Cambria" w:eastAsia="Times New Roman" w:hAnsi="Cambria"/>
          <w:sz w:val="24"/>
          <w:szCs w:val="24"/>
          <w:lang w:eastAsia="bg-BG"/>
        </w:rPr>
        <w:t xml:space="preserve"> и върховенството на правото, присъединяването на България към еврозоната, икономическо и социално развитие, справяне с последиците от войната в Украйна, повишаването на конкурентоспособността на европейската и националните икономики посредством двойния климатичен и дигитален преход,  дефинирането на посоката и приоритетите на развитието на ЕС в рамките на Конференцията за бъдещето на Европа и др. </w:t>
      </w:r>
    </w:p>
    <w:p w14:paraId="08ADA2D7" w14:textId="77777777" w:rsidR="006E6391" w:rsidRPr="006E6391" w:rsidRDefault="006E6391" w:rsidP="006E6391">
      <w:pPr>
        <w:pStyle w:val="NoSpacing"/>
        <w:spacing w:after="120"/>
        <w:jc w:val="both"/>
        <w:rPr>
          <w:rFonts w:ascii="Cambria" w:eastAsia="Times New Roman" w:hAnsi="Cambria"/>
          <w:sz w:val="24"/>
          <w:szCs w:val="24"/>
          <w:lang w:eastAsia="bg-BG"/>
        </w:rPr>
      </w:pPr>
      <w:r w:rsidRPr="006E6391">
        <w:rPr>
          <w:rFonts w:ascii="Cambria" w:eastAsia="Times New Roman" w:hAnsi="Cambria"/>
          <w:sz w:val="24"/>
          <w:szCs w:val="24"/>
          <w:lang w:eastAsia="bg-BG"/>
        </w:rPr>
        <w:t>През първото полугодие на 2023 г. България продължи своето активно участие в процеса на вземане и изпълнение на решенията в областта на ОВППС и ОПСО. Главна цел бе отстояване на националните интереси, в т.ч. чрез усилия към запазване на единството, решителността и надграждането на сътрудничеството на държавите-членки на ЕС по въпроси от общ интерес. Основен акцент бе поставен върху подготовката на българското участие в Срещата на върха ЕС – Украйна в Киев на 3 февруари 2023 г., в Извънредното заседание на Европейския съвет на 9 февруари 2023 г. и в редовните му формати през м. март и юни; също и на редовните ежемесечни заседания на Съвет „Външни работи“, на съвместното заседание Съвет „Външни работи/Отбрана“, както и на неформалната среща на министрите на външните работи във формат „</w:t>
      </w:r>
      <w:proofErr w:type="spellStart"/>
      <w:r w:rsidRPr="006E6391">
        <w:rPr>
          <w:rFonts w:ascii="Cambria" w:eastAsia="Times New Roman" w:hAnsi="Cambria"/>
          <w:sz w:val="24"/>
          <w:szCs w:val="24"/>
          <w:lang w:eastAsia="bg-BG"/>
        </w:rPr>
        <w:t>Гимних</w:t>
      </w:r>
      <w:proofErr w:type="spellEnd"/>
      <w:r w:rsidRPr="006E6391">
        <w:rPr>
          <w:rFonts w:ascii="Cambria" w:eastAsia="Times New Roman" w:hAnsi="Cambria"/>
          <w:sz w:val="24"/>
          <w:szCs w:val="24"/>
          <w:lang w:eastAsia="bg-BG"/>
        </w:rPr>
        <w:t xml:space="preserve">“ (през м. май). </w:t>
      </w:r>
    </w:p>
    <w:p w14:paraId="084CBFF7" w14:textId="77777777" w:rsidR="006E6391" w:rsidRPr="006E6391" w:rsidRDefault="006E6391" w:rsidP="006E6391">
      <w:pPr>
        <w:pStyle w:val="NoSpacing"/>
        <w:spacing w:after="120"/>
        <w:jc w:val="both"/>
        <w:rPr>
          <w:rFonts w:ascii="Cambria" w:eastAsia="Times New Roman" w:hAnsi="Cambria"/>
          <w:sz w:val="24"/>
          <w:szCs w:val="24"/>
          <w:lang w:eastAsia="bg-BG"/>
        </w:rPr>
      </w:pPr>
      <w:r w:rsidRPr="006E6391">
        <w:rPr>
          <w:rFonts w:ascii="Cambria" w:eastAsia="Times New Roman" w:hAnsi="Cambria"/>
          <w:sz w:val="24"/>
          <w:szCs w:val="24"/>
          <w:lang w:eastAsia="bg-BG"/>
        </w:rPr>
        <w:t xml:space="preserve">През отчетния период темата за войната на Русия срещу Украйна продължи да доминира дневния ред на всички формати. България участва активно във външнополитическия дебат в рамките на ЕС относно влошаващата се обстановка по сигурността в региона, провокирана от руската агресия срещу Украйна и отражението й върху енергийната сигурност, социално-икономическото развитие и вътрешнополитическата стабилност на Р Молдова, твърдата подкрепа на ЕС за </w:t>
      </w:r>
      <w:r w:rsidRPr="006E6391">
        <w:rPr>
          <w:rFonts w:ascii="Cambria" w:eastAsia="Times New Roman" w:hAnsi="Cambria"/>
          <w:sz w:val="24"/>
          <w:szCs w:val="24"/>
          <w:lang w:eastAsia="bg-BG"/>
        </w:rPr>
        <w:lastRenderedPageBreak/>
        <w:t xml:space="preserve">европейската перспектива на Грузия и значимостта от постигане на напредък в реформите, свързани с демокрацията, върховенството на закона и правата на човека, за европейския й път на развитие. Във фокуса на вниманието бяха развитията в Иран във връзка с протестите в страната, задълбочаващата се хуманитарна, икономическа и политическа криза в Афганистан и постепенното ограничаване на правата на жените, въоръженият конфликт в Судан и нестабилността и несигурността в </w:t>
      </w:r>
      <w:proofErr w:type="spellStart"/>
      <w:r w:rsidRPr="006E6391">
        <w:rPr>
          <w:rFonts w:ascii="Cambria" w:eastAsia="Times New Roman" w:hAnsi="Cambria"/>
          <w:sz w:val="24"/>
          <w:szCs w:val="24"/>
          <w:lang w:eastAsia="bg-BG"/>
        </w:rPr>
        <w:t>Сахел</w:t>
      </w:r>
      <w:proofErr w:type="spellEnd"/>
      <w:r w:rsidRPr="006E6391">
        <w:rPr>
          <w:rFonts w:ascii="Cambria" w:eastAsia="Times New Roman" w:hAnsi="Cambria"/>
          <w:sz w:val="24"/>
          <w:szCs w:val="24"/>
          <w:lang w:eastAsia="bg-BG"/>
        </w:rPr>
        <w:t xml:space="preserve"> на фона на нарастването на влиянието на въоръжените ислямистки групировки. Ситуацията в Тунис и възможностите за подкрепа за страната в духа на „Екип Европа“, както и комплексните отношения на ЕС с Китай също бяха обект на дебат, в който България участва ангажирано.</w:t>
      </w:r>
    </w:p>
    <w:p w14:paraId="036D2081" w14:textId="456A7C30" w:rsidR="006E6391" w:rsidRPr="006E6391" w:rsidRDefault="006E6391" w:rsidP="006E6391">
      <w:pPr>
        <w:pStyle w:val="NoSpacing"/>
        <w:spacing w:after="120"/>
        <w:jc w:val="both"/>
        <w:rPr>
          <w:rFonts w:ascii="Cambria" w:eastAsia="Times New Roman" w:hAnsi="Cambria"/>
          <w:sz w:val="24"/>
          <w:szCs w:val="24"/>
          <w:lang w:eastAsia="bg-BG"/>
        </w:rPr>
      </w:pPr>
      <w:r w:rsidRPr="006E6391">
        <w:rPr>
          <w:rFonts w:ascii="Cambria" w:eastAsia="Times New Roman" w:hAnsi="Cambria"/>
          <w:sz w:val="24"/>
          <w:szCs w:val="24"/>
          <w:lang w:eastAsia="bg-BG"/>
        </w:rPr>
        <w:t xml:space="preserve">През първото полугодие на 2023 г, МВнР работи за постигане на заложените цели по ефективен начин при участието на Република България в изпълнението на дейностите на НАТО по линия на трите основни задачи на </w:t>
      </w:r>
      <w:r>
        <w:rPr>
          <w:rFonts w:ascii="Cambria" w:eastAsia="Times New Roman" w:hAnsi="Cambria"/>
          <w:sz w:val="24"/>
          <w:szCs w:val="24"/>
          <w:lang w:eastAsia="bg-BG"/>
        </w:rPr>
        <w:t>НАТО</w:t>
      </w:r>
      <w:r w:rsidRPr="006E6391">
        <w:rPr>
          <w:rFonts w:ascii="Cambria" w:eastAsia="Times New Roman" w:hAnsi="Cambria"/>
          <w:sz w:val="24"/>
          <w:szCs w:val="24"/>
          <w:lang w:eastAsia="bg-BG"/>
        </w:rPr>
        <w:t xml:space="preserve"> - възпиране и отбрана, предотвратяване и управление на кризи и сигурност чрез сътрудничество. България взе активно участие във всички формати на експертно и високо ниво на Алианса за защита на българските национални интереси, в контекста на фундаментално променената среда на сигурност след началото на военната агресия на Русия срещу Украйна. Действията на България в рамките на Алианса бяха насочени към продължаването на политическата и практическа подкрепа на Украйна за укрепване способността й за самозащита и правото й свободно и суверенно да определя своето бъдеще и път на развитие. Приоритет за България беше изпълнението на решенията за засилването на сдържащия и отбранителен потенциал на Източния фланг на Алианса. България продължи да оказва подкрепа за развитие на партньорските отношения и евроатлантическата интеграция на страните от регионите на Западните Балкани и Черно море, водейки се от идеята, че това способства за засилване на регионалната сигурност и стабилност. Български представители участваха във всички събития на експертно и високо равнище по темата. Продължи изпълнението на функциите на посолство за контакт на НАТО от страна на посолството ни в Белград и съдействие за развитие на партньорските отношения НАТО-Сърбия. </w:t>
      </w:r>
    </w:p>
    <w:p w14:paraId="587D004D" w14:textId="7BBB7DD5" w:rsidR="006E6391" w:rsidRPr="006E6391" w:rsidRDefault="006E6391" w:rsidP="006E6391">
      <w:pPr>
        <w:pStyle w:val="NoSpacing"/>
        <w:spacing w:after="120"/>
        <w:jc w:val="both"/>
        <w:rPr>
          <w:rFonts w:ascii="Cambria" w:eastAsia="Times New Roman" w:hAnsi="Cambria"/>
          <w:sz w:val="24"/>
          <w:szCs w:val="24"/>
          <w:lang w:eastAsia="bg-BG"/>
        </w:rPr>
      </w:pPr>
      <w:r w:rsidRPr="006E6391">
        <w:rPr>
          <w:rFonts w:ascii="Cambria" w:eastAsia="Times New Roman" w:hAnsi="Cambria"/>
          <w:sz w:val="24"/>
          <w:szCs w:val="24"/>
          <w:lang w:eastAsia="bg-BG"/>
        </w:rPr>
        <w:t xml:space="preserve">България остава силно ангажирана с процеса на европейска интеграция и бъдещо членство в ЕС на съседите ни от Западните Балкани, като </w:t>
      </w:r>
      <w:proofErr w:type="spellStart"/>
      <w:r w:rsidRPr="006E6391">
        <w:rPr>
          <w:rFonts w:ascii="Cambria" w:eastAsia="Times New Roman" w:hAnsi="Cambria"/>
          <w:sz w:val="24"/>
          <w:szCs w:val="24"/>
          <w:lang w:eastAsia="bg-BG"/>
        </w:rPr>
        <w:t>безалтернативен</w:t>
      </w:r>
      <w:proofErr w:type="spellEnd"/>
      <w:r w:rsidRPr="006E6391">
        <w:rPr>
          <w:rFonts w:ascii="Cambria" w:eastAsia="Times New Roman" w:hAnsi="Cambria"/>
          <w:sz w:val="24"/>
          <w:szCs w:val="24"/>
          <w:lang w:eastAsia="bg-BG"/>
        </w:rPr>
        <w:t xml:space="preserve"> път към укрепване на регионалната и европейската сигурност и към траен просперитет за гражданите в региона. За съжаление, през отчетния период не бе отбелязан напредък и не бяха проведени Междуправителствени конференции със страните от Западните Балкани. През разглеждания период България продължи с усилията за създаване на условия за изграждане на доверие и установяване на конструктивен двустранен диалог с Република Северна Македония. Политиката на България се ръководи от Рамковата позиция на МС от 9 октомври 2019 г., подкрепена с Декларация на 44-ото НС от 10 октомври 2019 г., чиято валидност бе препотвърдена от Консултативния съвет по национална сигурност на 10 ян. 2022 г. и Решението на НС от 24 юни 2022 г., потвърждаващо условията, при които Република България може да подкрепи която и да е стъпка от процеса на европейска интеграция на Република Северна Македония.</w:t>
      </w:r>
      <w:r>
        <w:rPr>
          <w:rFonts w:ascii="Cambria" w:eastAsia="Times New Roman" w:hAnsi="Cambria"/>
          <w:sz w:val="24"/>
          <w:szCs w:val="24"/>
          <w:lang w:eastAsia="bg-BG"/>
        </w:rPr>
        <w:t xml:space="preserve"> </w:t>
      </w:r>
      <w:r w:rsidRPr="006E6391">
        <w:rPr>
          <w:rFonts w:ascii="Cambria" w:eastAsia="Times New Roman" w:hAnsi="Cambria"/>
          <w:sz w:val="24"/>
          <w:szCs w:val="24"/>
          <w:lang w:eastAsia="bg-BG"/>
        </w:rPr>
        <w:t xml:space="preserve">Вниманието бе фокусирано върху необходимостта властите в Северна Македония да  се ангажират с изпълнението на всички аспекти на европейския компромис, постигнат през юли 2022 г., както и с ефективно изпълнение на Договора за приятелство, добросъседство и сътрудничество от 2017 г. и договореностите от </w:t>
      </w:r>
      <w:r w:rsidRPr="006E6391">
        <w:rPr>
          <w:rFonts w:ascii="Cambria" w:eastAsia="Times New Roman" w:hAnsi="Cambria"/>
          <w:sz w:val="24"/>
          <w:szCs w:val="24"/>
          <w:lang w:eastAsia="bg-BG"/>
        </w:rPr>
        <w:lastRenderedPageBreak/>
        <w:t xml:space="preserve">протоколите от заседанията на Съвместната междуправителствена комисия по чл. 12 от Договора..  </w:t>
      </w:r>
    </w:p>
    <w:p w14:paraId="4E8177AB" w14:textId="77777777" w:rsidR="006E6391" w:rsidRPr="006E6391" w:rsidRDefault="006E6391" w:rsidP="006E6391">
      <w:pPr>
        <w:pStyle w:val="NoSpacing"/>
        <w:spacing w:after="120"/>
        <w:jc w:val="both"/>
        <w:rPr>
          <w:rFonts w:ascii="Cambria" w:eastAsia="Times New Roman" w:hAnsi="Cambria"/>
          <w:sz w:val="24"/>
          <w:szCs w:val="24"/>
          <w:lang w:eastAsia="bg-BG"/>
        </w:rPr>
      </w:pPr>
      <w:r w:rsidRPr="006E6391">
        <w:rPr>
          <w:rFonts w:ascii="Cambria" w:eastAsia="Times New Roman" w:hAnsi="Cambria"/>
          <w:sz w:val="24"/>
          <w:szCs w:val="24"/>
          <w:lang w:eastAsia="bg-BG"/>
        </w:rPr>
        <w:t xml:space="preserve">Присъединяването на България към </w:t>
      </w:r>
      <w:proofErr w:type="spellStart"/>
      <w:r w:rsidRPr="006E6391">
        <w:rPr>
          <w:rFonts w:ascii="Cambria" w:eastAsia="Times New Roman" w:hAnsi="Cambria"/>
          <w:sz w:val="24"/>
          <w:szCs w:val="24"/>
          <w:lang w:eastAsia="bg-BG"/>
        </w:rPr>
        <w:t>Шенген</w:t>
      </w:r>
      <w:proofErr w:type="spellEnd"/>
      <w:r w:rsidRPr="006E6391">
        <w:rPr>
          <w:rFonts w:ascii="Cambria" w:eastAsia="Times New Roman" w:hAnsi="Cambria"/>
          <w:sz w:val="24"/>
          <w:szCs w:val="24"/>
          <w:lang w:eastAsia="bg-BG"/>
        </w:rPr>
        <w:t xml:space="preserve"> бе сред водещите външнополитически приоритети и темата присъстваше във всички разговори с европейските партньори и европейските институции. МВнР подпомагаше активно усилията на МВР за постигане на положително решение в рамките на 2023 г. През м. януари на ниво МВР бе договорен съвместен План с Австрия за противодействие на нелегалната миграция, на чиято база стартира пилотен проект, за ускорени процедури за убежище, който впоследствие получи общоевропейска подкрепа. През отчетния период ЕК взе решение за отпускане на допълнителни средства в размер на 45 млн. евро за укрепване на границата с Турция. Бяха проведени срещи на ниво заместник-министър на външните работи с оглед изясняване на позициите на Австрия и Нидерландия.</w:t>
      </w:r>
    </w:p>
    <w:p w14:paraId="57D8B1F6" w14:textId="13938CF5" w:rsidR="006E6391" w:rsidRDefault="006E6391" w:rsidP="006E6391">
      <w:pPr>
        <w:pStyle w:val="NoSpacing"/>
        <w:spacing w:after="120"/>
        <w:jc w:val="both"/>
        <w:rPr>
          <w:rFonts w:ascii="Cambria" w:eastAsia="Times New Roman" w:hAnsi="Cambria"/>
          <w:sz w:val="24"/>
          <w:szCs w:val="24"/>
          <w:lang w:eastAsia="bg-BG"/>
        </w:rPr>
      </w:pPr>
      <w:r w:rsidRPr="006E6391">
        <w:rPr>
          <w:rFonts w:ascii="Cambria" w:eastAsia="Times New Roman" w:hAnsi="Cambria"/>
          <w:sz w:val="24"/>
          <w:szCs w:val="24"/>
          <w:lang w:eastAsia="bg-BG"/>
        </w:rPr>
        <w:t>Присъединяването към еврозоната остава ключов приоритет пред правителството като целта ни е да се въведем единната европейска валута в България най-късно на 1 януари 2025 г. За тази цел българските институции продължават усилената работа по подготвителните задачи за въвеждане на еврото, определени в приетия през м. май 2022 г. Национален план за въвеждане на еврото в Република България.</w:t>
      </w:r>
    </w:p>
    <w:p w14:paraId="6A0B942C" w14:textId="77777777" w:rsidR="006E6391" w:rsidRPr="006E6391" w:rsidRDefault="006E6391" w:rsidP="006E6391">
      <w:pPr>
        <w:pStyle w:val="NoSpacing"/>
        <w:spacing w:after="120"/>
        <w:jc w:val="both"/>
        <w:rPr>
          <w:rFonts w:ascii="Cambria" w:eastAsia="Times New Roman" w:hAnsi="Cambria"/>
          <w:sz w:val="24"/>
          <w:szCs w:val="24"/>
          <w:lang w:eastAsia="bg-BG"/>
        </w:rPr>
      </w:pPr>
      <w:r w:rsidRPr="006E6391">
        <w:rPr>
          <w:rFonts w:ascii="Cambria" w:eastAsia="Times New Roman" w:hAnsi="Cambria"/>
          <w:sz w:val="24"/>
          <w:szCs w:val="24"/>
          <w:lang w:eastAsia="bg-BG"/>
        </w:rPr>
        <w:t>През отчетния период продължи дейността по развитие на отношенията между Република България и държавите от Източна Европа и Централна Азия в различни сфери от взаимен интерес. Последователно бяха търсени възможности за задълбочаване на сътрудничеството както на двустранна, така и на многостранна основа, като същевременно сред основните теми бяха общите предизвикателства в региона на наблюдаваните от териториалната дирекция държави и в по-широк контекст – в Европа. Извършваната от ведомството дейност през отчетния период доведе до ясното комуникиране и потвърждаване – както в двустранен план, така и в международни формати, на българската позиция по отношение на войната срещу Украйна и наложените санкции срещу страната агресор – Руската федерация, а също и по отношение на подкрепата за засилената роля на ЕС в процеса на урегулирането на двустранния конфликт между Република Армения и Република Азербайджан.</w:t>
      </w:r>
    </w:p>
    <w:p w14:paraId="2F301837" w14:textId="77777777" w:rsidR="006E6391" w:rsidRPr="006E6391" w:rsidRDefault="006E6391" w:rsidP="006E6391">
      <w:pPr>
        <w:pStyle w:val="NoSpacing"/>
        <w:spacing w:after="120"/>
        <w:jc w:val="both"/>
        <w:rPr>
          <w:rFonts w:ascii="Cambria" w:eastAsia="Times New Roman" w:hAnsi="Cambria"/>
          <w:sz w:val="24"/>
          <w:szCs w:val="24"/>
          <w:lang w:eastAsia="bg-BG"/>
        </w:rPr>
      </w:pPr>
      <w:r w:rsidRPr="006E6391">
        <w:rPr>
          <w:rFonts w:ascii="Cambria" w:eastAsia="Times New Roman" w:hAnsi="Cambria"/>
          <w:sz w:val="24"/>
          <w:szCs w:val="24"/>
          <w:lang w:eastAsia="bg-BG"/>
        </w:rPr>
        <w:t xml:space="preserve">През отчетния период продължи дейността по развитие на отношенията между Република България и държавите от Северна, Централна и Южна Америка в различни сфери от взаимен интерес. Последователно бяха търсени възможности за задълбочаване на сътрудничеството както на двустранна, така и на многостранна основа. Продължи работата на МВнР по включването на България в Програмата на САЩ за безвизови пътувания (U.S. </w:t>
      </w:r>
      <w:proofErr w:type="spellStart"/>
      <w:r w:rsidRPr="006E6391">
        <w:rPr>
          <w:rFonts w:ascii="Cambria" w:eastAsia="Times New Roman" w:hAnsi="Cambria"/>
          <w:sz w:val="24"/>
          <w:szCs w:val="24"/>
          <w:lang w:eastAsia="bg-BG"/>
        </w:rPr>
        <w:t>Visa</w:t>
      </w:r>
      <w:proofErr w:type="spellEnd"/>
      <w:r w:rsidRPr="006E6391">
        <w:rPr>
          <w:rFonts w:ascii="Cambria" w:eastAsia="Times New Roman" w:hAnsi="Cambria"/>
          <w:sz w:val="24"/>
          <w:szCs w:val="24"/>
          <w:lang w:eastAsia="bg-BG"/>
        </w:rPr>
        <w:t xml:space="preserve"> </w:t>
      </w:r>
      <w:proofErr w:type="spellStart"/>
      <w:r w:rsidRPr="006E6391">
        <w:rPr>
          <w:rFonts w:ascii="Cambria" w:eastAsia="Times New Roman" w:hAnsi="Cambria"/>
          <w:sz w:val="24"/>
          <w:szCs w:val="24"/>
          <w:lang w:eastAsia="bg-BG"/>
        </w:rPr>
        <w:t>Waiver</w:t>
      </w:r>
      <w:proofErr w:type="spellEnd"/>
      <w:r w:rsidRPr="006E6391">
        <w:rPr>
          <w:rFonts w:ascii="Cambria" w:eastAsia="Times New Roman" w:hAnsi="Cambria"/>
          <w:sz w:val="24"/>
          <w:szCs w:val="24"/>
          <w:lang w:eastAsia="bg-BG"/>
        </w:rPr>
        <w:t xml:space="preserve"> </w:t>
      </w:r>
      <w:proofErr w:type="spellStart"/>
      <w:r w:rsidRPr="006E6391">
        <w:rPr>
          <w:rFonts w:ascii="Cambria" w:eastAsia="Times New Roman" w:hAnsi="Cambria"/>
          <w:sz w:val="24"/>
          <w:szCs w:val="24"/>
          <w:lang w:eastAsia="bg-BG"/>
        </w:rPr>
        <w:t>Program</w:t>
      </w:r>
      <w:proofErr w:type="spellEnd"/>
      <w:r w:rsidRPr="006E6391">
        <w:rPr>
          <w:rFonts w:ascii="Cambria" w:eastAsia="Times New Roman" w:hAnsi="Cambria"/>
          <w:sz w:val="24"/>
          <w:szCs w:val="24"/>
          <w:lang w:eastAsia="bg-BG"/>
        </w:rPr>
        <w:t xml:space="preserve"> – VWP). Обсъжда се възможността за сключване на двустранно споразумение за социална сигурност със САЩ. </w:t>
      </w:r>
    </w:p>
    <w:p w14:paraId="631DB465" w14:textId="77777777" w:rsidR="006E6391" w:rsidRPr="006E6391" w:rsidRDefault="006E6391" w:rsidP="006E6391">
      <w:pPr>
        <w:pStyle w:val="NoSpacing"/>
        <w:spacing w:after="120"/>
        <w:jc w:val="both"/>
        <w:rPr>
          <w:rFonts w:ascii="Cambria" w:eastAsia="Times New Roman" w:hAnsi="Cambria"/>
          <w:sz w:val="24"/>
          <w:szCs w:val="24"/>
          <w:lang w:eastAsia="bg-BG"/>
        </w:rPr>
      </w:pPr>
      <w:r w:rsidRPr="006E6391">
        <w:rPr>
          <w:rFonts w:ascii="Cambria" w:eastAsia="Times New Roman" w:hAnsi="Cambria"/>
          <w:sz w:val="24"/>
          <w:szCs w:val="24"/>
          <w:lang w:eastAsia="bg-BG"/>
        </w:rPr>
        <w:t>Членството на България в Организацията за икономическо сътрудничество и развитие (ОИСР) остава сред главните приоритети във външнополитическия дневен ред на страната ни. Продължи активното участие на България в дейността на работните органи на ОИСР и присъединяването към нови/ревизирани правни инструменти на Организацията.</w:t>
      </w:r>
    </w:p>
    <w:p w14:paraId="059E6C4C" w14:textId="77777777" w:rsidR="006E6391" w:rsidRPr="006E6391" w:rsidRDefault="006E6391" w:rsidP="006E6391">
      <w:pPr>
        <w:pStyle w:val="NoSpacing"/>
        <w:spacing w:after="120"/>
        <w:jc w:val="both"/>
        <w:rPr>
          <w:rFonts w:ascii="Cambria" w:eastAsia="Times New Roman" w:hAnsi="Cambria"/>
          <w:sz w:val="24"/>
          <w:szCs w:val="24"/>
          <w:lang w:eastAsia="bg-BG"/>
        </w:rPr>
      </w:pPr>
      <w:r w:rsidRPr="006E6391">
        <w:rPr>
          <w:rFonts w:ascii="Cambria" w:eastAsia="Times New Roman" w:hAnsi="Cambria"/>
          <w:sz w:val="24"/>
          <w:szCs w:val="24"/>
          <w:lang w:eastAsia="bg-BG"/>
        </w:rPr>
        <w:t xml:space="preserve">През отчетния период задълбочаването на политическия диалог с държавите от региона на Близкия изток и Африка бе повлияно от политическата нестабилност в България и проведените предсрочни парламентарни избори. Същевременно, в </w:t>
      </w:r>
      <w:r w:rsidRPr="006E6391">
        <w:rPr>
          <w:rFonts w:ascii="Cambria" w:eastAsia="Times New Roman" w:hAnsi="Cambria"/>
          <w:sz w:val="24"/>
          <w:szCs w:val="24"/>
          <w:lang w:eastAsia="bg-BG"/>
        </w:rPr>
        <w:lastRenderedPageBreak/>
        <w:t>условията на геополитическо преструктуриране регионът на БИА придобива все по-голямо значение както за ЕС, така и за България - интерес, който е обусловен от огромния потенциал на находящите се в този район държави по отношение възможностите за диверсификация на енергийните източници и на маршрутите за тяхната доставка, а така също и от гледна точка на сигурността – с оглед на съществуващите в региона конфликти и потенциала от тяхната ескалация, предвид преплитащите се в БИА геополитически интереси. Основополагащият вектор по отношение целите на външната ни политика в региона е ориентиран към осигуряването на нужните условия за пълноценна реализация на значителния потенциал, с който държавите от района на БИА разполагат в областта на търговско-икономическото сътрудничество.</w:t>
      </w:r>
    </w:p>
    <w:p w14:paraId="29AD5EC7" w14:textId="4B79222F" w:rsidR="006E6391" w:rsidRPr="006E6391" w:rsidRDefault="006E6391" w:rsidP="006E6391">
      <w:pPr>
        <w:pStyle w:val="NoSpacing"/>
        <w:spacing w:after="120"/>
        <w:jc w:val="both"/>
        <w:rPr>
          <w:rFonts w:ascii="Cambria" w:eastAsia="Times New Roman" w:hAnsi="Cambria"/>
          <w:sz w:val="24"/>
          <w:szCs w:val="24"/>
          <w:lang w:eastAsia="bg-BG"/>
        </w:rPr>
      </w:pPr>
      <w:r w:rsidRPr="006E6391">
        <w:rPr>
          <w:rFonts w:ascii="Cambria" w:eastAsia="Times New Roman" w:hAnsi="Cambria"/>
          <w:sz w:val="24"/>
          <w:szCs w:val="24"/>
          <w:lang w:eastAsia="bg-BG"/>
        </w:rPr>
        <w:t>През първото полугодие на 2023 г. продължи работата за развитието и по-нататъшното задълбочаване на двустранните отношения със страните от Азиатско-тихоокеанския регион (АТР), в т.ч. с четирите страни, стратегически партньори на ЕС (Япония, Китай, Индия и Р Корея) с фокус върху осъществяване на дългосрочните български интереси за прагматично изпълнено със съдържание сътрудничество с изброените страни и с приоритетни партньори като Виетнам, Индонезия, Сингапур, Австралия, както и развитие на приятелски отношения и обмен със страни от региона</w:t>
      </w:r>
      <w:bookmarkStart w:id="2" w:name="_GoBack"/>
      <w:bookmarkEnd w:id="2"/>
      <w:r w:rsidRPr="006E6391">
        <w:rPr>
          <w:rFonts w:ascii="Cambria" w:eastAsia="Times New Roman" w:hAnsi="Cambria"/>
          <w:sz w:val="24"/>
          <w:szCs w:val="24"/>
          <w:lang w:eastAsia="bg-BG"/>
        </w:rPr>
        <w:t xml:space="preserve"> като Пакистан, Монголия, Нова Зеландия, Филипините и други.</w:t>
      </w:r>
    </w:p>
    <w:p w14:paraId="7B19B07C" w14:textId="77777777" w:rsidR="006E6391" w:rsidRPr="006E6391" w:rsidRDefault="006E6391" w:rsidP="006E6391">
      <w:pPr>
        <w:pStyle w:val="NoSpacing"/>
        <w:spacing w:after="120"/>
        <w:jc w:val="both"/>
        <w:rPr>
          <w:rFonts w:ascii="Cambria" w:eastAsia="Times New Roman" w:hAnsi="Cambria"/>
          <w:sz w:val="24"/>
          <w:szCs w:val="24"/>
          <w:lang w:eastAsia="bg-BG"/>
        </w:rPr>
      </w:pPr>
      <w:r w:rsidRPr="006E6391">
        <w:rPr>
          <w:rFonts w:ascii="Cambria" w:eastAsia="Times New Roman" w:hAnsi="Cambria"/>
          <w:sz w:val="24"/>
          <w:szCs w:val="24"/>
          <w:lang w:eastAsia="bg-BG"/>
        </w:rPr>
        <w:t>Ведомството продължи своята работа за реализиране на българската политика на сътрудничество за развитие и оказване на хуманитарна помощ, като неразделна част от общите цели и задачи на външната политика на Република България.</w:t>
      </w:r>
    </w:p>
    <w:p w14:paraId="23948E18" w14:textId="77777777" w:rsidR="006E6391" w:rsidRPr="006E6391" w:rsidRDefault="006E6391" w:rsidP="006E6391">
      <w:pPr>
        <w:pStyle w:val="NoSpacing"/>
        <w:spacing w:after="120"/>
        <w:jc w:val="both"/>
        <w:rPr>
          <w:rFonts w:ascii="Cambria" w:eastAsia="Times New Roman" w:hAnsi="Cambria"/>
          <w:sz w:val="24"/>
          <w:szCs w:val="24"/>
          <w:lang w:eastAsia="bg-BG"/>
        </w:rPr>
      </w:pPr>
      <w:r w:rsidRPr="006E6391">
        <w:rPr>
          <w:rFonts w:ascii="Cambria" w:eastAsia="Times New Roman" w:hAnsi="Cambria"/>
          <w:sz w:val="24"/>
          <w:szCs w:val="24"/>
          <w:lang w:eastAsia="bg-BG"/>
        </w:rPr>
        <w:t xml:space="preserve">В изпълнение на приоритета за засилване на ролята на МВнР за развитие на външноикономическите връзки, привличане на чужди инвестиции и гарантиране на енергийната сигурност, бе стартиран процес на изготвяне на единна външноикономическа концепция, вкл. популяризирането на българския туризъм. </w:t>
      </w:r>
    </w:p>
    <w:p w14:paraId="151BEABD" w14:textId="77777777" w:rsidR="006E6391" w:rsidRPr="006E6391" w:rsidRDefault="006E6391" w:rsidP="006E6391">
      <w:pPr>
        <w:pStyle w:val="NoSpacing"/>
        <w:spacing w:after="120"/>
        <w:jc w:val="both"/>
        <w:rPr>
          <w:rFonts w:ascii="Cambria" w:eastAsia="Times New Roman" w:hAnsi="Cambria"/>
          <w:sz w:val="24"/>
          <w:szCs w:val="24"/>
          <w:lang w:eastAsia="bg-BG"/>
        </w:rPr>
      </w:pPr>
      <w:r w:rsidRPr="006E6391">
        <w:rPr>
          <w:rFonts w:ascii="Cambria" w:eastAsia="Times New Roman" w:hAnsi="Cambria"/>
          <w:sz w:val="24"/>
          <w:szCs w:val="24"/>
          <w:lang w:eastAsia="bg-BG"/>
        </w:rPr>
        <w:t xml:space="preserve">Защитата на интересите на българските граждани в чужбина и ефективното и бързо консулско обслужване на сънародниците ни зад граница остава постоянен приоритет на Дипломатическата ни служба. В тази връзка следва да се отбележат осъществените мерки за облекчаване на достъпа до консулско обслужване, вкл. разширяването на електронните услуги. </w:t>
      </w:r>
    </w:p>
    <w:p w14:paraId="13FAD6B4" w14:textId="6B091B17" w:rsidR="0063500E" w:rsidRPr="006E6391" w:rsidRDefault="006E6391" w:rsidP="006E6391">
      <w:pPr>
        <w:pStyle w:val="NoSpacing"/>
        <w:spacing w:after="120"/>
        <w:jc w:val="both"/>
        <w:rPr>
          <w:rFonts w:ascii="Cambria" w:eastAsia="Times New Roman" w:hAnsi="Cambria"/>
          <w:sz w:val="24"/>
          <w:szCs w:val="24"/>
          <w:lang w:eastAsia="bg-BG"/>
        </w:rPr>
      </w:pPr>
      <w:r w:rsidRPr="006E6391">
        <w:rPr>
          <w:rFonts w:ascii="Cambria" w:eastAsia="Times New Roman" w:hAnsi="Cambria"/>
          <w:sz w:val="24"/>
          <w:szCs w:val="24"/>
          <w:lang w:eastAsia="bg-BG"/>
        </w:rPr>
        <w:t>През първото шестмесечие на 2023 г. министерството продължи да осъществява своята дейност, на базата на задълбочен анализ, планиране и реализиране на подбора, развитието и квалификацията на служителите, с цел подобряване на ефективността в работата на структурните звена на министерството, в изпълнение на външнополитическите приоритети на страната. Бяха полагани постоянни и целенасочени усилия за осигуряване на качествени кадри и необходимия персонал за нормално функциониране на дейностите както в ЗП, така и в ЦУ. През отчетния период продължи процесът по управление на професионалното кариерно развитие на дипломатическите служители, усъвършенстването на професионалната и езикова квалификация на служителите в дипломатическата служба, повишаването в дипломатически ранг, годишното атестиране на служителите и ежегодната ротация в дипломатическата служба</w:t>
      </w:r>
      <w:r w:rsidR="00104B3C" w:rsidRPr="006E6391">
        <w:rPr>
          <w:rFonts w:ascii="Cambria" w:hAnsi="Cambria" w:cs="Calibri"/>
          <w:sz w:val="24"/>
          <w:szCs w:val="24"/>
        </w:rPr>
        <w:t xml:space="preserve">.     </w:t>
      </w:r>
    </w:p>
    <w:p w14:paraId="13FAD6B5" w14:textId="77777777" w:rsidR="00E777C0" w:rsidRPr="006E6391" w:rsidRDefault="007B4F64" w:rsidP="00010568">
      <w:pPr>
        <w:tabs>
          <w:tab w:val="left" w:pos="0"/>
        </w:tabs>
        <w:spacing w:after="120"/>
        <w:jc w:val="both"/>
        <w:rPr>
          <w:rFonts w:ascii="Cambria" w:hAnsi="Cambria"/>
          <w:sz w:val="24"/>
          <w:szCs w:val="24"/>
        </w:rPr>
      </w:pPr>
      <w:r w:rsidRPr="006E6391">
        <w:rPr>
          <w:rFonts w:ascii="Cambria" w:hAnsi="Cambria"/>
          <w:sz w:val="24"/>
          <w:szCs w:val="24"/>
        </w:rPr>
        <w:tab/>
      </w:r>
      <w:r w:rsidRPr="006E6391">
        <w:rPr>
          <w:rFonts w:ascii="Cambria" w:hAnsi="Cambria"/>
          <w:sz w:val="24"/>
          <w:szCs w:val="24"/>
        </w:rPr>
        <w:tab/>
      </w:r>
    </w:p>
    <w:sectPr w:rsidR="00E777C0" w:rsidRPr="006E6391" w:rsidSect="002F479A">
      <w:footerReference w:type="default" r:id="rId8"/>
      <w:pgSz w:w="12240" w:h="15840"/>
      <w:pgMar w:top="993" w:right="1440" w:bottom="113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8DF996" w14:textId="77777777" w:rsidR="00EA6558" w:rsidRDefault="00EA6558" w:rsidP="00514146">
      <w:r>
        <w:separator/>
      </w:r>
    </w:p>
  </w:endnote>
  <w:endnote w:type="continuationSeparator" w:id="0">
    <w:p w14:paraId="0E4198BA" w14:textId="77777777" w:rsidR="00EA6558" w:rsidRDefault="00EA6558" w:rsidP="00514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789511"/>
      <w:docPartObj>
        <w:docPartGallery w:val="Page Numbers (Bottom of Page)"/>
        <w:docPartUnique/>
      </w:docPartObj>
    </w:sdtPr>
    <w:sdtEndPr>
      <w:rPr>
        <w:noProof/>
      </w:rPr>
    </w:sdtEndPr>
    <w:sdtContent>
      <w:p w14:paraId="13FAD6BA" w14:textId="27C28E21" w:rsidR="00514146" w:rsidRDefault="00514146">
        <w:pPr>
          <w:pStyle w:val="Footer"/>
          <w:jc w:val="right"/>
        </w:pPr>
        <w:r>
          <w:fldChar w:fldCharType="begin"/>
        </w:r>
        <w:r>
          <w:instrText xml:space="preserve"> PAGE   \* MERGEFORMAT </w:instrText>
        </w:r>
        <w:r>
          <w:fldChar w:fldCharType="separate"/>
        </w:r>
        <w:r w:rsidR="00EC3F8C">
          <w:rPr>
            <w:noProof/>
          </w:rPr>
          <w:t>3</w:t>
        </w:r>
        <w:r>
          <w:rPr>
            <w:noProof/>
          </w:rPr>
          <w:fldChar w:fldCharType="end"/>
        </w:r>
      </w:p>
    </w:sdtContent>
  </w:sdt>
  <w:p w14:paraId="13FAD6BB" w14:textId="77777777" w:rsidR="00514146" w:rsidRDefault="005141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313584" w14:textId="77777777" w:rsidR="00EA6558" w:rsidRDefault="00EA6558" w:rsidP="00514146">
      <w:r>
        <w:separator/>
      </w:r>
    </w:p>
  </w:footnote>
  <w:footnote w:type="continuationSeparator" w:id="0">
    <w:p w14:paraId="6E5946CE" w14:textId="77777777" w:rsidR="00EA6558" w:rsidRDefault="00EA6558" w:rsidP="005141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D6772"/>
    <w:multiLevelType w:val="hybridMultilevel"/>
    <w:tmpl w:val="3A44A620"/>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4ABC43F9"/>
    <w:multiLevelType w:val="hybridMultilevel"/>
    <w:tmpl w:val="D79E67A4"/>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6B1"/>
    <w:rsid w:val="00000802"/>
    <w:rsid w:val="00010568"/>
    <w:rsid w:val="00012178"/>
    <w:rsid w:val="000178C6"/>
    <w:rsid w:val="00017EE7"/>
    <w:rsid w:val="000200E7"/>
    <w:rsid w:val="000253BC"/>
    <w:rsid w:val="0003025B"/>
    <w:rsid w:val="0004137D"/>
    <w:rsid w:val="00041DC7"/>
    <w:rsid w:val="00045524"/>
    <w:rsid w:val="00052105"/>
    <w:rsid w:val="00055C22"/>
    <w:rsid w:val="00055F96"/>
    <w:rsid w:val="000620D0"/>
    <w:rsid w:val="000621C1"/>
    <w:rsid w:val="00065F24"/>
    <w:rsid w:val="0006655A"/>
    <w:rsid w:val="000A108B"/>
    <w:rsid w:val="000C2CDB"/>
    <w:rsid w:val="000C738F"/>
    <w:rsid w:val="000D4817"/>
    <w:rsid w:val="000E501B"/>
    <w:rsid w:val="00103702"/>
    <w:rsid w:val="00104B3C"/>
    <w:rsid w:val="00111DDA"/>
    <w:rsid w:val="0013372D"/>
    <w:rsid w:val="00140EA7"/>
    <w:rsid w:val="00144FB9"/>
    <w:rsid w:val="00150DAF"/>
    <w:rsid w:val="00164045"/>
    <w:rsid w:val="0016447F"/>
    <w:rsid w:val="00174B44"/>
    <w:rsid w:val="00181A9D"/>
    <w:rsid w:val="00185BC6"/>
    <w:rsid w:val="001936C1"/>
    <w:rsid w:val="001B04D9"/>
    <w:rsid w:val="001B6D11"/>
    <w:rsid w:val="001B781B"/>
    <w:rsid w:val="001C1CA7"/>
    <w:rsid w:val="001C49DD"/>
    <w:rsid w:val="001D5265"/>
    <w:rsid w:val="001E2034"/>
    <w:rsid w:val="001E3488"/>
    <w:rsid w:val="001E78D8"/>
    <w:rsid w:val="001F144C"/>
    <w:rsid w:val="001F3B67"/>
    <w:rsid w:val="001F62A0"/>
    <w:rsid w:val="002047BC"/>
    <w:rsid w:val="00205EDA"/>
    <w:rsid w:val="0021526D"/>
    <w:rsid w:val="00216F67"/>
    <w:rsid w:val="00231EA5"/>
    <w:rsid w:val="00232F20"/>
    <w:rsid w:val="0023510C"/>
    <w:rsid w:val="00245DF0"/>
    <w:rsid w:val="00250D51"/>
    <w:rsid w:val="002546EF"/>
    <w:rsid w:val="00256FD2"/>
    <w:rsid w:val="00266AAE"/>
    <w:rsid w:val="00282D00"/>
    <w:rsid w:val="00287BC9"/>
    <w:rsid w:val="002B3EB8"/>
    <w:rsid w:val="002B7DFC"/>
    <w:rsid w:val="002E0865"/>
    <w:rsid w:val="002E63AD"/>
    <w:rsid w:val="002F479A"/>
    <w:rsid w:val="00300665"/>
    <w:rsid w:val="003158A1"/>
    <w:rsid w:val="00316FCD"/>
    <w:rsid w:val="003176E1"/>
    <w:rsid w:val="00332F11"/>
    <w:rsid w:val="0034707E"/>
    <w:rsid w:val="003527DB"/>
    <w:rsid w:val="0037225B"/>
    <w:rsid w:val="003772AE"/>
    <w:rsid w:val="00390884"/>
    <w:rsid w:val="003A1000"/>
    <w:rsid w:val="003A3F7C"/>
    <w:rsid w:val="003C2EB7"/>
    <w:rsid w:val="003C67AB"/>
    <w:rsid w:val="003D1BCA"/>
    <w:rsid w:val="003D7883"/>
    <w:rsid w:val="0040140D"/>
    <w:rsid w:val="0040270E"/>
    <w:rsid w:val="00405A62"/>
    <w:rsid w:val="00432431"/>
    <w:rsid w:val="00453172"/>
    <w:rsid w:val="004547E0"/>
    <w:rsid w:val="004774F2"/>
    <w:rsid w:val="0048201B"/>
    <w:rsid w:val="004928CB"/>
    <w:rsid w:val="004A5050"/>
    <w:rsid w:val="004B44C4"/>
    <w:rsid w:val="004E2D52"/>
    <w:rsid w:val="00514146"/>
    <w:rsid w:val="005345E8"/>
    <w:rsid w:val="00535302"/>
    <w:rsid w:val="00557E22"/>
    <w:rsid w:val="00560199"/>
    <w:rsid w:val="0057024D"/>
    <w:rsid w:val="00586D11"/>
    <w:rsid w:val="00591FA7"/>
    <w:rsid w:val="005A6CB2"/>
    <w:rsid w:val="005A7136"/>
    <w:rsid w:val="005C570B"/>
    <w:rsid w:val="005D3045"/>
    <w:rsid w:val="005E3D58"/>
    <w:rsid w:val="005F6C15"/>
    <w:rsid w:val="00604D6F"/>
    <w:rsid w:val="00611D8D"/>
    <w:rsid w:val="00615FD2"/>
    <w:rsid w:val="00622221"/>
    <w:rsid w:val="006259DD"/>
    <w:rsid w:val="0063500E"/>
    <w:rsid w:val="00645497"/>
    <w:rsid w:val="006456CC"/>
    <w:rsid w:val="0066020E"/>
    <w:rsid w:val="006657EF"/>
    <w:rsid w:val="00672039"/>
    <w:rsid w:val="00676678"/>
    <w:rsid w:val="00682E94"/>
    <w:rsid w:val="0068436E"/>
    <w:rsid w:val="0069578F"/>
    <w:rsid w:val="00695B69"/>
    <w:rsid w:val="006A6C8B"/>
    <w:rsid w:val="006B01D4"/>
    <w:rsid w:val="006B67F5"/>
    <w:rsid w:val="006C19C7"/>
    <w:rsid w:val="006D3ADF"/>
    <w:rsid w:val="006D3C7F"/>
    <w:rsid w:val="006D5F31"/>
    <w:rsid w:val="006D786B"/>
    <w:rsid w:val="006E6391"/>
    <w:rsid w:val="0071030F"/>
    <w:rsid w:val="00711B7A"/>
    <w:rsid w:val="00714A94"/>
    <w:rsid w:val="0071506D"/>
    <w:rsid w:val="00716761"/>
    <w:rsid w:val="007202AC"/>
    <w:rsid w:val="00725CD0"/>
    <w:rsid w:val="0073005B"/>
    <w:rsid w:val="0073169B"/>
    <w:rsid w:val="00732A96"/>
    <w:rsid w:val="0074398B"/>
    <w:rsid w:val="00752DFB"/>
    <w:rsid w:val="00755E60"/>
    <w:rsid w:val="00764CA0"/>
    <w:rsid w:val="007705C2"/>
    <w:rsid w:val="00775D2D"/>
    <w:rsid w:val="00775ED0"/>
    <w:rsid w:val="0079236C"/>
    <w:rsid w:val="00794EE2"/>
    <w:rsid w:val="00795AAF"/>
    <w:rsid w:val="007A4AAF"/>
    <w:rsid w:val="007A6F84"/>
    <w:rsid w:val="007B4F64"/>
    <w:rsid w:val="007B5293"/>
    <w:rsid w:val="007C24C7"/>
    <w:rsid w:val="007E0499"/>
    <w:rsid w:val="007F06D8"/>
    <w:rsid w:val="008029A0"/>
    <w:rsid w:val="00805721"/>
    <w:rsid w:val="00844D93"/>
    <w:rsid w:val="0085470E"/>
    <w:rsid w:val="008606AC"/>
    <w:rsid w:val="008608A3"/>
    <w:rsid w:val="0087668C"/>
    <w:rsid w:val="00883610"/>
    <w:rsid w:val="008872E4"/>
    <w:rsid w:val="00894B5E"/>
    <w:rsid w:val="008D0ECF"/>
    <w:rsid w:val="008E4BAE"/>
    <w:rsid w:val="008E64EB"/>
    <w:rsid w:val="008E7EF8"/>
    <w:rsid w:val="009018F5"/>
    <w:rsid w:val="0091338C"/>
    <w:rsid w:val="00921C52"/>
    <w:rsid w:val="009221BA"/>
    <w:rsid w:val="009248FD"/>
    <w:rsid w:val="00932E55"/>
    <w:rsid w:val="0094686F"/>
    <w:rsid w:val="0095448D"/>
    <w:rsid w:val="0095600D"/>
    <w:rsid w:val="009649D4"/>
    <w:rsid w:val="00971A24"/>
    <w:rsid w:val="0097484C"/>
    <w:rsid w:val="00974E58"/>
    <w:rsid w:val="009811B5"/>
    <w:rsid w:val="00986808"/>
    <w:rsid w:val="009C01B5"/>
    <w:rsid w:val="009D47A9"/>
    <w:rsid w:val="009D662D"/>
    <w:rsid w:val="009E2022"/>
    <w:rsid w:val="009E2DB3"/>
    <w:rsid w:val="009F07B7"/>
    <w:rsid w:val="009F69AC"/>
    <w:rsid w:val="00A24F27"/>
    <w:rsid w:val="00A37C6E"/>
    <w:rsid w:val="00A443EC"/>
    <w:rsid w:val="00A51B15"/>
    <w:rsid w:val="00A62950"/>
    <w:rsid w:val="00A65D89"/>
    <w:rsid w:val="00A841FD"/>
    <w:rsid w:val="00AA3BBA"/>
    <w:rsid w:val="00AB0F0D"/>
    <w:rsid w:val="00AB0F52"/>
    <w:rsid w:val="00AB2E84"/>
    <w:rsid w:val="00AB4A8F"/>
    <w:rsid w:val="00AC7734"/>
    <w:rsid w:val="00AE0755"/>
    <w:rsid w:val="00AE13A9"/>
    <w:rsid w:val="00AF0150"/>
    <w:rsid w:val="00AF18AB"/>
    <w:rsid w:val="00AF39DC"/>
    <w:rsid w:val="00AF3C40"/>
    <w:rsid w:val="00AF6E05"/>
    <w:rsid w:val="00B15ADF"/>
    <w:rsid w:val="00B161FE"/>
    <w:rsid w:val="00B26936"/>
    <w:rsid w:val="00B530B5"/>
    <w:rsid w:val="00B779FA"/>
    <w:rsid w:val="00B879FC"/>
    <w:rsid w:val="00B913E7"/>
    <w:rsid w:val="00B92F75"/>
    <w:rsid w:val="00BA085D"/>
    <w:rsid w:val="00BA41B8"/>
    <w:rsid w:val="00BA5286"/>
    <w:rsid w:val="00BC5527"/>
    <w:rsid w:val="00BD3C36"/>
    <w:rsid w:val="00BE7B28"/>
    <w:rsid w:val="00BF520C"/>
    <w:rsid w:val="00C1410D"/>
    <w:rsid w:val="00C14167"/>
    <w:rsid w:val="00C17965"/>
    <w:rsid w:val="00C214BC"/>
    <w:rsid w:val="00C26CC8"/>
    <w:rsid w:val="00C30F86"/>
    <w:rsid w:val="00C370C0"/>
    <w:rsid w:val="00C37EF6"/>
    <w:rsid w:val="00C46441"/>
    <w:rsid w:val="00C52470"/>
    <w:rsid w:val="00C53B9E"/>
    <w:rsid w:val="00C54F73"/>
    <w:rsid w:val="00C5569F"/>
    <w:rsid w:val="00C7580E"/>
    <w:rsid w:val="00C84CFE"/>
    <w:rsid w:val="00CA5BAB"/>
    <w:rsid w:val="00CC46B1"/>
    <w:rsid w:val="00CC4AC5"/>
    <w:rsid w:val="00CD16FA"/>
    <w:rsid w:val="00CD7874"/>
    <w:rsid w:val="00CE085F"/>
    <w:rsid w:val="00CF24C4"/>
    <w:rsid w:val="00CF5629"/>
    <w:rsid w:val="00CF6749"/>
    <w:rsid w:val="00D13F17"/>
    <w:rsid w:val="00D255B1"/>
    <w:rsid w:val="00D3717C"/>
    <w:rsid w:val="00D43235"/>
    <w:rsid w:val="00D65490"/>
    <w:rsid w:val="00D74533"/>
    <w:rsid w:val="00D81AA7"/>
    <w:rsid w:val="00DA11A8"/>
    <w:rsid w:val="00DA1FD9"/>
    <w:rsid w:val="00DA4226"/>
    <w:rsid w:val="00DB16DE"/>
    <w:rsid w:val="00DF0FB1"/>
    <w:rsid w:val="00DF6754"/>
    <w:rsid w:val="00E2081E"/>
    <w:rsid w:val="00E427F2"/>
    <w:rsid w:val="00E42835"/>
    <w:rsid w:val="00E45504"/>
    <w:rsid w:val="00E542F2"/>
    <w:rsid w:val="00E54A49"/>
    <w:rsid w:val="00E6231D"/>
    <w:rsid w:val="00E637D2"/>
    <w:rsid w:val="00E777C0"/>
    <w:rsid w:val="00E82AA6"/>
    <w:rsid w:val="00E90824"/>
    <w:rsid w:val="00E95B69"/>
    <w:rsid w:val="00EA6558"/>
    <w:rsid w:val="00EB3869"/>
    <w:rsid w:val="00EC3F8C"/>
    <w:rsid w:val="00EC78A2"/>
    <w:rsid w:val="00EC7C8F"/>
    <w:rsid w:val="00EE6AB0"/>
    <w:rsid w:val="00EF02EC"/>
    <w:rsid w:val="00EF0A72"/>
    <w:rsid w:val="00EF4086"/>
    <w:rsid w:val="00F01798"/>
    <w:rsid w:val="00F02B2C"/>
    <w:rsid w:val="00F1681C"/>
    <w:rsid w:val="00F36826"/>
    <w:rsid w:val="00F417F4"/>
    <w:rsid w:val="00F41E6C"/>
    <w:rsid w:val="00F42A69"/>
    <w:rsid w:val="00F47375"/>
    <w:rsid w:val="00F549B8"/>
    <w:rsid w:val="00F65BD7"/>
    <w:rsid w:val="00F75B61"/>
    <w:rsid w:val="00F81F70"/>
    <w:rsid w:val="00F84229"/>
    <w:rsid w:val="00F8478D"/>
    <w:rsid w:val="00F84E7E"/>
    <w:rsid w:val="00F935BD"/>
    <w:rsid w:val="00F95CEA"/>
    <w:rsid w:val="00FA0193"/>
    <w:rsid w:val="00FB04FC"/>
    <w:rsid w:val="00FB1F7A"/>
    <w:rsid w:val="00FB2315"/>
    <w:rsid w:val="00FE7DE1"/>
    <w:rsid w:val="00FF3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AD696"/>
  <w15:chartTrackingRefBased/>
  <w15:docId w15:val="{B5E07D0C-2A43-48B8-B5BE-2C2E3A7D3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6B1"/>
    <w:pPr>
      <w:spacing w:after="0" w:line="240" w:lineRule="auto"/>
    </w:pPr>
    <w:rPr>
      <w:rFonts w:ascii="Times New Roman" w:eastAsia="Times New Roman" w:hAnsi="Times New Roman" w:cs="Times New Roman"/>
      <w:sz w:val="20"/>
      <w:szCs w:val="20"/>
      <w:lang w:val="bg-BG" w:eastAsia="bg-BG"/>
    </w:rPr>
  </w:style>
  <w:style w:type="paragraph" w:styleId="Heading1">
    <w:name w:val="heading 1"/>
    <w:basedOn w:val="Normal"/>
    <w:next w:val="Normal"/>
    <w:link w:val="Heading1Char"/>
    <w:qFormat/>
    <w:rsid w:val="00CC46B1"/>
    <w:pPr>
      <w:keepNext/>
      <w:ind w:firstLine="720"/>
      <w:jc w:val="both"/>
      <w:outlineLvl w:val="0"/>
    </w:pPr>
    <w:rPr>
      <w:b/>
      <w:caps/>
      <w:sz w:val="24"/>
    </w:rPr>
  </w:style>
  <w:style w:type="paragraph" w:styleId="Heading2">
    <w:name w:val="heading 2"/>
    <w:basedOn w:val="Normal"/>
    <w:next w:val="Normal"/>
    <w:link w:val="Heading2Char"/>
    <w:uiPriority w:val="9"/>
    <w:semiHidden/>
    <w:unhideWhenUsed/>
    <w:qFormat/>
    <w:rsid w:val="00F417F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D81AA7"/>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46B1"/>
    <w:rPr>
      <w:rFonts w:ascii="Times New Roman" w:eastAsia="Times New Roman" w:hAnsi="Times New Roman" w:cs="Times New Roman"/>
      <w:b/>
      <w:caps/>
      <w:sz w:val="24"/>
      <w:szCs w:val="20"/>
      <w:lang w:val="bg-BG" w:eastAsia="bg-BG"/>
    </w:rPr>
  </w:style>
  <w:style w:type="paragraph" w:styleId="NoSpacing">
    <w:name w:val="No Spacing"/>
    <w:link w:val="NoSpacingChar"/>
    <w:uiPriority w:val="1"/>
    <w:qFormat/>
    <w:rsid w:val="00CC46B1"/>
    <w:pPr>
      <w:spacing w:after="0" w:line="240" w:lineRule="auto"/>
    </w:pPr>
    <w:rPr>
      <w:rFonts w:ascii="Calibri" w:eastAsia="Calibri" w:hAnsi="Calibri" w:cs="Times New Roman"/>
      <w:lang w:val="bg-BG"/>
    </w:rPr>
  </w:style>
  <w:style w:type="character" w:customStyle="1" w:styleId="NoSpacingChar">
    <w:name w:val="No Spacing Char"/>
    <w:link w:val="NoSpacing"/>
    <w:uiPriority w:val="1"/>
    <w:locked/>
    <w:rsid w:val="00CC46B1"/>
    <w:rPr>
      <w:rFonts w:ascii="Calibri" w:eastAsia="Calibri" w:hAnsi="Calibri" w:cs="Times New Roman"/>
      <w:lang w:val="bg-BG"/>
    </w:rPr>
  </w:style>
  <w:style w:type="paragraph" w:customStyle="1" w:styleId="Body">
    <w:name w:val="Body"/>
    <w:rsid w:val="00CC46B1"/>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lang w:val="bg-BG" w:eastAsia="bg-BG"/>
    </w:rPr>
  </w:style>
  <w:style w:type="paragraph" w:styleId="Header">
    <w:name w:val="header"/>
    <w:basedOn w:val="Normal"/>
    <w:link w:val="HeaderChar"/>
    <w:uiPriority w:val="99"/>
    <w:unhideWhenUsed/>
    <w:rsid w:val="00514146"/>
    <w:pPr>
      <w:tabs>
        <w:tab w:val="center" w:pos="4703"/>
        <w:tab w:val="right" w:pos="9406"/>
      </w:tabs>
    </w:pPr>
  </w:style>
  <w:style w:type="character" w:customStyle="1" w:styleId="HeaderChar">
    <w:name w:val="Header Char"/>
    <w:basedOn w:val="DefaultParagraphFont"/>
    <w:link w:val="Header"/>
    <w:uiPriority w:val="99"/>
    <w:rsid w:val="00514146"/>
    <w:rPr>
      <w:rFonts w:ascii="Times New Roman" w:eastAsia="Times New Roman" w:hAnsi="Times New Roman" w:cs="Times New Roman"/>
      <w:sz w:val="20"/>
      <w:szCs w:val="20"/>
      <w:lang w:val="bg-BG" w:eastAsia="bg-BG"/>
    </w:rPr>
  </w:style>
  <w:style w:type="paragraph" w:styleId="Footer">
    <w:name w:val="footer"/>
    <w:basedOn w:val="Normal"/>
    <w:link w:val="FooterChar"/>
    <w:uiPriority w:val="99"/>
    <w:unhideWhenUsed/>
    <w:rsid w:val="00514146"/>
    <w:pPr>
      <w:tabs>
        <w:tab w:val="center" w:pos="4703"/>
        <w:tab w:val="right" w:pos="9406"/>
      </w:tabs>
    </w:pPr>
  </w:style>
  <w:style w:type="character" w:customStyle="1" w:styleId="FooterChar">
    <w:name w:val="Footer Char"/>
    <w:basedOn w:val="DefaultParagraphFont"/>
    <w:link w:val="Footer"/>
    <w:uiPriority w:val="99"/>
    <w:rsid w:val="00514146"/>
    <w:rPr>
      <w:rFonts w:ascii="Times New Roman" w:eastAsia="Times New Roman" w:hAnsi="Times New Roman" w:cs="Times New Roman"/>
      <w:sz w:val="20"/>
      <w:szCs w:val="20"/>
      <w:lang w:val="bg-BG" w:eastAsia="bg-BG"/>
    </w:rPr>
  </w:style>
  <w:style w:type="character" w:styleId="CommentReference">
    <w:name w:val="annotation reference"/>
    <w:basedOn w:val="DefaultParagraphFont"/>
    <w:uiPriority w:val="99"/>
    <w:semiHidden/>
    <w:unhideWhenUsed/>
    <w:rsid w:val="001C1CA7"/>
    <w:rPr>
      <w:sz w:val="16"/>
      <w:szCs w:val="16"/>
    </w:rPr>
  </w:style>
  <w:style w:type="paragraph" w:styleId="CommentText">
    <w:name w:val="annotation text"/>
    <w:basedOn w:val="Normal"/>
    <w:link w:val="CommentTextChar"/>
    <w:uiPriority w:val="99"/>
    <w:semiHidden/>
    <w:unhideWhenUsed/>
    <w:rsid w:val="001C1CA7"/>
  </w:style>
  <w:style w:type="character" w:customStyle="1" w:styleId="CommentTextChar">
    <w:name w:val="Comment Text Char"/>
    <w:basedOn w:val="DefaultParagraphFont"/>
    <w:link w:val="CommentText"/>
    <w:uiPriority w:val="99"/>
    <w:semiHidden/>
    <w:rsid w:val="001C1CA7"/>
    <w:rPr>
      <w:rFonts w:ascii="Times New Roman" w:eastAsia="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C1CA7"/>
    <w:rPr>
      <w:b/>
      <w:bCs/>
    </w:rPr>
  </w:style>
  <w:style w:type="character" w:customStyle="1" w:styleId="CommentSubjectChar">
    <w:name w:val="Comment Subject Char"/>
    <w:basedOn w:val="CommentTextChar"/>
    <w:link w:val="CommentSubject"/>
    <w:uiPriority w:val="99"/>
    <w:semiHidden/>
    <w:rsid w:val="001C1CA7"/>
    <w:rPr>
      <w:rFonts w:ascii="Times New Roman" w:eastAsia="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C1CA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1CA7"/>
    <w:rPr>
      <w:rFonts w:ascii="Segoe UI" w:eastAsia="Times New Roman" w:hAnsi="Segoe UI" w:cs="Segoe UI"/>
      <w:sz w:val="18"/>
      <w:szCs w:val="18"/>
      <w:lang w:val="bg-BG" w:eastAsia="bg-BG"/>
    </w:rPr>
  </w:style>
  <w:style w:type="character" w:customStyle="1" w:styleId="Heading3Char">
    <w:name w:val="Heading 3 Char"/>
    <w:basedOn w:val="DefaultParagraphFont"/>
    <w:link w:val="Heading3"/>
    <w:uiPriority w:val="9"/>
    <w:semiHidden/>
    <w:rsid w:val="00D81AA7"/>
    <w:rPr>
      <w:rFonts w:asciiTheme="majorHAnsi" w:eastAsiaTheme="majorEastAsia" w:hAnsiTheme="majorHAnsi" w:cstheme="majorBidi"/>
      <w:color w:val="1F3763" w:themeColor="accent1" w:themeShade="7F"/>
      <w:sz w:val="24"/>
      <w:szCs w:val="24"/>
      <w:lang w:val="bg-BG" w:eastAsia="bg-BG"/>
    </w:rPr>
  </w:style>
  <w:style w:type="character" w:customStyle="1" w:styleId="Heading2Char">
    <w:name w:val="Heading 2 Char"/>
    <w:basedOn w:val="DefaultParagraphFont"/>
    <w:link w:val="Heading2"/>
    <w:uiPriority w:val="9"/>
    <w:rsid w:val="00F417F4"/>
    <w:rPr>
      <w:rFonts w:asciiTheme="majorHAnsi" w:eastAsiaTheme="majorEastAsia" w:hAnsiTheme="majorHAnsi" w:cstheme="majorBidi"/>
      <w:color w:val="2F5496" w:themeColor="accent1" w:themeShade="BF"/>
      <w:sz w:val="26"/>
      <w:szCs w:val="26"/>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962851">
      <w:bodyDiv w:val="1"/>
      <w:marLeft w:val="0"/>
      <w:marRight w:val="0"/>
      <w:marTop w:val="0"/>
      <w:marBottom w:val="0"/>
      <w:divBdr>
        <w:top w:val="none" w:sz="0" w:space="0" w:color="auto"/>
        <w:left w:val="none" w:sz="0" w:space="0" w:color="auto"/>
        <w:bottom w:val="none" w:sz="0" w:space="0" w:color="auto"/>
        <w:right w:val="none" w:sz="0" w:space="0" w:color="auto"/>
      </w:divBdr>
    </w:div>
    <w:div w:id="977762693">
      <w:bodyDiv w:val="1"/>
      <w:marLeft w:val="0"/>
      <w:marRight w:val="0"/>
      <w:marTop w:val="0"/>
      <w:marBottom w:val="0"/>
      <w:divBdr>
        <w:top w:val="none" w:sz="0" w:space="0" w:color="auto"/>
        <w:left w:val="none" w:sz="0" w:space="0" w:color="auto"/>
        <w:bottom w:val="none" w:sz="0" w:space="0" w:color="auto"/>
        <w:right w:val="none" w:sz="0" w:space="0" w:color="auto"/>
      </w:divBdr>
    </w:div>
    <w:div w:id="1896626944">
      <w:bodyDiv w:val="1"/>
      <w:marLeft w:val="0"/>
      <w:marRight w:val="0"/>
      <w:marTop w:val="0"/>
      <w:marBottom w:val="0"/>
      <w:divBdr>
        <w:top w:val="none" w:sz="0" w:space="0" w:color="auto"/>
        <w:left w:val="none" w:sz="0" w:space="0" w:color="auto"/>
        <w:bottom w:val="none" w:sz="0" w:space="0" w:color="auto"/>
        <w:right w:val="none" w:sz="0" w:space="0" w:color="auto"/>
      </w:divBdr>
    </w:div>
    <w:div w:id="196824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E8E81-3AC9-4870-AD2C-6B9D390E3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1944</Words>
  <Characters>11081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galia</dc:creator>
  <cp:keywords/>
  <dc:description/>
  <cp:lastModifiedBy>Iliana Gorova</cp:lastModifiedBy>
  <cp:revision>4</cp:revision>
  <dcterms:created xsi:type="dcterms:W3CDTF">2023-07-21T11:39:00Z</dcterms:created>
  <dcterms:modified xsi:type="dcterms:W3CDTF">2023-07-26T12:56:00Z</dcterms:modified>
</cp:coreProperties>
</file>