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093" w:rsidRPr="003738C7" w:rsidRDefault="00230093" w:rsidP="00133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>Ключови индикатори за изпълнение на политиките и целеви стойности за</w:t>
      </w:r>
      <w:r w:rsidR="00833875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първото полугодие на </w:t>
      </w:r>
      <w:r w:rsidR="002F7E31"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>202</w:t>
      </w:r>
      <w:r w:rsidR="00833875">
        <w:rPr>
          <w:rFonts w:ascii="Times New Roman" w:hAnsi="Times New Roman" w:cs="Times New Roman"/>
          <w:b/>
          <w:sz w:val="24"/>
          <w:szCs w:val="24"/>
          <w:lang w:eastAsia="bg-BG"/>
        </w:rPr>
        <w:t>3</w:t>
      </w:r>
      <w:r w:rsidR="002F7E31"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</w:t>
      </w:r>
    </w:p>
    <w:p w:rsidR="00230093" w:rsidRPr="003738C7" w:rsidRDefault="00230093" w:rsidP="00341F72">
      <w:pPr>
        <w:pStyle w:val="Heading1"/>
        <w:ind w:firstLine="0"/>
        <w:jc w:val="center"/>
        <w:rPr>
          <w:caps w:val="0"/>
          <w:szCs w:val="24"/>
        </w:rPr>
      </w:pPr>
      <w:r w:rsidRPr="003738C7">
        <w:rPr>
          <w:b w:val="0"/>
          <w:caps w:val="0"/>
          <w:szCs w:val="24"/>
        </w:rPr>
        <w:t xml:space="preserve">на </w:t>
      </w:r>
      <w:r w:rsidR="00A32220" w:rsidRPr="003738C7">
        <w:rPr>
          <w:caps w:val="0"/>
          <w:szCs w:val="24"/>
        </w:rPr>
        <w:t>Министерството на външните работи</w:t>
      </w:r>
    </w:p>
    <w:p w:rsidR="00230093" w:rsidRPr="003738C7" w:rsidRDefault="00230093" w:rsidP="00133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17DD" w:rsidRPr="003738C7" w:rsidRDefault="00211847" w:rsidP="0002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>За целите на програмното бюджетиране и предвид административното и функционалното разпределение в дейността на Министерството на външните работи, с оглед отчетност и ефективност са формулирани три политики - „Активна двустранна и многостранна дипломация”, „Публична дипломация и дейности в подкрепа на целите на външната политика“ и „Подкрепа за българските общности и лицата с българско самосъзнание в чужбина“ и петнадесет програми, в рамките на които се систематизират разнородните задачи на дипломатическата служба в изпълнение на</w:t>
      </w:r>
      <w:r w:rsidR="00A424D8">
        <w:rPr>
          <w:rFonts w:ascii="Times New Roman" w:hAnsi="Times New Roman" w:cs="Times New Roman"/>
          <w:sz w:val="24"/>
          <w:szCs w:val="24"/>
        </w:rPr>
        <w:t xml:space="preserve"> външнополитическите цели и приоритети, както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и мерките, </w:t>
      </w:r>
      <w:r w:rsidR="00A424D8">
        <w:rPr>
          <w:rFonts w:ascii="Times New Roman" w:hAnsi="Times New Roman" w:cs="Times New Roman"/>
          <w:sz w:val="24"/>
          <w:szCs w:val="24"/>
        </w:rPr>
        <w:t>разписани в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редица ключови стратегически документи, като Актуализираната стратегия за национална сигурност на Република България; Национална стратегия за българските граждани и историческите български общности по света; Национална програма за развитие 2030; Средносрочна програма за помощ за развитие и хуманитарна помощ за периода 2020-2024 г.; Актуализираната стратегия за развитие на електронното управление 2019-2025. </w:t>
      </w:r>
    </w:p>
    <w:p w:rsidR="00191852" w:rsidRPr="003738C7" w:rsidRDefault="000217DD" w:rsidP="000217D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738C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0176A" w:rsidRPr="003738C7" w:rsidRDefault="0030176A" w:rsidP="0030176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38C7">
        <w:rPr>
          <w:rFonts w:ascii="Times New Roman" w:hAnsi="Times New Roman" w:cs="Times New Roman"/>
          <w:b/>
          <w:i/>
          <w:sz w:val="24"/>
          <w:szCs w:val="24"/>
        </w:rPr>
        <w:t>Отговорност за разпределението на публичните разходи за политиката</w:t>
      </w:r>
    </w:p>
    <w:tbl>
      <w:tblPr>
        <w:tblW w:w="11093" w:type="dxa"/>
        <w:tblInd w:w="-9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1492"/>
        <w:gridCol w:w="892"/>
        <w:gridCol w:w="867"/>
        <w:gridCol w:w="1242"/>
        <w:gridCol w:w="784"/>
        <w:gridCol w:w="846"/>
        <w:gridCol w:w="836"/>
        <w:gridCol w:w="1070"/>
        <w:gridCol w:w="1072"/>
        <w:gridCol w:w="1072"/>
        <w:gridCol w:w="43"/>
      </w:tblGrid>
      <w:tr w:rsidR="00F20589" w:rsidRPr="00F20589" w:rsidTr="00DA159B">
        <w:trPr>
          <w:trHeight w:val="270"/>
        </w:trPr>
        <w:tc>
          <w:tcPr>
            <w:tcW w:w="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AC090"/>
            <w:textDirection w:val="tbLrV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Класификационен код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ОБЛАСТИ НА ПОЛИТИКИ И                              БЮДЖЕТНИ ПРОГРАМИ</w:t>
            </w:r>
          </w:p>
        </w:tc>
        <w:tc>
          <w:tcPr>
            <w:tcW w:w="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Закон</w:t>
            </w:r>
          </w:p>
        </w:tc>
        <w:tc>
          <w:tcPr>
            <w:tcW w:w="91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Уточнен план</w:t>
            </w:r>
          </w:p>
        </w:tc>
        <w:tc>
          <w:tcPr>
            <w:tcW w:w="671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ОТЧЕТ</w:t>
            </w:r>
          </w:p>
        </w:tc>
      </w:tr>
      <w:tr w:rsidR="00F20589" w:rsidRPr="00F20589" w:rsidTr="00DA159B">
        <w:trPr>
          <w:gridAfter w:val="1"/>
          <w:wAfter w:w="54" w:type="dxa"/>
          <w:trHeight w:val="1020"/>
        </w:trPr>
        <w:tc>
          <w:tcPr>
            <w:tcW w:w="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1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Общо консолидирани разходи</w:t>
            </w:r>
          </w:p>
        </w:tc>
        <w:tc>
          <w:tcPr>
            <w:tcW w:w="249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Ведомствени разходи</w:t>
            </w:r>
          </w:p>
        </w:tc>
        <w:tc>
          <w:tcPr>
            <w:tcW w:w="34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Администрирани разходи</w:t>
            </w:r>
          </w:p>
        </w:tc>
      </w:tr>
      <w:tr w:rsidR="00F20589" w:rsidRPr="00F20589" w:rsidTr="00DA159B">
        <w:trPr>
          <w:gridAfter w:val="1"/>
          <w:wAfter w:w="54" w:type="dxa"/>
          <w:trHeight w:val="1290"/>
        </w:trPr>
        <w:tc>
          <w:tcPr>
            <w:tcW w:w="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(в хил. лв.)</w:t>
            </w:r>
          </w:p>
        </w:tc>
        <w:tc>
          <w:tcPr>
            <w:tcW w:w="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1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F20589" w:rsidRDefault="00DA159B" w:rsidP="00EB5E8C">
            <w:pPr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Общо разходи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i/>
                <w:i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i/>
                <w:iCs/>
                <w:color w:val="FF0000"/>
                <w:sz w:val="16"/>
                <w:szCs w:val="16"/>
              </w:rPr>
              <w:t>По бюджета на ПРБ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i/>
                <w:i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i/>
                <w:iCs/>
                <w:color w:val="FF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Общо разходи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i/>
                <w:i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i/>
                <w:iCs/>
                <w:color w:val="FF0000"/>
                <w:sz w:val="16"/>
                <w:szCs w:val="16"/>
              </w:rPr>
              <w:t>По бюджета на ПРБ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center"/>
              <w:rPr>
                <w:rFonts w:cstheme="minorHAnsi"/>
                <w:i/>
                <w:i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i/>
                <w:iCs/>
                <w:color w:val="FF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F20589" w:rsidRPr="00F20589" w:rsidTr="00DA159B">
        <w:trPr>
          <w:gridAfter w:val="1"/>
          <w:wAfter w:w="54" w:type="dxa"/>
          <w:trHeight w:val="27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lastRenderedPageBreak/>
              <w:t>1100.00.00</w:t>
            </w:r>
          </w:p>
        </w:tc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Общо разходи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156 478,30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157 990,62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74 476,18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62 129,04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60 169,78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1 959,26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12 347,14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12 347,14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0</w:t>
            </w:r>
          </w:p>
        </w:tc>
      </w:tr>
      <w:tr w:rsidR="00F20589" w:rsidRPr="00F20589" w:rsidTr="00DA159B">
        <w:trPr>
          <w:gridAfter w:val="1"/>
          <w:wAfter w:w="54" w:type="dxa"/>
          <w:trHeight w:val="129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1100.01.00</w:t>
            </w:r>
          </w:p>
        </w:tc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Политика в областта на Активната двустранна и многостранна дипломация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154 110,20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155 622,52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73 731,02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61 386,52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59 632,60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1 753,92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12 344,50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12 344,50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0</w:t>
            </w:r>
          </w:p>
        </w:tc>
      </w:tr>
      <w:tr w:rsidR="00F20589" w:rsidRPr="00F20589" w:rsidTr="00DA159B">
        <w:trPr>
          <w:gridAfter w:val="1"/>
          <w:wAfter w:w="54" w:type="dxa"/>
          <w:trHeight w:val="17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1100.02.00</w:t>
            </w:r>
          </w:p>
        </w:tc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Политика в областта на публичната дипломация и публичните дейности в подкрепа на целите на външната политика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1 250,00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1 250,00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745,16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742,52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537,18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205,34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2,64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2,64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0</w:t>
            </w:r>
          </w:p>
        </w:tc>
      </w:tr>
      <w:tr w:rsidR="00F20589" w:rsidRPr="00F20589" w:rsidTr="00DA159B">
        <w:trPr>
          <w:gridAfter w:val="1"/>
          <w:wAfter w:w="54" w:type="dxa"/>
          <w:trHeight w:val="172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1100.03.00</w:t>
            </w:r>
          </w:p>
        </w:tc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F20589" w:rsidRDefault="00DA159B" w:rsidP="00EB5E8C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Политика в областта на подкрепата на българските общности и лицата с българско самосъзнание зад граница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1 118,10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1 118,10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A159B" w:rsidRPr="00F20589" w:rsidRDefault="00DA159B" w:rsidP="00EB5E8C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F20589">
              <w:rPr>
                <w:rFonts w:cstheme="minorHAnsi"/>
                <w:color w:val="FF0000"/>
                <w:sz w:val="16"/>
                <w:szCs w:val="16"/>
              </w:rPr>
              <w:t>0</w:t>
            </w:r>
          </w:p>
        </w:tc>
      </w:tr>
    </w:tbl>
    <w:p w:rsidR="0030176A" w:rsidRPr="003738C7" w:rsidRDefault="0030176A" w:rsidP="003017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176A" w:rsidRPr="003738C7" w:rsidRDefault="0030176A" w:rsidP="003017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3BAB" w:rsidRPr="003738C7" w:rsidRDefault="00A23258" w:rsidP="0013362F">
      <w:pPr>
        <w:pStyle w:val="Heading1"/>
        <w:shd w:val="clear" w:color="auto" w:fill="FBD4B4" w:themeFill="accent6" w:themeFillTint="66"/>
        <w:ind w:firstLine="0"/>
        <w:rPr>
          <w:szCs w:val="24"/>
        </w:rPr>
      </w:pPr>
      <w:bookmarkStart w:id="1" w:name="_Toc492981931"/>
      <w:r w:rsidRPr="003738C7">
        <w:rPr>
          <w:szCs w:val="24"/>
        </w:rPr>
        <w:t>Област на политика:</w:t>
      </w:r>
      <w:r w:rsidR="008B3BAB" w:rsidRPr="003738C7">
        <w:rPr>
          <w:szCs w:val="24"/>
        </w:rPr>
        <w:t xml:space="preserve"> „активна двустранна и многостранна дипломация“</w:t>
      </w:r>
      <w:bookmarkEnd w:id="1"/>
    </w:p>
    <w:p w:rsidR="00A23258" w:rsidRPr="003738C7" w:rsidRDefault="00A23258" w:rsidP="00133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5B4" w:rsidRPr="003738C7" w:rsidRDefault="008B3BAB" w:rsidP="001336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>Политиката на активна двустранна и многостранна дипломация е съдържанието на дейността на Министерство на външните работи като орган</w:t>
      </w:r>
      <w:r w:rsidR="00B755E2" w:rsidRPr="003738C7">
        <w:rPr>
          <w:rFonts w:ascii="Times New Roman" w:hAnsi="Times New Roman" w:cs="Times New Roman"/>
          <w:sz w:val="24"/>
          <w:szCs w:val="24"/>
        </w:rPr>
        <w:t>, който съгласно Конституцията на Република България</w:t>
      </w:r>
      <w:r w:rsidRPr="003738C7">
        <w:rPr>
          <w:rFonts w:ascii="Times New Roman" w:hAnsi="Times New Roman" w:cs="Times New Roman"/>
          <w:sz w:val="24"/>
          <w:szCs w:val="24"/>
        </w:rPr>
        <w:t xml:space="preserve"> провежда външната политика на държавата. Стратегическата цел на тази политика е разработването и отстояването на последователни национални позиции за защита на </w:t>
      </w:r>
      <w:r w:rsidR="00B755E2" w:rsidRPr="003738C7">
        <w:rPr>
          <w:rFonts w:ascii="Times New Roman" w:hAnsi="Times New Roman" w:cs="Times New Roman"/>
          <w:sz w:val="24"/>
          <w:szCs w:val="24"/>
        </w:rPr>
        <w:t>българските</w:t>
      </w:r>
      <w:r w:rsidRPr="003738C7">
        <w:rPr>
          <w:rFonts w:ascii="Times New Roman" w:hAnsi="Times New Roman" w:cs="Times New Roman"/>
          <w:sz w:val="24"/>
          <w:szCs w:val="24"/>
        </w:rPr>
        <w:t xml:space="preserve"> интереси чрез координирани, целенасочени и системни действия. </w:t>
      </w:r>
    </w:p>
    <w:p w:rsidR="008B3BAB" w:rsidRPr="003738C7" w:rsidRDefault="008F7769" w:rsidP="0013362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>Чрез осъществяването на тази политика</w:t>
      </w:r>
      <w:r w:rsidR="008B3BAB" w:rsidRPr="003738C7">
        <w:rPr>
          <w:rFonts w:ascii="Times New Roman" w:hAnsi="Times New Roman" w:cs="Times New Roman"/>
          <w:sz w:val="24"/>
          <w:szCs w:val="24"/>
        </w:rPr>
        <w:t xml:space="preserve"> се постигат външнополитическите приоритети </w:t>
      </w:r>
      <w:r w:rsidR="00B87646" w:rsidRPr="003738C7">
        <w:rPr>
          <w:rFonts w:ascii="Times New Roman" w:hAnsi="Times New Roman" w:cs="Times New Roman"/>
          <w:sz w:val="24"/>
          <w:szCs w:val="24"/>
        </w:rPr>
        <w:t xml:space="preserve">на страната </w:t>
      </w:r>
      <w:r w:rsidR="008B3BAB" w:rsidRPr="003738C7">
        <w:rPr>
          <w:rFonts w:ascii="Times New Roman" w:hAnsi="Times New Roman" w:cs="Times New Roman"/>
          <w:sz w:val="24"/>
          <w:szCs w:val="24"/>
        </w:rPr>
        <w:t>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</w:t>
      </w:r>
      <w:r w:rsidR="007C2C72" w:rsidRPr="003738C7">
        <w:rPr>
          <w:rFonts w:ascii="Times New Roman" w:hAnsi="Times New Roman" w:cs="Times New Roman"/>
          <w:sz w:val="24"/>
          <w:szCs w:val="24"/>
        </w:rPr>
        <w:t>ските граждани</w:t>
      </w:r>
      <w:r w:rsidR="008B3BAB" w:rsidRPr="003738C7">
        <w:rPr>
          <w:rFonts w:ascii="Times New Roman" w:hAnsi="Times New Roman" w:cs="Times New Roman"/>
          <w:sz w:val="24"/>
          <w:szCs w:val="24"/>
        </w:rPr>
        <w:t>.</w:t>
      </w:r>
    </w:p>
    <w:p w:rsidR="00A41FC2" w:rsidRPr="003738C7" w:rsidRDefault="00A41FC2" w:rsidP="00A41F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 xml:space="preserve">Успешната външна политика допринася за укрепване на националната сигурност, отстояване на суверенитета, развитието на </w:t>
      </w:r>
      <w:r w:rsidRPr="003738C7">
        <w:rPr>
          <w:rFonts w:ascii="Times New Roman" w:hAnsi="Times New Roman" w:cs="Times New Roman"/>
          <w:sz w:val="24"/>
          <w:szCs w:val="24"/>
        </w:rPr>
        <w:lastRenderedPageBreak/>
        <w:t>икономиката, включително туризма, обогатяването на възможностите за научен, културен и образователен обмен, защита на правата и интересите на лицата с българско гражданство и самосъзнание и на българските общности зад граница, оказвайки им подкрепа за запазване на тяхната идентичност. В рамките на тази политика е включена и програма, чрез която се отделя специално внимание и ресурси за осъществяването на дипломатическа и консулска защита, както и предоставянето на качествени консулски услуги за българските граждани</w:t>
      </w:r>
      <w:r w:rsidR="008F7769" w:rsidRPr="003738C7">
        <w:rPr>
          <w:rFonts w:ascii="Times New Roman" w:hAnsi="Times New Roman" w:cs="Times New Roman"/>
          <w:sz w:val="24"/>
          <w:szCs w:val="24"/>
        </w:rPr>
        <w:t xml:space="preserve"> зад граница</w:t>
      </w:r>
      <w:r w:rsidRPr="003738C7">
        <w:rPr>
          <w:rFonts w:ascii="Times New Roman" w:hAnsi="Times New Roman" w:cs="Times New Roman"/>
          <w:sz w:val="24"/>
          <w:szCs w:val="24"/>
        </w:rPr>
        <w:t>.</w:t>
      </w:r>
    </w:p>
    <w:p w:rsidR="00596E12" w:rsidRPr="003738C7" w:rsidRDefault="00596E12" w:rsidP="00B876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 xml:space="preserve">Политиката има за цел и </w:t>
      </w:r>
      <w:r w:rsidR="00DA4F38" w:rsidRPr="003738C7">
        <w:rPr>
          <w:rFonts w:ascii="Times New Roman" w:hAnsi="Times New Roman" w:cs="Times New Roman"/>
          <w:sz w:val="24"/>
          <w:szCs w:val="24"/>
        </w:rPr>
        <w:t xml:space="preserve">да осигури </w:t>
      </w:r>
      <w:r w:rsidRPr="003738C7">
        <w:rPr>
          <w:rFonts w:ascii="Times New Roman" w:hAnsi="Times New Roman" w:cs="Times New Roman"/>
          <w:sz w:val="24"/>
          <w:szCs w:val="24"/>
        </w:rPr>
        <w:t>безпроблемно функционираща и рес</w:t>
      </w:r>
      <w:r w:rsidR="008F7769" w:rsidRPr="003738C7">
        <w:rPr>
          <w:rFonts w:ascii="Times New Roman" w:hAnsi="Times New Roman" w:cs="Times New Roman"/>
          <w:sz w:val="24"/>
          <w:szCs w:val="24"/>
        </w:rPr>
        <w:t xml:space="preserve">урсно обезпечена администрация, </w:t>
      </w:r>
      <w:r w:rsidRPr="003738C7">
        <w:rPr>
          <w:rFonts w:ascii="Times New Roman" w:hAnsi="Times New Roman" w:cs="Times New Roman"/>
          <w:sz w:val="24"/>
          <w:szCs w:val="24"/>
        </w:rPr>
        <w:t xml:space="preserve">организираност на работните процеси, поддържане на административно-информационни и технически способности, съответстващи на съвременната международна среда, </w:t>
      </w:r>
      <w:r w:rsidR="008F7769" w:rsidRPr="003738C7">
        <w:rPr>
          <w:rFonts w:ascii="Times New Roman" w:hAnsi="Times New Roman" w:cs="Times New Roman"/>
          <w:sz w:val="24"/>
          <w:szCs w:val="24"/>
        </w:rPr>
        <w:t>повишаване на квалификацията и мотивиране</w:t>
      </w:r>
      <w:r w:rsidRPr="003738C7">
        <w:rPr>
          <w:rFonts w:ascii="Times New Roman" w:hAnsi="Times New Roman" w:cs="Times New Roman"/>
          <w:sz w:val="24"/>
          <w:szCs w:val="24"/>
        </w:rPr>
        <w:t xml:space="preserve"> на служителите, привличане и задържане на компетентни кадри, активно надграждане на добри практики. По този начин се създава капацитет и потенциал за развитие на ефективна дипломатическа служба, която да реализира външнополитическите приоритети на Република България. </w:t>
      </w:r>
    </w:p>
    <w:p w:rsidR="00A41FC2" w:rsidRPr="003738C7" w:rsidRDefault="00A41FC2" w:rsidP="00A41F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 xml:space="preserve">Специфичният характер на политиката ограничава възможностите за нейното остойностяване с мерни единици. За целите на бюджетирането са подбрани определени индикатори, които да позволят мониторинг, с условността, че ефектът от политиката като цяло е гарантирането на националната сигурност и имиджа на страната. Дейностите са комплексни и в развитие, което надхвърля рамката на програмното бюджетиране. </w:t>
      </w:r>
    </w:p>
    <w:p w:rsidR="008B3BAB" w:rsidRPr="003738C7" w:rsidRDefault="008B3BAB" w:rsidP="001336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55E2" w:rsidRPr="003738C7" w:rsidRDefault="00B755E2" w:rsidP="001336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8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4"/>
        <w:gridCol w:w="2073"/>
        <w:gridCol w:w="1310"/>
        <w:gridCol w:w="1683"/>
      </w:tblGrid>
      <w:tr w:rsidR="00A424D8" w:rsidRPr="00A424D8" w:rsidTr="002F7E31">
        <w:trPr>
          <w:trHeight w:val="394"/>
          <w:jc w:val="center"/>
        </w:trPr>
        <w:tc>
          <w:tcPr>
            <w:tcW w:w="8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КЛЮЧОВИ ИНДИКАТОРИ ЗА ИЗПЪЛНЕНИЕ И ЦЕЛЕВИ СТОЙНОСТИ</w:t>
            </w:r>
          </w:p>
        </w:tc>
      </w:tr>
      <w:tr w:rsidR="00A424D8" w:rsidRPr="00A424D8" w:rsidTr="00A424D8">
        <w:trPr>
          <w:trHeight w:val="239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Област на политика: „Активна двустранна и многостранна дипломация“</w:t>
            </w:r>
          </w:p>
        </w:tc>
        <w:tc>
          <w:tcPr>
            <w:tcW w:w="20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133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F7E31" w:rsidRPr="00A424D8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Мерна единица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13362F">
            <w:pPr>
              <w:spacing w:after="0" w:line="240" w:lineRule="auto"/>
              <w:ind w:left="162" w:hanging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Целева стойност</w:t>
            </w:r>
          </w:p>
        </w:tc>
      </w:tr>
      <w:tr w:rsidR="00A424D8" w:rsidRPr="00A424D8" w:rsidTr="00A424D8">
        <w:trPr>
          <w:trHeight w:val="230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424D8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Наименование на индикатора</w:t>
            </w:r>
          </w:p>
        </w:tc>
        <w:tc>
          <w:tcPr>
            <w:tcW w:w="2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424D8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A424D8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Програма 202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424D8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Отчет към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06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.20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</w:tr>
      <w:tr w:rsidR="00A424D8" w:rsidRPr="00A424D8" w:rsidTr="00A424D8">
        <w:trPr>
          <w:trHeight w:val="253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Ефективност на консулските служби на Република България в услуга на български и чуждестранни граждани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1100.01.05</w:t>
            </w:r>
          </w:p>
        </w:tc>
      </w:tr>
      <w:tr w:rsidR="00A424D8" w:rsidRPr="00A424D8" w:rsidTr="00A424D8">
        <w:trPr>
          <w:trHeight w:val="253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Защита на български физически и юридически лица и български общности зад граница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ефективност/ удовлетвореност</w:t>
            </w:r>
          </w:p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006534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621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Защита на България пред Съда на ЕС и Общия съд на ЕС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защита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253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Защита на националните интереси в приоритетни за Република България, ЕС и НАТО области на външната политика чрез съблюдаване на международното право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защита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253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Управление на българската помощ за развитие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 xml:space="preserve">Степен на усвояемост при спазване стандартите на </w:t>
            </w:r>
            <w:r w:rsidRPr="00A424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OECD/DAC </w:t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и приоритетите на българската външна политика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  <w:r w:rsidR="008F7769" w:rsidRPr="00A424D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21</w:t>
            </w:r>
            <w:r w:rsidR="008F7769" w:rsidRPr="00A424D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%</w:t>
            </w:r>
          </w:p>
        </w:tc>
      </w:tr>
      <w:tr w:rsidR="00A424D8" w:rsidRPr="00A424D8" w:rsidTr="00A424D8">
        <w:trPr>
          <w:trHeight w:val="239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 xml:space="preserve">Изпълнение на националните цели и приоритети, чрез участието на България във формирането на политиките на НАТО </w:t>
            </w:r>
            <w:r w:rsidRPr="00A424D8">
              <w:rPr>
                <w:rFonts w:ascii="Times New Roman" w:hAnsi="Times New Roman" w:cs="Times New Roman"/>
                <w:bCs/>
                <w:sz w:val="20"/>
                <w:szCs w:val="20"/>
              </w:rPr>
              <w:t>и общата външна политика и политиката за сигурност на ЕС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239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Пълноценно участие във формирането и реализацията на политиките на ЕС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Принос в разработването на политики и инициативи на ЕС и подготовка и степен на реализация на национални позиции и инициативи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4D8" w:rsidRPr="00A424D8" w:rsidTr="00A424D8">
        <w:trPr>
          <w:trHeight w:val="824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Участие в Съвета на ЕС и неговите подготвителни органи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</w:t>
            </w:r>
          </w:p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239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Оптимално използване на възможностите на двустранното европейско сътрудничество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Поддържане на активен диалог на експертно и политическо ниво по въпросите на ЕС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A424D8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</w:tc>
      </w:tr>
      <w:tr w:rsidR="00A424D8" w:rsidRPr="00A424D8" w:rsidTr="00A424D8">
        <w:trPr>
          <w:trHeight w:val="239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Изпълнение на националните цели и приоритети, чрез участието на България във формирането на политики на ООН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1100.01.06</w:t>
            </w:r>
          </w:p>
        </w:tc>
      </w:tr>
      <w:tr w:rsidR="00A424D8" w:rsidRPr="00A424D8" w:rsidTr="00A424D8">
        <w:trPr>
          <w:trHeight w:val="239"/>
          <w:jc w:val="center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Активни и прагматични двустранни отношения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 xml:space="preserve">Равнище и интензитет на политическия диалог, подписани двустранни споразумения и степен </w:t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тяхната реализация, подготвени, разменени двустранни посещения, осъществяване на политически консултации и др.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Постигане на целевите стойности на показателите </w:t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изпълнение в програма 1100.01.04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Постигане на целевите стойности на показателите за </w:t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изпълнение в програма 1100.01.04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CB5" w:rsidRPr="00A424D8" w:rsidRDefault="00EB1CB5" w:rsidP="00EB1CB5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Активен двустранен диалог с държавите от Северна и Южна Америка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CB5" w:rsidRPr="00A424D8" w:rsidRDefault="00EB1CB5" w:rsidP="00EB1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Водене на редовен и активен диалог на експертно и политическо ниво по въпросите на двустранното сътрудничество с държавите от региона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CB5" w:rsidRPr="00A424D8" w:rsidRDefault="00EB1CB5" w:rsidP="00EB1C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CB5" w:rsidRPr="00A424D8" w:rsidRDefault="00EB1CB5" w:rsidP="00EB1C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9D" w:rsidRPr="00A424D8" w:rsidRDefault="0073169D" w:rsidP="0073169D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Дейност на България в ООН,  други международни организации, регионални и многостранни формати</w:t>
            </w:r>
          </w:p>
          <w:p w:rsidR="0073169D" w:rsidRPr="00A424D8" w:rsidRDefault="0073169D" w:rsidP="0073169D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Постигнат успех за български инициативи и кандидатури; равнище и интензитет на политическо взаимодействие;</w:t>
            </w:r>
          </w:p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подкрепа за инициативи на ЕС, ДЧЕС и на трети държави, насочени към укрепване на мултилатерализма; разширяване на партньорствата и коалициите в мултилатерални формати за постигане на приоритетите на българската външна политика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Висока степен на изпълнение</w:t>
            </w:r>
          </w:p>
          <w:p w:rsidR="0073169D" w:rsidRPr="00A424D8" w:rsidRDefault="0073169D" w:rsidP="007316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86E" w:rsidRPr="00A424D8" w:rsidRDefault="0068786E" w:rsidP="0068786E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24D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Провеждане на ефективни разговори за присъединяване към ОИСР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86E" w:rsidRPr="00A424D8" w:rsidRDefault="0068786E" w:rsidP="0068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24D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Успешно осъществяване на задълбочените технически прегледи, планирани за първото полугодие на 2023 г.  които ще бъдат извършени от  тематичните комитета на ОИСР; координация с оглед навременното предоставяне на исканата информация и предприемането на навременни действия в съответствие с направените препоръки от ОИСР, вкл. за промени в законодателството, където е необходимо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86E" w:rsidRPr="00A424D8" w:rsidRDefault="0068786E" w:rsidP="0068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424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86E" w:rsidRPr="00A424D8" w:rsidRDefault="0068786E" w:rsidP="0068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68786E" w:rsidRPr="00A424D8" w:rsidRDefault="0068786E" w:rsidP="0068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24D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Проведени са 4 технически мисии от експерти на ОИСР в България;</w:t>
            </w:r>
          </w:p>
          <w:p w:rsidR="0068786E" w:rsidRPr="00A424D8" w:rsidRDefault="0068786E" w:rsidP="0068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24D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 РМС № 301/13.04.2023 г. бе приета  Националната пътна карта с дейности по сътрудничеството на Република България с Организацията за икономическо сътрудничество и развитие (ОИСР) за тригодишния период от 2023 г. до 2025 г.</w:t>
            </w:r>
          </w:p>
          <w:p w:rsidR="0068786E" w:rsidRPr="00A424D8" w:rsidRDefault="0068786E" w:rsidP="0068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006534" w:rsidP="00006534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Осигуряване на п</w:t>
            </w:r>
            <w:r w:rsidR="008F7769" w:rsidRPr="00A424D8">
              <w:rPr>
                <w:rFonts w:ascii="Times New Roman" w:hAnsi="Times New Roman" w:cs="Times New Roman"/>
                <w:sz w:val="20"/>
                <w:szCs w:val="20"/>
              </w:rPr>
              <w:t>убличност на дейността на МВнР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откритост на външнополитическите действия в съответствие с нормативните документи</w:t>
            </w:r>
            <w:r w:rsidRPr="00A424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 xml:space="preserve">отразяване на дейностите на МВнР и ДКП във виртуалното </w:t>
            </w:r>
            <w:r w:rsidRPr="00A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пространство вкл. социални мрежи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Служители от МВнР, обучавани в програми на Дипломатическия институт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A424D8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Theme="majorHAnsi" w:hAnsiTheme="majorHAnsi"/>
                <w:sz w:val="20"/>
              </w:rPr>
              <w:t>250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A424D8" w:rsidRDefault="008F7769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424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Управление на човешките ресурси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Заседания на Кариерна комисия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E76B98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Оптимално управление и поддръжка на сградния фонд</w:t>
            </w:r>
          </w:p>
          <w:p w:rsidR="008F7769" w:rsidRPr="00A424D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Планови ремонти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Ефективно финансово и бюджетно управление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Финансово обезпечаване на дипломатическата служба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Развитие на информационни системи и технологии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Висока степен на изпълнение</w:t>
            </w:r>
          </w:p>
        </w:tc>
      </w:tr>
      <w:tr w:rsidR="00A424D8" w:rsidRPr="00A424D8" w:rsidTr="00A424D8">
        <w:trPr>
          <w:trHeight w:val="390"/>
          <w:jc w:val="center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Изграждане, поддържане и развитие на системите за сигурност в ЦУ и ЗП</w:t>
            </w:r>
          </w:p>
          <w:p w:rsidR="008F7769" w:rsidRPr="00A424D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Брой придобити ДМА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A424D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A424D8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</w:tr>
    </w:tbl>
    <w:p w:rsidR="00596E12" w:rsidRPr="003738C7" w:rsidRDefault="00596E12" w:rsidP="00596E1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E12" w:rsidRPr="003738C7" w:rsidRDefault="00596E12" w:rsidP="00596E12">
      <w:pPr>
        <w:shd w:val="clear" w:color="auto" w:fill="FBD4B4" w:themeFill="accent6" w:themeFillTint="66"/>
        <w:spacing w:after="0" w:line="240" w:lineRule="auto"/>
        <w:ind w:firstLine="284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738C7">
        <w:rPr>
          <w:rFonts w:ascii="Times New Roman" w:hAnsi="Times New Roman" w:cs="Times New Roman"/>
          <w:b/>
          <w:caps/>
          <w:sz w:val="24"/>
          <w:szCs w:val="24"/>
        </w:rPr>
        <w:t xml:space="preserve">Област на политика: </w:t>
      </w:r>
      <w:r w:rsidRPr="003738C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„ПУБЛИЧНА ДИПЛОМАЦИЯ И ПУБЛИЧНИ ДЕЙНОСТИ В ПОДКРЕПА НА ЦЕЛИТЕ НА ВЪНШНАТА ПОЛИТИКА”</w:t>
      </w:r>
    </w:p>
    <w:p w:rsidR="00596E12" w:rsidRPr="003738C7" w:rsidRDefault="00596E12" w:rsidP="008F77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>Стратегическа цел на политиката е генериране на благоприятна вътрешна и външна среда, осигуряваща успешно изпълнение на външнополитическ</w:t>
      </w:r>
      <w:r w:rsidR="00DC40AA" w:rsidRPr="003738C7">
        <w:rPr>
          <w:rFonts w:ascii="Times New Roman" w:hAnsi="Times New Roman" w:cs="Times New Roman"/>
          <w:sz w:val="24"/>
          <w:szCs w:val="24"/>
        </w:rPr>
        <w:t xml:space="preserve">ите </w:t>
      </w:r>
      <w:r w:rsidRPr="003738C7">
        <w:rPr>
          <w:rFonts w:ascii="Times New Roman" w:hAnsi="Times New Roman" w:cs="Times New Roman"/>
          <w:sz w:val="24"/>
          <w:szCs w:val="24"/>
        </w:rPr>
        <w:t xml:space="preserve">цели и приоритети, част от които </w:t>
      </w:r>
      <w:r w:rsidR="00DC40AA" w:rsidRPr="003738C7">
        <w:rPr>
          <w:rFonts w:ascii="Times New Roman" w:hAnsi="Times New Roman" w:cs="Times New Roman"/>
          <w:sz w:val="24"/>
          <w:szCs w:val="24"/>
        </w:rPr>
        <w:t xml:space="preserve">са: </w:t>
      </w:r>
      <w:r w:rsidRPr="003738C7">
        <w:rPr>
          <w:rFonts w:ascii="Times New Roman" w:hAnsi="Times New Roman" w:cs="Times New Roman"/>
          <w:sz w:val="24"/>
          <w:szCs w:val="24"/>
        </w:rPr>
        <w:t>насърчаване на публичната дискусия по актуални външнополитически теми</w:t>
      </w:r>
      <w:r w:rsidR="002650CC" w:rsidRPr="003738C7">
        <w:rPr>
          <w:rFonts w:ascii="Times New Roman" w:hAnsi="Times New Roman" w:cs="Times New Roman"/>
          <w:sz w:val="24"/>
          <w:szCs w:val="24"/>
        </w:rPr>
        <w:t>;</w:t>
      </w:r>
      <w:r w:rsidRPr="003738C7">
        <w:rPr>
          <w:rFonts w:ascii="Times New Roman" w:hAnsi="Times New Roman" w:cs="Times New Roman"/>
          <w:sz w:val="24"/>
          <w:szCs w:val="24"/>
        </w:rPr>
        <w:t xml:space="preserve"> </w:t>
      </w:r>
      <w:r w:rsidR="002650CC" w:rsidRPr="003738C7">
        <w:rPr>
          <w:rFonts w:ascii="Times New Roman" w:hAnsi="Times New Roman" w:cs="Times New Roman"/>
          <w:sz w:val="24"/>
          <w:szCs w:val="24"/>
        </w:rPr>
        <w:t xml:space="preserve">публикуване на разработки по теми с външнополитически характер; </w:t>
      </w:r>
      <w:r w:rsidRPr="003738C7">
        <w:rPr>
          <w:rFonts w:ascii="Times New Roman" w:hAnsi="Times New Roman" w:cs="Times New Roman"/>
          <w:sz w:val="24"/>
          <w:szCs w:val="24"/>
        </w:rPr>
        <w:t>приобщаване на българското общество и гражданските институции към външнополитическите позиции и действия на България; развитие на положителен публичен образ в страна</w:t>
      </w:r>
      <w:r w:rsidR="00882955" w:rsidRPr="003738C7">
        <w:rPr>
          <w:rFonts w:ascii="Times New Roman" w:hAnsi="Times New Roman" w:cs="Times New Roman"/>
          <w:sz w:val="24"/>
          <w:szCs w:val="24"/>
          <w:lang w:val="en-US"/>
        </w:rPr>
        <w:t>та</w:t>
      </w:r>
      <w:r w:rsidRPr="003738C7">
        <w:rPr>
          <w:rFonts w:ascii="Times New Roman" w:hAnsi="Times New Roman" w:cs="Times New Roman"/>
          <w:sz w:val="24"/>
          <w:szCs w:val="24"/>
        </w:rPr>
        <w:t xml:space="preserve"> и в чужбина.</w:t>
      </w:r>
    </w:p>
    <w:p w:rsidR="00596E12" w:rsidRPr="003738C7" w:rsidRDefault="00596E12" w:rsidP="008F77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lastRenderedPageBreak/>
        <w:t xml:space="preserve">Изведените ключови индикатори кореспондират със стратегическата цел на политиката, като създават възможност за остойностяване на дейността. </w:t>
      </w:r>
    </w:p>
    <w:p w:rsidR="00596E12" w:rsidRPr="003738C7" w:rsidRDefault="00596E12" w:rsidP="00596E1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5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485"/>
        <w:gridCol w:w="1291"/>
        <w:gridCol w:w="1333"/>
      </w:tblGrid>
      <w:tr w:rsidR="00A424D8" w:rsidRPr="00A424D8" w:rsidTr="002F7E31">
        <w:trPr>
          <w:trHeight w:val="10"/>
          <w:jc w:val="center"/>
        </w:trPr>
        <w:tc>
          <w:tcPr>
            <w:tcW w:w="8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F7E31" w:rsidRPr="00A424D8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КЛЮЧОВИ ИНДИКАТОРИ ЗА ИЗПЪЛНЕНИЕ И ЦЕЛЕВИ СТОЙНОСТИ</w:t>
            </w:r>
          </w:p>
        </w:tc>
      </w:tr>
      <w:tr w:rsidR="00A424D8" w:rsidRPr="00A424D8" w:rsidTr="002F7E31">
        <w:trPr>
          <w:trHeight w:val="9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Област на политика: „Публична дипломация</w:t>
            </w:r>
            <w:r w:rsidRPr="00A424D8">
              <w:rPr>
                <w:rFonts w:ascii="Times New Roman" w:hAnsi="Times New Roman" w:cs="Times New Roman"/>
                <w:iCs/>
                <w:sz w:val="20"/>
                <w:szCs w:val="20"/>
              </w:rPr>
              <w:t>“</w:t>
            </w:r>
          </w:p>
        </w:tc>
        <w:tc>
          <w:tcPr>
            <w:tcW w:w="24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CC99"/>
          </w:tcPr>
          <w:p w:rsidR="002F7E31" w:rsidRPr="00A424D8" w:rsidRDefault="002F7E31" w:rsidP="00B54F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F7E31" w:rsidRPr="00A424D8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Мерна единица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F7E31" w:rsidRPr="00A424D8" w:rsidRDefault="002F7E31" w:rsidP="00B54FE4">
            <w:pPr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 стойност</w:t>
            </w:r>
          </w:p>
        </w:tc>
      </w:tr>
      <w:tr w:rsidR="00A424D8" w:rsidRPr="00A424D8" w:rsidTr="002650CC">
        <w:trPr>
          <w:trHeight w:val="16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2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F7E31" w:rsidRPr="00A424D8" w:rsidRDefault="002F7E3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Програма 202</w:t>
            </w:r>
            <w:r w:rsid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A424D8" w:rsidRDefault="002F7E3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Отчет към </w:t>
            </w:r>
            <w:r w:rsid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r w:rsid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06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.20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  <w:r w:rsid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</w:tr>
      <w:tr w:rsidR="00A424D8" w:rsidRPr="00A424D8" w:rsidTr="00E44E7F">
        <w:trPr>
          <w:trHeight w:val="35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D8" w:rsidRPr="00A424D8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Подготвени национални и международни конференции, форуми и публични лекции у нас по основни външнополитически теми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D8" w:rsidRPr="00A424D8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8" w:rsidRPr="00AB39DA" w:rsidRDefault="00A424D8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9D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4D8" w:rsidRPr="00AB39DA" w:rsidRDefault="00A424D8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9D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424D8" w:rsidRPr="00A424D8" w:rsidTr="002650CC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D8" w:rsidRPr="00A424D8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Служители от държавната администрация, обучавани в програми на ДИ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D8" w:rsidRPr="00A424D8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D8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4D8" w:rsidRPr="00AB39DA" w:rsidRDefault="00A424D8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9DA"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4D8" w:rsidRPr="00AB39DA" w:rsidRDefault="00A424D8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9DA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</w:tc>
      </w:tr>
      <w:tr w:rsidR="00A424D8" w:rsidRPr="00A424D8" w:rsidTr="002650CC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 w:cs="Cambria"/>
                <w:sz w:val="18"/>
                <w:szCs w:val="18"/>
              </w:rPr>
              <w:t>Осъществени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проекти</w:t>
            </w:r>
            <w:r w:rsidRPr="00A424D8">
              <w:rPr>
                <w:rFonts w:ascii="Cambria" w:hAnsi="Cambria"/>
                <w:sz w:val="18"/>
                <w:szCs w:val="18"/>
              </w:rPr>
              <w:t>/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инициативи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със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задграничните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мисии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 (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Комуникационната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стратегия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на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България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за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ЕС</w:t>
            </w:r>
            <w:r w:rsidRPr="00A424D8">
              <w:rPr>
                <w:rFonts w:ascii="Cambria" w:hAnsi="Cambria"/>
                <w:sz w:val="18"/>
                <w:szCs w:val="18"/>
              </w:rPr>
              <w:t>).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 w:cs="Cambria"/>
                <w:sz w:val="18"/>
                <w:szCs w:val="18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/>
                <w:sz w:val="18"/>
                <w:szCs w:val="18"/>
              </w:rPr>
              <w:t>30</w:t>
            </w:r>
          </w:p>
        </w:tc>
      </w:tr>
      <w:tr w:rsidR="00A424D8" w:rsidRPr="00A424D8" w:rsidTr="002650CC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 w:cs="Cambria"/>
                <w:sz w:val="18"/>
                <w:szCs w:val="18"/>
              </w:rPr>
              <w:t>Реализирани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проекти</w:t>
            </w:r>
            <w:r w:rsidRPr="00A424D8">
              <w:rPr>
                <w:rFonts w:ascii="Cambria" w:hAnsi="Cambria"/>
                <w:sz w:val="18"/>
                <w:szCs w:val="18"/>
              </w:rPr>
              <w:t>/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инициативи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в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страната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чужбина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с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българските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общности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в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чужбина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други</w:t>
            </w:r>
            <w:r w:rsidRPr="00A424D8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A424D8">
              <w:rPr>
                <w:rFonts w:ascii="Cambria" w:hAnsi="Cambria" w:cs="Cambria"/>
                <w:sz w:val="18"/>
                <w:szCs w:val="18"/>
              </w:rPr>
              <w:t>партньори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 w:cs="Cambria"/>
                <w:sz w:val="18"/>
                <w:szCs w:val="18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0CC" w:rsidRPr="00A424D8" w:rsidRDefault="002650CC" w:rsidP="002650CC">
            <w:pPr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A424D8">
              <w:rPr>
                <w:rFonts w:ascii="Cambria" w:hAnsi="Cambria"/>
                <w:sz w:val="18"/>
                <w:szCs w:val="18"/>
              </w:rPr>
              <w:t>20</w:t>
            </w:r>
          </w:p>
        </w:tc>
      </w:tr>
    </w:tbl>
    <w:p w:rsidR="00596E12" w:rsidRPr="003738C7" w:rsidRDefault="00596E12" w:rsidP="00DC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E12" w:rsidRPr="003738C7" w:rsidRDefault="00596E12" w:rsidP="00596E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E5A3C" w:rsidRPr="003738C7" w:rsidRDefault="00596E12" w:rsidP="004E5A3C">
      <w:pPr>
        <w:shd w:val="clear" w:color="auto" w:fill="FBD4B4" w:themeFill="accent6" w:themeFillTint="66"/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738C7">
        <w:rPr>
          <w:rFonts w:ascii="Times New Roman" w:hAnsi="Times New Roman" w:cs="Times New Roman"/>
          <w:b/>
          <w:caps/>
          <w:sz w:val="24"/>
          <w:szCs w:val="24"/>
          <w:shd w:val="clear" w:color="auto" w:fill="FBD4B4" w:themeFill="accent6" w:themeFillTint="66"/>
        </w:rPr>
        <w:t xml:space="preserve">Област на политика: </w:t>
      </w:r>
      <w:r w:rsidRPr="003738C7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BD4B4" w:themeFill="accent6" w:themeFillTint="66"/>
        </w:rPr>
        <w:t xml:space="preserve">„ПОДКРЕПА ЗА БЪЛГАРСКИТЕ ОБЩНОСТИ И ЛИЦАТА С БЪЛГАРСКО САМОСЪЗНАНИЕ ЗАД ГРАНИЦА </w:t>
      </w:r>
      <w:r w:rsidRPr="003738C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”</w:t>
      </w:r>
    </w:p>
    <w:p w:rsidR="008F7769" w:rsidRPr="003738C7" w:rsidRDefault="008F7769" w:rsidP="002650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738C7">
        <w:rPr>
          <w:rFonts w:ascii="Times New Roman" w:hAnsi="Times New Roman" w:cs="Times New Roman"/>
          <w:sz w:val="24"/>
          <w:szCs w:val="24"/>
        </w:rPr>
        <w:t>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национална, културна и духовна идентичност на българските граждани по света и на българските общности в чужбина, както и създаване на условия за реинтеграция в обществено-икономическия живот на страната на потенциала на нашите сънародници в чужбина. Акцентът в дейността на Изпълнителната агенция за българите в чужбина е насочен  към работа с младото поколение българи в чужбина</w:t>
      </w:r>
      <w:r w:rsidR="00DC40AA" w:rsidRPr="003738C7">
        <w:rPr>
          <w:rFonts w:ascii="Times New Roman" w:hAnsi="Times New Roman" w:cs="Times New Roman"/>
          <w:sz w:val="24"/>
          <w:szCs w:val="24"/>
        </w:rPr>
        <w:t>.</w:t>
      </w:r>
      <w:r w:rsidRPr="003738C7">
        <w:rPr>
          <w:rFonts w:ascii="Times New Roman" w:hAnsi="Times New Roman" w:cs="Times New Roman"/>
          <w:sz w:val="24"/>
          <w:szCs w:val="24"/>
        </w:rPr>
        <w:t xml:space="preserve">  В тази вр</w:t>
      </w:r>
      <w:r w:rsidR="00DC40AA" w:rsidRPr="003738C7">
        <w:rPr>
          <w:rFonts w:ascii="Times New Roman" w:hAnsi="Times New Roman" w:cs="Times New Roman"/>
          <w:sz w:val="24"/>
          <w:szCs w:val="24"/>
        </w:rPr>
        <w:t xml:space="preserve">ъзка реализирането на различни </w:t>
      </w:r>
      <w:r w:rsidRPr="003738C7">
        <w:rPr>
          <w:rFonts w:ascii="Times New Roman" w:hAnsi="Times New Roman" w:cs="Times New Roman"/>
          <w:sz w:val="24"/>
          <w:szCs w:val="24"/>
        </w:rPr>
        <w:t xml:space="preserve">по характер и съдържание дейности в сферата </w:t>
      </w:r>
      <w:r w:rsidRPr="003738C7">
        <w:rPr>
          <w:rFonts w:ascii="Times New Roman" w:hAnsi="Times New Roman" w:cs="Times New Roman"/>
          <w:sz w:val="24"/>
          <w:szCs w:val="24"/>
        </w:rPr>
        <w:lastRenderedPageBreak/>
        <w:t xml:space="preserve">на българските традиции и изкуство е от изключително значение </w:t>
      </w:r>
      <w:r w:rsidR="00DC40AA" w:rsidRPr="003738C7">
        <w:rPr>
          <w:rFonts w:ascii="Times New Roman" w:hAnsi="Times New Roman" w:cs="Times New Roman"/>
          <w:sz w:val="24"/>
          <w:szCs w:val="24"/>
        </w:rPr>
        <w:t>за</w:t>
      </w:r>
      <w:r w:rsidRPr="003738C7">
        <w:rPr>
          <w:rFonts w:ascii="Times New Roman" w:hAnsi="Times New Roman" w:cs="Times New Roman"/>
          <w:sz w:val="24"/>
          <w:szCs w:val="24"/>
        </w:rPr>
        <w:t xml:space="preserve"> приобщаването на нашите сънародници в чужбина към техните корени.</w:t>
      </w:r>
    </w:p>
    <w:p w:rsidR="004E5A3C" w:rsidRPr="003738C7" w:rsidRDefault="00523824" w:rsidP="004E5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38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94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6"/>
        <w:gridCol w:w="2842"/>
        <w:gridCol w:w="1477"/>
        <w:gridCol w:w="1499"/>
      </w:tblGrid>
      <w:tr w:rsidR="00A424D8" w:rsidRPr="00A424D8" w:rsidTr="008A1C83">
        <w:trPr>
          <w:cantSplit/>
          <w:trHeight w:val="13"/>
          <w:jc w:val="center"/>
        </w:trPr>
        <w:tc>
          <w:tcPr>
            <w:tcW w:w="9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КЛЮЧОВИ ИНДИКАТОРИ ЗА ИЗПЪЛНЕНИЕ И ЦЕЛЕВИ СТОЙНОСТИ</w:t>
            </w:r>
          </w:p>
        </w:tc>
      </w:tr>
      <w:tr w:rsidR="00A424D8" w:rsidRPr="00A424D8" w:rsidTr="00A424D8">
        <w:trPr>
          <w:cantSplit/>
          <w:trHeight w:val="410"/>
          <w:jc w:val="center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Област на политика: „Публична дипломация</w:t>
            </w:r>
            <w:r w:rsidRPr="00A424D8">
              <w:rPr>
                <w:rFonts w:ascii="Times New Roman" w:hAnsi="Times New Roman" w:cs="Times New Roman"/>
                <w:iCs/>
                <w:sz w:val="18"/>
                <w:szCs w:val="18"/>
              </w:rPr>
              <w:t>“</w:t>
            </w:r>
          </w:p>
        </w:tc>
        <w:tc>
          <w:tcPr>
            <w:tcW w:w="28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Мерна единица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 стойност</w:t>
            </w:r>
          </w:p>
        </w:tc>
      </w:tr>
      <w:tr w:rsidR="00A424D8" w:rsidRPr="00A424D8" w:rsidTr="00A424D8">
        <w:trPr>
          <w:cantSplit/>
          <w:trHeight w:val="13"/>
          <w:jc w:val="center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424D8" w:rsidRPr="00A424D8" w:rsidRDefault="00A424D8" w:rsidP="00A42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на индикатора</w:t>
            </w:r>
          </w:p>
        </w:tc>
        <w:tc>
          <w:tcPr>
            <w:tcW w:w="28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A424D8" w:rsidRDefault="00A424D8" w:rsidP="00A424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A424D8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Програма 2023 г.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424D8" w:rsidRPr="00A424D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Отчет към 30.06.20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</w:t>
            </w:r>
            <w:r w:rsidRPr="00A424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г.</w:t>
            </w:r>
          </w:p>
        </w:tc>
      </w:tr>
      <w:tr w:rsidR="00A424D8" w:rsidRPr="00A424D8" w:rsidTr="00A424D8">
        <w:trPr>
          <w:cantSplit/>
          <w:trHeight w:val="13"/>
          <w:jc w:val="center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b/>
                <w:sz w:val="18"/>
                <w:szCs w:val="18"/>
              </w:rPr>
              <w:t>Ефективност при оказване на подкрепа за българските общности и лицата с българско самосъзнание в чужбина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sz w:val="18"/>
                <w:szCs w:val="18"/>
              </w:rPr>
              <w:t>Степен на ефективност</w:t>
            </w:r>
          </w:p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sz w:val="18"/>
                <w:szCs w:val="18"/>
              </w:rPr>
              <w:t xml:space="preserve">Постигане на целевите стойности на показателите за изпълнение в програма 1100.03.01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3C" w:rsidRPr="00A424D8" w:rsidRDefault="004E5A3C" w:rsidP="004E5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424D8">
              <w:rPr>
                <w:rFonts w:ascii="Times New Roman" w:hAnsi="Times New Roman" w:cs="Times New Roman"/>
                <w:sz w:val="18"/>
                <w:szCs w:val="18"/>
              </w:rPr>
              <w:t>Постигане на целевите стойности на показателите за изпълнение в програма 1100.03.01</w:t>
            </w:r>
          </w:p>
        </w:tc>
      </w:tr>
    </w:tbl>
    <w:p w:rsidR="00596E12" w:rsidRPr="00596E12" w:rsidRDefault="00596E12" w:rsidP="004E5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6E12" w:rsidRPr="00596E12" w:rsidSect="00B627AB">
      <w:footerReference w:type="default" r:id="rId8"/>
      <w:pgSz w:w="11906" w:h="16838"/>
      <w:pgMar w:top="851" w:right="1417" w:bottom="1417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46F" w:rsidRDefault="0029346F" w:rsidP="00CF54A3">
      <w:pPr>
        <w:spacing w:after="0" w:line="240" w:lineRule="auto"/>
      </w:pPr>
      <w:r>
        <w:separator/>
      </w:r>
    </w:p>
  </w:endnote>
  <w:endnote w:type="continuationSeparator" w:id="0">
    <w:p w:rsidR="0029346F" w:rsidRDefault="0029346F" w:rsidP="00CF54A3">
      <w:pPr>
        <w:spacing w:after="0" w:line="240" w:lineRule="auto"/>
      </w:pPr>
      <w:r>
        <w:continuationSeparator/>
      </w:r>
    </w:p>
  </w:endnote>
  <w:endnote w:type="continuationNotice" w:id="1">
    <w:p w:rsidR="0029346F" w:rsidRDefault="002934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2761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43D5" w:rsidRDefault="009F43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C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43D5" w:rsidRDefault="009F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46F" w:rsidRDefault="0029346F" w:rsidP="00CF54A3">
      <w:pPr>
        <w:spacing w:after="0" w:line="240" w:lineRule="auto"/>
      </w:pPr>
      <w:r>
        <w:separator/>
      </w:r>
    </w:p>
  </w:footnote>
  <w:footnote w:type="continuationSeparator" w:id="0">
    <w:p w:rsidR="0029346F" w:rsidRDefault="0029346F" w:rsidP="00CF54A3">
      <w:pPr>
        <w:spacing w:after="0" w:line="240" w:lineRule="auto"/>
      </w:pPr>
      <w:r>
        <w:continuationSeparator/>
      </w:r>
    </w:p>
  </w:footnote>
  <w:footnote w:type="continuationNotice" w:id="1">
    <w:p w:rsidR="0029346F" w:rsidRDefault="002934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40FA5"/>
    <w:multiLevelType w:val="hybridMultilevel"/>
    <w:tmpl w:val="1EC49BDC"/>
    <w:lvl w:ilvl="0" w:tplc="FF200B2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1043354"/>
    <w:multiLevelType w:val="hybridMultilevel"/>
    <w:tmpl w:val="D6BA17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3335D"/>
    <w:multiLevelType w:val="hybridMultilevel"/>
    <w:tmpl w:val="429AA376"/>
    <w:lvl w:ilvl="0" w:tplc="BD40FBA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04949"/>
    <w:rsid w:val="00006534"/>
    <w:rsid w:val="00010AA2"/>
    <w:rsid w:val="00020ECE"/>
    <w:rsid w:val="000217DD"/>
    <w:rsid w:val="000341A4"/>
    <w:rsid w:val="00044170"/>
    <w:rsid w:val="00045F0D"/>
    <w:rsid w:val="00091C5B"/>
    <w:rsid w:val="000A0E83"/>
    <w:rsid w:val="000A695A"/>
    <w:rsid w:val="000A6DB4"/>
    <w:rsid w:val="000B5D6E"/>
    <w:rsid w:val="000B6767"/>
    <w:rsid w:val="000C6685"/>
    <w:rsid w:val="000C73E2"/>
    <w:rsid w:val="000D11C3"/>
    <w:rsid w:val="000F37EB"/>
    <w:rsid w:val="00101CAD"/>
    <w:rsid w:val="0010575E"/>
    <w:rsid w:val="001102D0"/>
    <w:rsid w:val="001210D8"/>
    <w:rsid w:val="001221E4"/>
    <w:rsid w:val="00125355"/>
    <w:rsid w:val="0013362F"/>
    <w:rsid w:val="00146B0C"/>
    <w:rsid w:val="001651D4"/>
    <w:rsid w:val="00175C28"/>
    <w:rsid w:val="00181BF4"/>
    <w:rsid w:val="00191852"/>
    <w:rsid w:val="00192596"/>
    <w:rsid w:val="00192F0C"/>
    <w:rsid w:val="001A02B6"/>
    <w:rsid w:val="001A2D1C"/>
    <w:rsid w:val="001A6EE1"/>
    <w:rsid w:val="001A7F79"/>
    <w:rsid w:val="001B18EC"/>
    <w:rsid w:val="001B68B2"/>
    <w:rsid w:val="001C4D4E"/>
    <w:rsid w:val="001E3C03"/>
    <w:rsid w:val="001E7B2E"/>
    <w:rsid w:val="001F37A9"/>
    <w:rsid w:val="001F6932"/>
    <w:rsid w:val="00201B62"/>
    <w:rsid w:val="00202473"/>
    <w:rsid w:val="002058F9"/>
    <w:rsid w:val="0021141E"/>
    <w:rsid w:val="00211847"/>
    <w:rsid w:val="0021648C"/>
    <w:rsid w:val="00223EEC"/>
    <w:rsid w:val="00225EE5"/>
    <w:rsid w:val="00230093"/>
    <w:rsid w:val="00235BF0"/>
    <w:rsid w:val="00244AB7"/>
    <w:rsid w:val="00251072"/>
    <w:rsid w:val="00251209"/>
    <w:rsid w:val="00261821"/>
    <w:rsid w:val="002650CC"/>
    <w:rsid w:val="00272806"/>
    <w:rsid w:val="00274DAF"/>
    <w:rsid w:val="002814EC"/>
    <w:rsid w:val="002859E3"/>
    <w:rsid w:val="0029346F"/>
    <w:rsid w:val="002A0D4F"/>
    <w:rsid w:val="002C5784"/>
    <w:rsid w:val="002D1339"/>
    <w:rsid w:val="002E363C"/>
    <w:rsid w:val="002F17B0"/>
    <w:rsid w:val="002F7E31"/>
    <w:rsid w:val="00301042"/>
    <w:rsid w:val="0030176A"/>
    <w:rsid w:val="00302975"/>
    <w:rsid w:val="00306E4D"/>
    <w:rsid w:val="00310EFB"/>
    <w:rsid w:val="00313CC3"/>
    <w:rsid w:val="00320AF9"/>
    <w:rsid w:val="0032516B"/>
    <w:rsid w:val="00332177"/>
    <w:rsid w:val="00341F72"/>
    <w:rsid w:val="00355582"/>
    <w:rsid w:val="00355FCC"/>
    <w:rsid w:val="003738C7"/>
    <w:rsid w:val="00385656"/>
    <w:rsid w:val="003A3523"/>
    <w:rsid w:val="003B1A85"/>
    <w:rsid w:val="003B3082"/>
    <w:rsid w:val="003C05B6"/>
    <w:rsid w:val="003D3327"/>
    <w:rsid w:val="003D487D"/>
    <w:rsid w:val="003D5493"/>
    <w:rsid w:val="003F71AB"/>
    <w:rsid w:val="00400229"/>
    <w:rsid w:val="00422E72"/>
    <w:rsid w:val="004270F7"/>
    <w:rsid w:val="00430152"/>
    <w:rsid w:val="004465F6"/>
    <w:rsid w:val="00455761"/>
    <w:rsid w:val="00460D4D"/>
    <w:rsid w:val="00462560"/>
    <w:rsid w:val="004714B7"/>
    <w:rsid w:val="004718D8"/>
    <w:rsid w:val="00486511"/>
    <w:rsid w:val="0049053F"/>
    <w:rsid w:val="00497493"/>
    <w:rsid w:val="004A4590"/>
    <w:rsid w:val="004A4890"/>
    <w:rsid w:val="004A4E36"/>
    <w:rsid w:val="004B015A"/>
    <w:rsid w:val="004B4580"/>
    <w:rsid w:val="004C2DE9"/>
    <w:rsid w:val="004C4EF3"/>
    <w:rsid w:val="004C5B58"/>
    <w:rsid w:val="004C5BE9"/>
    <w:rsid w:val="004D2907"/>
    <w:rsid w:val="004D5AC3"/>
    <w:rsid w:val="004E5A3C"/>
    <w:rsid w:val="004E6549"/>
    <w:rsid w:val="004E6714"/>
    <w:rsid w:val="004F19C3"/>
    <w:rsid w:val="004F7F53"/>
    <w:rsid w:val="0050131E"/>
    <w:rsid w:val="005069CD"/>
    <w:rsid w:val="00510577"/>
    <w:rsid w:val="0051757E"/>
    <w:rsid w:val="00523824"/>
    <w:rsid w:val="00526738"/>
    <w:rsid w:val="00530CB6"/>
    <w:rsid w:val="00554FC2"/>
    <w:rsid w:val="005678F7"/>
    <w:rsid w:val="00582B51"/>
    <w:rsid w:val="005915E5"/>
    <w:rsid w:val="00596E12"/>
    <w:rsid w:val="005A3157"/>
    <w:rsid w:val="005A70D0"/>
    <w:rsid w:val="005B7DD1"/>
    <w:rsid w:val="005D33A0"/>
    <w:rsid w:val="005E1CBE"/>
    <w:rsid w:val="005E1E95"/>
    <w:rsid w:val="005E672A"/>
    <w:rsid w:val="005E7B3C"/>
    <w:rsid w:val="005F334F"/>
    <w:rsid w:val="005F68F3"/>
    <w:rsid w:val="00606A46"/>
    <w:rsid w:val="006163F5"/>
    <w:rsid w:val="00623381"/>
    <w:rsid w:val="00636F1F"/>
    <w:rsid w:val="00655DF5"/>
    <w:rsid w:val="0065788E"/>
    <w:rsid w:val="0066565F"/>
    <w:rsid w:val="0068786E"/>
    <w:rsid w:val="00694D0B"/>
    <w:rsid w:val="006A6772"/>
    <w:rsid w:val="006C1940"/>
    <w:rsid w:val="006C4334"/>
    <w:rsid w:val="006D1ADA"/>
    <w:rsid w:val="006F09B6"/>
    <w:rsid w:val="006F29B0"/>
    <w:rsid w:val="00700CCF"/>
    <w:rsid w:val="0070223E"/>
    <w:rsid w:val="00703B68"/>
    <w:rsid w:val="00705F9D"/>
    <w:rsid w:val="00721A70"/>
    <w:rsid w:val="0073169D"/>
    <w:rsid w:val="0073242F"/>
    <w:rsid w:val="00737E42"/>
    <w:rsid w:val="007537B3"/>
    <w:rsid w:val="00756B0A"/>
    <w:rsid w:val="007570E0"/>
    <w:rsid w:val="00760BC2"/>
    <w:rsid w:val="00766A55"/>
    <w:rsid w:val="007740D7"/>
    <w:rsid w:val="00785182"/>
    <w:rsid w:val="00787E30"/>
    <w:rsid w:val="007B6528"/>
    <w:rsid w:val="007B7D51"/>
    <w:rsid w:val="007C14BC"/>
    <w:rsid w:val="007C2C72"/>
    <w:rsid w:val="007C628B"/>
    <w:rsid w:val="007E7717"/>
    <w:rsid w:val="008114F1"/>
    <w:rsid w:val="00816F4D"/>
    <w:rsid w:val="00833875"/>
    <w:rsid w:val="0084407F"/>
    <w:rsid w:val="00850EBA"/>
    <w:rsid w:val="00855385"/>
    <w:rsid w:val="00856D4A"/>
    <w:rsid w:val="00882522"/>
    <w:rsid w:val="00882955"/>
    <w:rsid w:val="00892829"/>
    <w:rsid w:val="008928AF"/>
    <w:rsid w:val="00893030"/>
    <w:rsid w:val="00895F9C"/>
    <w:rsid w:val="008A029A"/>
    <w:rsid w:val="008A1C83"/>
    <w:rsid w:val="008B15B4"/>
    <w:rsid w:val="008B3BAB"/>
    <w:rsid w:val="008B4CD2"/>
    <w:rsid w:val="008C105C"/>
    <w:rsid w:val="008C16C3"/>
    <w:rsid w:val="008F1479"/>
    <w:rsid w:val="008F199A"/>
    <w:rsid w:val="008F7769"/>
    <w:rsid w:val="009032DF"/>
    <w:rsid w:val="00904193"/>
    <w:rsid w:val="00905135"/>
    <w:rsid w:val="00914492"/>
    <w:rsid w:val="00934821"/>
    <w:rsid w:val="00950E50"/>
    <w:rsid w:val="00951346"/>
    <w:rsid w:val="00962D16"/>
    <w:rsid w:val="009754CB"/>
    <w:rsid w:val="0099359E"/>
    <w:rsid w:val="009A2345"/>
    <w:rsid w:val="009A561F"/>
    <w:rsid w:val="009A7122"/>
    <w:rsid w:val="009B005E"/>
    <w:rsid w:val="009B71C5"/>
    <w:rsid w:val="009D062E"/>
    <w:rsid w:val="009D2E9C"/>
    <w:rsid w:val="009E4C4E"/>
    <w:rsid w:val="009F156F"/>
    <w:rsid w:val="009F43D5"/>
    <w:rsid w:val="00A04A9E"/>
    <w:rsid w:val="00A21989"/>
    <w:rsid w:val="00A23258"/>
    <w:rsid w:val="00A23C36"/>
    <w:rsid w:val="00A30324"/>
    <w:rsid w:val="00A32220"/>
    <w:rsid w:val="00A40F3B"/>
    <w:rsid w:val="00A41FC2"/>
    <w:rsid w:val="00A424D8"/>
    <w:rsid w:val="00A42EDF"/>
    <w:rsid w:val="00A50D68"/>
    <w:rsid w:val="00A51C76"/>
    <w:rsid w:val="00A5210F"/>
    <w:rsid w:val="00A73BCB"/>
    <w:rsid w:val="00A76D99"/>
    <w:rsid w:val="00A76EB3"/>
    <w:rsid w:val="00A80A43"/>
    <w:rsid w:val="00A81DD4"/>
    <w:rsid w:val="00A90846"/>
    <w:rsid w:val="00A95A3F"/>
    <w:rsid w:val="00AB5328"/>
    <w:rsid w:val="00AC4769"/>
    <w:rsid w:val="00AD1A7E"/>
    <w:rsid w:val="00AD3355"/>
    <w:rsid w:val="00AD6416"/>
    <w:rsid w:val="00AD6F15"/>
    <w:rsid w:val="00AE0B4B"/>
    <w:rsid w:val="00AE197A"/>
    <w:rsid w:val="00AF740E"/>
    <w:rsid w:val="00B01068"/>
    <w:rsid w:val="00B10BB8"/>
    <w:rsid w:val="00B118BE"/>
    <w:rsid w:val="00B11A55"/>
    <w:rsid w:val="00B2033F"/>
    <w:rsid w:val="00B4183E"/>
    <w:rsid w:val="00B4328C"/>
    <w:rsid w:val="00B4524E"/>
    <w:rsid w:val="00B55D0F"/>
    <w:rsid w:val="00B627AB"/>
    <w:rsid w:val="00B755E2"/>
    <w:rsid w:val="00B76FD3"/>
    <w:rsid w:val="00B84DC3"/>
    <w:rsid w:val="00B87646"/>
    <w:rsid w:val="00BA0712"/>
    <w:rsid w:val="00BB1312"/>
    <w:rsid w:val="00BB5A29"/>
    <w:rsid w:val="00BC3477"/>
    <w:rsid w:val="00BC7E76"/>
    <w:rsid w:val="00BF6B08"/>
    <w:rsid w:val="00C031A7"/>
    <w:rsid w:val="00C05180"/>
    <w:rsid w:val="00C06D13"/>
    <w:rsid w:val="00C131A1"/>
    <w:rsid w:val="00C147D7"/>
    <w:rsid w:val="00C206DF"/>
    <w:rsid w:val="00C2390B"/>
    <w:rsid w:val="00C24419"/>
    <w:rsid w:val="00C2657E"/>
    <w:rsid w:val="00C31F0F"/>
    <w:rsid w:val="00C32C91"/>
    <w:rsid w:val="00C540B4"/>
    <w:rsid w:val="00C9236C"/>
    <w:rsid w:val="00C9696C"/>
    <w:rsid w:val="00CA2B5A"/>
    <w:rsid w:val="00CA2BF7"/>
    <w:rsid w:val="00CA3EA0"/>
    <w:rsid w:val="00CB17AA"/>
    <w:rsid w:val="00CB2416"/>
    <w:rsid w:val="00CB3669"/>
    <w:rsid w:val="00CC29E0"/>
    <w:rsid w:val="00CC446A"/>
    <w:rsid w:val="00CD0FD0"/>
    <w:rsid w:val="00CD313A"/>
    <w:rsid w:val="00CD3E8F"/>
    <w:rsid w:val="00CE5267"/>
    <w:rsid w:val="00CF3CCC"/>
    <w:rsid w:val="00CF54A3"/>
    <w:rsid w:val="00D3250B"/>
    <w:rsid w:val="00D336C1"/>
    <w:rsid w:val="00D51AEB"/>
    <w:rsid w:val="00D5408B"/>
    <w:rsid w:val="00D545AA"/>
    <w:rsid w:val="00D61887"/>
    <w:rsid w:val="00D7312D"/>
    <w:rsid w:val="00D97AE7"/>
    <w:rsid w:val="00DA0435"/>
    <w:rsid w:val="00DA159B"/>
    <w:rsid w:val="00DA16A2"/>
    <w:rsid w:val="00DA2C34"/>
    <w:rsid w:val="00DA4F38"/>
    <w:rsid w:val="00DA7D34"/>
    <w:rsid w:val="00DB0CA6"/>
    <w:rsid w:val="00DB30DF"/>
    <w:rsid w:val="00DB3BDE"/>
    <w:rsid w:val="00DB7E31"/>
    <w:rsid w:val="00DC2C1D"/>
    <w:rsid w:val="00DC40AA"/>
    <w:rsid w:val="00DD0946"/>
    <w:rsid w:val="00DD0D8E"/>
    <w:rsid w:val="00DD2ABE"/>
    <w:rsid w:val="00DF4265"/>
    <w:rsid w:val="00E04796"/>
    <w:rsid w:val="00E06CD3"/>
    <w:rsid w:val="00E11C09"/>
    <w:rsid w:val="00E20CCB"/>
    <w:rsid w:val="00E21410"/>
    <w:rsid w:val="00E25801"/>
    <w:rsid w:val="00E27149"/>
    <w:rsid w:val="00E319B2"/>
    <w:rsid w:val="00E41BE8"/>
    <w:rsid w:val="00E42F90"/>
    <w:rsid w:val="00E67187"/>
    <w:rsid w:val="00E73CB1"/>
    <w:rsid w:val="00E76B98"/>
    <w:rsid w:val="00E85074"/>
    <w:rsid w:val="00E91103"/>
    <w:rsid w:val="00EA2A29"/>
    <w:rsid w:val="00EB1CB5"/>
    <w:rsid w:val="00EB3BA2"/>
    <w:rsid w:val="00EC1F1F"/>
    <w:rsid w:val="00EC4198"/>
    <w:rsid w:val="00ED6003"/>
    <w:rsid w:val="00EE2A26"/>
    <w:rsid w:val="00EE3CED"/>
    <w:rsid w:val="00EE4D02"/>
    <w:rsid w:val="00EE63D7"/>
    <w:rsid w:val="00EF0F03"/>
    <w:rsid w:val="00F000E5"/>
    <w:rsid w:val="00F172D1"/>
    <w:rsid w:val="00F20589"/>
    <w:rsid w:val="00F22561"/>
    <w:rsid w:val="00F67809"/>
    <w:rsid w:val="00F81CAC"/>
    <w:rsid w:val="00FA662D"/>
    <w:rsid w:val="00FB60AD"/>
    <w:rsid w:val="00FE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36A4E-40D6-4CF9-8A5A-3BB27457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,列出段落1,List Paragraph2,List Paragraph21,Listeafsnit1,Parágrafo da Lista1,リスト段落1,L"/>
    <w:basedOn w:val="Normal"/>
    <w:link w:val="ListParagraphChar"/>
    <w:uiPriority w:val="99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 Char,列出段落1 Char,List Paragraph2 Char"/>
    <w:basedOn w:val="DefaultParagraphFont"/>
    <w:link w:val="ListParagraph"/>
    <w:uiPriority w:val="99"/>
    <w:qFormat/>
    <w:rsid w:val="00A32220"/>
  </w:style>
  <w:style w:type="paragraph" w:styleId="BalloonText">
    <w:name w:val="Balloon Text"/>
    <w:basedOn w:val="Normal"/>
    <w:link w:val="BalloonTextChar"/>
    <w:uiPriority w:val="99"/>
    <w:semiHidden/>
    <w:unhideWhenUsed/>
    <w:rsid w:val="004C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D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A3"/>
  </w:style>
  <w:style w:type="paragraph" w:styleId="Footer">
    <w:name w:val="footer"/>
    <w:basedOn w:val="Normal"/>
    <w:link w:val="Foot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A3"/>
  </w:style>
  <w:style w:type="character" w:styleId="CommentReference">
    <w:name w:val="annotation reference"/>
    <w:basedOn w:val="DefaultParagraphFont"/>
    <w:uiPriority w:val="99"/>
    <w:semiHidden/>
    <w:unhideWhenUsed/>
    <w:rsid w:val="00EE6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3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3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3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3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7E31"/>
    <w:pPr>
      <w:spacing w:after="0" w:line="240" w:lineRule="auto"/>
    </w:pPr>
  </w:style>
  <w:style w:type="paragraph" w:styleId="NoSpacing">
    <w:name w:val="No Spacing"/>
    <w:uiPriority w:val="1"/>
    <w:qFormat/>
    <w:rsid w:val="00265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DB3E0-AD32-4DF4-935D-149DAA62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Emil Milanov</cp:lastModifiedBy>
  <cp:revision>2</cp:revision>
  <cp:lastPrinted>2022-09-30T08:06:00Z</cp:lastPrinted>
  <dcterms:created xsi:type="dcterms:W3CDTF">2023-07-21T11:50:00Z</dcterms:created>
  <dcterms:modified xsi:type="dcterms:W3CDTF">2023-07-21T11:50:00Z</dcterms:modified>
</cp:coreProperties>
</file>