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66C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66CA5">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66CA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66CA5">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66CA5">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66C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F89564E" w:rsidR="00377580" w:rsidRPr="00080A71" w:rsidRDefault="00402FDE" w:rsidP="005F6927">
                <w:pPr>
                  <w:tabs>
                    <w:tab w:val="left" w:pos="426"/>
                  </w:tabs>
                  <w:rPr>
                    <w:bCs/>
                    <w:lang w:val="en-IE" w:eastAsia="en-GB"/>
                  </w:rPr>
                </w:pPr>
                <w:r>
                  <w:rPr>
                    <w:bCs/>
                    <w:lang w:val="fr-BE" w:eastAsia="en-GB"/>
                  </w:rPr>
                  <w:t>INTPA G1</w:t>
                </w:r>
              </w:p>
            </w:tc>
          </w:sdtContent>
        </w:sdt>
      </w:tr>
      <w:tr w:rsidR="00377580" w:rsidRPr="00402FD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5DE95A9" w:rsidR="00377580" w:rsidRPr="00080A71" w:rsidRDefault="00402FDE" w:rsidP="005F6927">
                <w:pPr>
                  <w:tabs>
                    <w:tab w:val="left" w:pos="426"/>
                  </w:tabs>
                  <w:rPr>
                    <w:bCs/>
                    <w:lang w:val="en-IE" w:eastAsia="en-GB"/>
                  </w:rPr>
                </w:pPr>
                <w:r>
                  <w:rPr>
                    <w:bCs/>
                    <w:lang w:val="fr-BE" w:eastAsia="en-GB"/>
                  </w:rPr>
                  <w:t>239454</w:t>
                </w:r>
              </w:p>
            </w:tc>
          </w:sdtContent>
        </w:sdt>
      </w:tr>
      <w:tr w:rsidR="00377580" w:rsidRPr="0062684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EBF116B" w:rsidR="00377580" w:rsidRPr="00080A71" w:rsidRDefault="00402FDE" w:rsidP="005F6927">
                <w:pPr>
                  <w:tabs>
                    <w:tab w:val="left" w:pos="426"/>
                  </w:tabs>
                  <w:rPr>
                    <w:bCs/>
                    <w:lang w:val="en-IE" w:eastAsia="en-GB"/>
                  </w:rPr>
                </w:pPr>
                <w:r w:rsidRPr="00402FDE">
                  <w:rPr>
                    <w:bCs/>
                    <w:lang w:val="en-IE" w:eastAsia="en-GB"/>
                  </w:rPr>
                  <w:t>JONATHAN VAN</w:t>
                </w:r>
                <w:r>
                  <w:rPr>
                    <w:bCs/>
                    <w:lang w:val="en-IE" w:eastAsia="en-GB"/>
                  </w:rPr>
                  <w:t xml:space="preserve"> MEERBEECK</w:t>
                </w:r>
              </w:p>
            </w:sdtContent>
          </w:sdt>
          <w:p w14:paraId="32DD8032" w14:textId="53368D5C" w:rsidR="00377580" w:rsidRPr="00402FDE" w:rsidRDefault="00E66CA5"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377580" w:rsidRPr="00402FDE">
                  <w:rPr>
                    <w:bCs/>
                    <w:lang w:val="en-IE" w:eastAsia="en-GB"/>
                  </w:rPr>
                  <w:t>…</w:t>
                </w:r>
                <w:r w:rsidR="00626846">
                  <w:rPr>
                    <w:bCs/>
                    <w:lang w:val="en-IE" w:eastAsia="en-GB"/>
                  </w:rPr>
                  <w:t>4</w:t>
                </w:r>
              </w:sdtContent>
            </w:sdt>
            <w:r w:rsidR="00377580" w:rsidRPr="00402FDE">
              <w:rPr>
                <w:bCs/>
                <w:lang w:val="en-IE" w:eastAsia="en-GB"/>
              </w:rPr>
              <w:t xml:space="preserve"> trimestre </w:t>
            </w:r>
            <w:sdt>
              <w:sdtPr>
                <w:rPr>
                  <w:bCs/>
                  <w:lang w:val="fr-BE" w:eastAsia="en-GB"/>
                </w:rPr>
                <w:id w:val="1115250968"/>
                <w:placeholder>
                  <w:docPart w:val="DefaultPlaceholder_-1854013440"/>
                </w:placeholder>
              </w:sdtPr>
              <w:sdtEndPr/>
              <w:sdtContent>
                <w:r w:rsidR="00F65CC2" w:rsidRPr="00402FDE">
                  <w:rPr>
                    <w:bCs/>
                    <w:lang w:val="en-IE" w:eastAsia="en-GB"/>
                  </w:rPr>
                  <w:t>202</w:t>
                </w:r>
                <w:r w:rsidR="00402FDE">
                  <w:rPr>
                    <w:bCs/>
                    <w:lang w:val="en-IE" w:eastAsia="en-GB"/>
                  </w:rPr>
                  <w:t>3</w:t>
                </w:r>
              </w:sdtContent>
            </w:sdt>
          </w:p>
          <w:p w14:paraId="768BBE26" w14:textId="3F3F2973" w:rsidR="00377580" w:rsidRPr="00402FDE" w:rsidRDefault="00E66CA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402FDE">
                  <w:rPr>
                    <w:bCs/>
                    <w:lang w:val="en-IE" w:eastAsia="en-GB"/>
                  </w:rPr>
                  <w:t>…</w:t>
                </w:r>
                <w:r w:rsidR="00402FDE">
                  <w:rPr>
                    <w:bCs/>
                    <w:lang w:val="en-IE" w:eastAsia="en-GB"/>
                  </w:rPr>
                  <w:t>2</w:t>
                </w:r>
              </w:sdtContent>
            </w:sdt>
            <w:r w:rsidR="00377580" w:rsidRPr="00402FDE">
              <w:rPr>
                <w:bCs/>
                <w:lang w:val="en-IE" w:eastAsia="en-GB"/>
              </w:rPr>
              <w:t xml:space="preserve"> années</w:t>
            </w:r>
            <w:r w:rsidR="00377580" w:rsidRPr="00402FD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402FDE">
                  <w:rPr>
                    <w:rFonts w:ascii="MS Gothic" w:eastAsia="MS Gothic" w:hAnsi="MS Gothic" w:hint="eastAsia"/>
                    <w:bCs/>
                    <w:szCs w:val="24"/>
                    <w:lang w:val="en-IE" w:eastAsia="en-GB"/>
                  </w:rPr>
                  <w:t>☒</w:t>
                </w:r>
              </w:sdtContent>
            </w:sdt>
            <w:r w:rsidR="00377580" w:rsidRPr="00402FDE">
              <w:rPr>
                <w:bCs/>
                <w:lang w:val="en-IE" w:eastAsia="en-GB"/>
              </w:rPr>
              <w:t xml:space="preserve"> Bruxelles </w:t>
            </w:r>
            <w:r w:rsidR="0092295D" w:rsidRPr="00402FDE">
              <w:rPr>
                <w:bCs/>
                <w:lang w:val="en-IE" w:eastAsia="en-GB"/>
              </w:rPr>
              <w:t xml:space="preserve"> </w:t>
            </w:r>
            <w:r w:rsidR="00377580" w:rsidRPr="00402FD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402FDE">
                  <w:rPr>
                    <w:rFonts w:ascii="MS Gothic" w:eastAsia="MS Gothic" w:hAnsi="MS Gothic"/>
                    <w:bCs/>
                    <w:szCs w:val="24"/>
                    <w:lang w:val="en-IE" w:eastAsia="en-GB"/>
                  </w:rPr>
                  <w:t>☐</w:t>
                </w:r>
              </w:sdtContent>
            </w:sdt>
            <w:r w:rsidR="00377580" w:rsidRPr="00402FD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402FDE">
                  <w:rPr>
                    <w:rFonts w:ascii="MS Gothic" w:eastAsia="MS Gothic" w:hAnsi="MS Gothic"/>
                    <w:bCs/>
                    <w:szCs w:val="24"/>
                    <w:lang w:val="en-IE" w:eastAsia="en-GB"/>
                  </w:rPr>
                  <w:t>☐</w:t>
                </w:r>
              </w:sdtContent>
            </w:sdt>
            <w:r w:rsidR="00377580" w:rsidRPr="00402FD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402FDE">
                  <w:rPr>
                    <w:rStyle w:val="PlaceholderText"/>
                    <w:lang w:val="en-IE"/>
                  </w:rPr>
                  <w:t>Click or tap here to enter text.</w:t>
                </w:r>
              </w:sdtContent>
            </w:sdt>
          </w:p>
          <w:p w14:paraId="6A0ABCA6" w14:textId="77777777" w:rsidR="00377580" w:rsidRPr="00402FDE"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402FDE" w:rsidRDefault="00377580" w:rsidP="005F6927">
            <w:pPr>
              <w:tabs>
                <w:tab w:val="left" w:pos="426"/>
              </w:tabs>
              <w:spacing w:after="0"/>
              <w:rPr>
                <w:bCs/>
                <w:lang w:val="en-IE" w:eastAsia="en-GB"/>
              </w:rPr>
            </w:pPr>
          </w:p>
        </w:tc>
        <w:tc>
          <w:tcPr>
            <w:tcW w:w="5491" w:type="dxa"/>
          </w:tcPr>
          <w:p w14:paraId="448C3A1A" w14:textId="49A83820" w:rsidR="00377580" w:rsidRPr="001D3EEC" w:rsidRDefault="00E66CA5"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02FDE">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5FE9F373" w:rsidR="00377580" w:rsidRPr="001D3EEC" w:rsidRDefault="00E66CA5"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02FD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E66CA5"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E66CA5"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E66CA5"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E66CA5"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2521388" w:rsidR="00377580" w:rsidRPr="001D3EEC" w:rsidRDefault="00E66CA5"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402FDE">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5A3EAA6" w14:textId="77777777" w:rsidR="00626846" w:rsidRPr="00626846" w:rsidRDefault="00626846" w:rsidP="00626846">
          <w:pPr>
            <w:rPr>
              <w:lang w:val="fr-BE" w:eastAsia="en-GB"/>
            </w:rPr>
          </w:pPr>
          <w:r w:rsidRPr="00626846">
            <w:rPr>
              <w:lang w:val="fr-BE" w:eastAsia="en-GB"/>
            </w:rPr>
            <w:t>L’unité INTPA.G.1 est une unité dynamique et engagée qui œuvre à la promotion des Droits de l’Homme, de l’égalité des Chances et de la Gouvernance Démocratique dans le monde entier. L’unité est chargée de la gestion du programme thématique en faveur des Droits de l’Homme et de la Démocratie. Elle fournit un appui qualitatif au reste de la programmation de la coopération au développement, y compris aux délégations de l’UE, afin de garantir que l'approche au développement soit fondée sur les Droits de l’Homme et que la dimension de Genre soit intégrée ainsi que le soutien durable à la Démocratie, la Justice, l’Etat de Droit et les initiatives en matière de lutte contre la Corruption. L’unité est également chargée de contribuer au plan d’action en faveur des Droits de l’Homme et de la Démocratie et au plan d’action sur l’égalité des Chances, ainsi qu’à leur mise en œuvre.</w:t>
          </w:r>
        </w:p>
        <w:p w14:paraId="18140A21" w14:textId="2C6DDCAA" w:rsidR="001A0074" w:rsidRPr="00626846" w:rsidRDefault="00626846" w:rsidP="00626846">
          <w:pPr>
            <w:rPr>
              <w:lang w:val="fr-BE" w:eastAsia="en-GB"/>
            </w:rPr>
          </w:pPr>
          <w:r w:rsidRPr="00626846">
            <w:rPr>
              <w:lang w:val="fr-BE" w:eastAsia="en-GB"/>
            </w:rPr>
            <w:lastRenderedPageBreak/>
            <w:t>L'unité compte plus de 30 personnes avec une proportion équilibrée entre hommes et femmes.</w:t>
          </w:r>
        </w:p>
      </w:sdtContent>
    </w:sdt>
    <w:p w14:paraId="30B422AA" w14:textId="77777777" w:rsidR="00301CA3" w:rsidRPr="00626846"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p w14:paraId="3B1D2FA2" w14:textId="2DB85217" w:rsidR="001A0074" w:rsidRPr="00E66CA5" w:rsidRDefault="00E66CA5" w:rsidP="001A0074">
      <w:pPr>
        <w:rPr>
          <w:lang w:val="fr-BE" w:eastAsia="en-GB"/>
        </w:rPr>
      </w:pPr>
      <w:sdt>
        <w:sdtPr>
          <w:rPr>
            <w:lang w:val="fr-BE" w:eastAsia="en-GB"/>
          </w:rPr>
          <w:id w:val="-723136291"/>
          <w:placeholder>
            <w:docPart w:val="43375E7FB7294216B3B48CC222A08C2F"/>
          </w:placeholder>
        </w:sdtPr>
        <w:sdtEndPr/>
        <w:sdtContent>
          <w:r w:rsidRPr="00E66CA5">
            <w:rPr>
              <w:lang w:val="fr-BE" w:eastAsia="en-GB"/>
            </w:rPr>
            <w:t>Nous proposons un poste intéressant pour travailler sur la formulation des politiques et des programmes dans divers domaines en faveur des Droits de l’Homme, allant du soutien aux processus et acteurs multilatéraux en matière de Droits de l’Homme aux programmes dans des domaines thématiques tels que "Business and human rights" ou la Liberté de religion et de conviction, en passant par l’application du devoir de diligence en matière de Droits de l’Homme et une approche fondée sur les Droits de l’Homme dans tous les secteurs de coopération.</w:t>
          </w:r>
        </w:sdtContent>
      </w:sdt>
    </w:p>
    <w:p w14:paraId="3D69C09B" w14:textId="77777777" w:rsidR="00301CA3" w:rsidRPr="00E66CA5"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E409EA7" w14:textId="1A8DCE82" w:rsidR="001A0074" w:rsidRPr="00E66CA5" w:rsidRDefault="00E66CA5" w:rsidP="001A0074">
          <w:pPr>
            <w:pStyle w:val="ListNumber"/>
            <w:numPr>
              <w:ilvl w:val="0"/>
              <w:numId w:val="0"/>
            </w:numPr>
            <w:ind w:left="709" w:hanging="709"/>
            <w:rPr>
              <w:b/>
              <w:bCs/>
              <w:lang w:val="fr-BE" w:eastAsia="en-GB"/>
            </w:rPr>
          </w:pPr>
          <w:r w:rsidRPr="00E66CA5">
            <w:rPr>
              <w:b/>
              <w:bCs/>
              <w:lang w:val="fr-BE" w:eastAsia="en-GB"/>
            </w:rPr>
            <w:t xml:space="preserve">L’END fournira une expertise sur les droits de l'Homme en matière de droit international </w:t>
          </w:r>
          <w:r>
            <w:rPr>
              <w:b/>
              <w:bCs/>
              <w:lang w:val="fr-BE" w:eastAsia="en-GB"/>
            </w:rPr>
            <w:t xml:space="preserve">et </w:t>
          </w:r>
          <w:r w:rsidRPr="00E66CA5">
            <w:rPr>
              <w:b/>
              <w:bCs/>
              <w:lang w:val="fr-BE" w:eastAsia="en-GB"/>
            </w:rPr>
            <w:t>de coopération au développement afin de soutenir l’élaboration des politiques et les programmes dans le domaine des Droits de l’Homme, notamment dans des domaines tels que les droits économiques et sociaux et le devoir de diligence en matière de droits de l’homme (business and human rights).</w:t>
          </w:r>
        </w:p>
      </w:sdtContent>
    </w:sdt>
    <w:p w14:paraId="5D76C15C" w14:textId="77777777" w:rsidR="00F65CC2" w:rsidRPr="00E66CA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 xml:space="preserve">expert </w:t>
      </w:r>
      <w:r w:rsidR="004D3B51" w:rsidRPr="001D3EEC">
        <w:rPr>
          <w:lang w:val="fr-BE" w:eastAsia="en-GB"/>
        </w:rPr>
        <w:lastRenderedPageBreak/>
        <w:t>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02FDE"/>
    <w:rsid w:val="00443957"/>
    <w:rsid w:val="00462268"/>
    <w:rsid w:val="004D3B51"/>
    <w:rsid w:val="00626846"/>
    <w:rsid w:val="006A1CB2"/>
    <w:rsid w:val="006F23BA"/>
    <w:rsid w:val="0074301E"/>
    <w:rsid w:val="007A1396"/>
    <w:rsid w:val="007B5FAE"/>
    <w:rsid w:val="007E131B"/>
    <w:rsid w:val="008241B0"/>
    <w:rsid w:val="008315CD"/>
    <w:rsid w:val="008871C3"/>
    <w:rsid w:val="0092295D"/>
    <w:rsid w:val="00A917BE"/>
    <w:rsid w:val="00B31DC8"/>
    <w:rsid w:val="00BD011D"/>
    <w:rsid w:val="00C518F5"/>
    <w:rsid w:val="00E0579E"/>
    <w:rsid w:val="00E5708E"/>
    <w:rsid w:val="00E66CA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3</Pages>
  <Words>1009</Words>
  <Characters>5756</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6</cp:revision>
  <cp:lastPrinted>2023-04-18T07:01:00Z</cp:lastPrinted>
  <dcterms:created xsi:type="dcterms:W3CDTF">2023-04-21T13:13:00Z</dcterms:created>
  <dcterms:modified xsi:type="dcterms:W3CDTF">2023-08-14T15:20:00Z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