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ECA5" w14:textId="77777777" w:rsidR="002257EE" w:rsidRDefault="008F6BFE">
      <w:pPr>
        <w:pStyle w:val="BodyText"/>
        <w:ind w:left="101"/>
        <w:rPr>
          <w:sz w:val="20"/>
        </w:rPr>
      </w:pPr>
      <w:r>
        <w:rPr>
          <w:noProof/>
          <w:sz w:val="20"/>
        </w:rPr>
        <w:drawing>
          <wp:inline distT="0" distB="0" distL="0" distR="0" wp14:anchorId="066B446B" wp14:editId="5C2C77FD">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1F375EC5" w14:textId="77777777" w:rsidR="002257EE" w:rsidRDefault="008F6BFE">
      <w:pPr>
        <w:spacing w:before="68"/>
        <w:ind w:left="1698" w:right="2035"/>
        <w:jc w:val="center"/>
        <w:rPr>
          <w:b/>
          <w:sz w:val="24"/>
        </w:rPr>
      </w:pPr>
      <w:r>
        <w:rPr>
          <w:b/>
          <w:spacing w:val="-2"/>
          <w:sz w:val="24"/>
        </w:rPr>
        <w:t>STELLENAUSSCHREIBUNG</w:t>
      </w:r>
    </w:p>
    <w:p w14:paraId="2A3B638A" w14:textId="77777777" w:rsidR="002257EE" w:rsidRDefault="002257EE">
      <w:pPr>
        <w:pStyle w:val="BodyText"/>
        <w:spacing w:before="11"/>
        <w:rPr>
          <w:b/>
          <w:sz w:val="23"/>
        </w:rPr>
      </w:pPr>
    </w:p>
    <w:p w14:paraId="436672E9" w14:textId="77777777" w:rsidR="002257EE" w:rsidRDefault="008F6BFE">
      <w:pPr>
        <w:ind w:left="1699" w:right="2035"/>
        <w:jc w:val="center"/>
        <w:rPr>
          <w:b/>
          <w:sz w:val="24"/>
        </w:rPr>
      </w:pPr>
      <w:r>
        <w:rPr>
          <w:b/>
          <w:sz w:val="24"/>
        </w:rPr>
        <w:t>ABGEORDNETER</w:t>
      </w:r>
      <w:r>
        <w:rPr>
          <w:b/>
          <w:spacing w:val="-13"/>
          <w:sz w:val="24"/>
        </w:rPr>
        <w:t xml:space="preserve"> </w:t>
      </w:r>
      <w:r>
        <w:rPr>
          <w:b/>
          <w:sz w:val="24"/>
        </w:rPr>
        <w:t>NATIONALER</w:t>
      </w:r>
      <w:r>
        <w:rPr>
          <w:b/>
          <w:spacing w:val="-13"/>
          <w:sz w:val="24"/>
        </w:rPr>
        <w:t xml:space="preserve"> </w:t>
      </w:r>
      <w:r>
        <w:rPr>
          <w:b/>
          <w:sz w:val="24"/>
        </w:rPr>
        <w:t>SACHVERSTÄNDIGER</w:t>
      </w:r>
      <w:r>
        <w:rPr>
          <w:b/>
          <w:spacing w:val="-13"/>
          <w:sz w:val="24"/>
        </w:rPr>
        <w:t xml:space="preserve"> </w:t>
      </w:r>
      <w:r>
        <w:rPr>
          <w:b/>
          <w:sz w:val="24"/>
        </w:rPr>
        <w:t>ZUR EUROPÄISCHEN KOMMISSION</w:t>
      </w:r>
    </w:p>
    <w:p w14:paraId="4C531CF3" w14:textId="77777777" w:rsidR="002257EE" w:rsidRDefault="002257EE">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2257EE" w14:paraId="066C49BE" w14:textId="77777777">
        <w:trPr>
          <w:trHeight w:val="610"/>
        </w:trPr>
        <w:tc>
          <w:tcPr>
            <w:tcW w:w="4360" w:type="dxa"/>
          </w:tcPr>
          <w:p w14:paraId="2B8A7AFC" w14:textId="77777777" w:rsidR="002257EE" w:rsidRDefault="008F6BFE">
            <w:pPr>
              <w:pStyle w:val="TableParagraph"/>
              <w:rPr>
                <w:b/>
                <w:sz w:val="24"/>
              </w:rPr>
            </w:pPr>
            <w:r>
              <w:rPr>
                <w:b/>
                <w:spacing w:val="-2"/>
                <w:sz w:val="24"/>
              </w:rPr>
              <w:t>Stellenkennung:</w:t>
            </w:r>
          </w:p>
          <w:p w14:paraId="7A9CCDD1" w14:textId="77777777" w:rsidR="002257EE" w:rsidRDefault="008F6BFE">
            <w:pPr>
              <w:pStyle w:val="TableParagraph"/>
              <w:rPr>
                <w:sz w:val="24"/>
              </w:rPr>
            </w:pPr>
            <w:r>
              <w:rPr>
                <w:spacing w:val="-2"/>
                <w:sz w:val="24"/>
              </w:rPr>
              <w:t>(GD-DIR-REFERAT)</w:t>
            </w:r>
          </w:p>
        </w:tc>
        <w:tc>
          <w:tcPr>
            <w:tcW w:w="5597" w:type="dxa"/>
          </w:tcPr>
          <w:p w14:paraId="6C90B493" w14:textId="77777777" w:rsidR="002257EE" w:rsidRDefault="008F6BFE">
            <w:pPr>
              <w:pStyle w:val="TableParagraph"/>
              <w:spacing w:before="168"/>
              <w:rPr>
                <w:sz w:val="24"/>
              </w:rPr>
            </w:pPr>
            <w:r>
              <w:rPr>
                <w:spacing w:val="-2"/>
                <w:sz w:val="24"/>
              </w:rPr>
              <w:t>ENV-B-</w:t>
            </w:r>
            <w:r>
              <w:rPr>
                <w:spacing w:val="-10"/>
                <w:sz w:val="24"/>
              </w:rPr>
              <w:t>3</w:t>
            </w:r>
          </w:p>
        </w:tc>
      </w:tr>
      <w:tr w:rsidR="002257EE" w14:paraId="5C772816" w14:textId="77777777">
        <w:trPr>
          <w:trHeight w:val="1977"/>
        </w:trPr>
        <w:tc>
          <w:tcPr>
            <w:tcW w:w="4360" w:type="dxa"/>
            <w:vMerge w:val="restart"/>
          </w:tcPr>
          <w:p w14:paraId="0355A584" w14:textId="77777777" w:rsidR="002257EE" w:rsidRDefault="008F6BFE">
            <w:pPr>
              <w:pStyle w:val="TableParagraph"/>
              <w:spacing w:before="1" w:line="252" w:lineRule="exact"/>
              <w:rPr>
                <w:b/>
              </w:rPr>
            </w:pPr>
            <w:r>
              <w:rPr>
                <w:b/>
                <w:spacing w:val="-2"/>
              </w:rPr>
              <w:t>Referatsleiter:</w:t>
            </w:r>
          </w:p>
          <w:p w14:paraId="07BB61DE" w14:textId="77777777" w:rsidR="002257EE" w:rsidRDefault="008F6BFE">
            <w:pPr>
              <w:pStyle w:val="TableParagraph"/>
              <w:ind w:right="1975"/>
              <w:rPr>
                <w:b/>
              </w:rPr>
            </w:pPr>
            <w:r>
              <w:rPr>
                <w:b/>
                <w:spacing w:val="-2"/>
              </w:rPr>
              <w:t>E-Mail-Adresse: Telefon:</w:t>
            </w:r>
          </w:p>
          <w:p w14:paraId="3AA63BDE" w14:textId="77777777" w:rsidR="002257EE" w:rsidRDefault="008F6BFE">
            <w:pPr>
              <w:pStyle w:val="TableParagraph"/>
              <w:ind w:right="1091"/>
              <w:rPr>
                <w:b/>
              </w:rPr>
            </w:pPr>
            <w:r>
              <w:rPr>
                <w:b/>
              </w:rPr>
              <w:t>Zahl</w:t>
            </w:r>
            <w:r>
              <w:rPr>
                <w:b/>
                <w:spacing w:val="-10"/>
              </w:rPr>
              <w:t xml:space="preserve"> </w:t>
            </w:r>
            <w:r>
              <w:rPr>
                <w:b/>
              </w:rPr>
              <w:t>der</w:t>
            </w:r>
            <w:r>
              <w:rPr>
                <w:b/>
                <w:spacing w:val="-11"/>
              </w:rPr>
              <w:t xml:space="preserve"> </w:t>
            </w:r>
            <w:r>
              <w:rPr>
                <w:b/>
              </w:rPr>
              <w:t>zu</w:t>
            </w:r>
            <w:r>
              <w:rPr>
                <w:b/>
                <w:spacing w:val="-10"/>
              </w:rPr>
              <w:t xml:space="preserve"> </w:t>
            </w:r>
            <w:r>
              <w:rPr>
                <w:b/>
              </w:rPr>
              <w:t>besetzenden</w:t>
            </w:r>
            <w:r>
              <w:rPr>
                <w:b/>
                <w:spacing w:val="-10"/>
              </w:rPr>
              <w:t xml:space="preserve"> </w:t>
            </w:r>
            <w:r>
              <w:rPr>
                <w:b/>
              </w:rPr>
              <w:t>Stellen: Gewünschter Dienstantritt: Dauer der Abordnung:</w:t>
            </w:r>
          </w:p>
          <w:p w14:paraId="165392A9" w14:textId="77777777" w:rsidR="002257EE" w:rsidRDefault="008F6BFE">
            <w:pPr>
              <w:pStyle w:val="TableParagraph"/>
              <w:spacing w:line="253" w:lineRule="exact"/>
              <w:rPr>
                <w:b/>
              </w:rPr>
            </w:pPr>
            <w:r>
              <w:rPr>
                <w:b/>
              </w:rPr>
              <w:t>Ort</w:t>
            </w:r>
            <w:r>
              <w:rPr>
                <w:b/>
                <w:spacing w:val="-5"/>
              </w:rPr>
              <w:t xml:space="preserve"> </w:t>
            </w:r>
            <w:r>
              <w:rPr>
                <w:b/>
              </w:rPr>
              <w:t>der</w:t>
            </w:r>
            <w:r>
              <w:rPr>
                <w:b/>
                <w:spacing w:val="-5"/>
              </w:rPr>
              <w:t xml:space="preserve"> </w:t>
            </w:r>
            <w:r>
              <w:rPr>
                <w:b/>
                <w:spacing w:val="-2"/>
              </w:rPr>
              <w:t>Abordnung:</w:t>
            </w:r>
          </w:p>
        </w:tc>
        <w:tc>
          <w:tcPr>
            <w:tcW w:w="5597" w:type="dxa"/>
          </w:tcPr>
          <w:p w14:paraId="1F2E1D29" w14:textId="77777777" w:rsidR="002257EE" w:rsidRPr="008F6BFE" w:rsidRDefault="008F6BFE">
            <w:pPr>
              <w:pStyle w:val="TableParagraph"/>
              <w:spacing w:before="1"/>
              <w:rPr>
                <w:sz w:val="24"/>
                <w:lang w:val="en-IE"/>
              </w:rPr>
            </w:pPr>
            <w:r w:rsidRPr="008F6BFE">
              <w:rPr>
                <w:sz w:val="24"/>
                <w:lang w:val="en-IE"/>
              </w:rPr>
              <w:t>Mattia</w:t>
            </w:r>
            <w:r w:rsidRPr="008F6BFE">
              <w:rPr>
                <w:spacing w:val="-1"/>
                <w:sz w:val="24"/>
                <w:lang w:val="en-IE"/>
              </w:rPr>
              <w:t xml:space="preserve"> </w:t>
            </w:r>
            <w:r w:rsidRPr="008F6BFE">
              <w:rPr>
                <w:spacing w:val="-2"/>
                <w:sz w:val="24"/>
                <w:lang w:val="en-IE"/>
              </w:rPr>
              <w:t>Pellegrini</w:t>
            </w:r>
          </w:p>
          <w:p w14:paraId="47217779" w14:textId="77777777" w:rsidR="002257EE" w:rsidRPr="008F6BFE" w:rsidRDefault="008F6BFE">
            <w:pPr>
              <w:pStyle w:val="TableParagraph"/>
              <w:rPr>
                <w:b/>
                <w:sz w:val="24"/>
                <w:lang w:val="en-IE"/>
              </w:rPr>
            </w:pPr>
            <w:hyperlink r:id="rId8">
              <w:r w:rsidRPr="008F6BFE">
                <w:rPr>
                  <w:b/>
                  <w:spacing w:val="-2"/>
                  <w:sz w:val="24"/>
                  <w:u w:val="single"/>
                  <w:lang w:val="en-IE"/>
                </w:rPr>
                <w:t>Mattia.pellegrini@ec.europa.eu</w:t>
              </w:r>
            </w:hyperlink>
          </w:p>
          <w:p w14:paraId="69F14508" w14:textId="77777777" w:rsidR="002257EE" w:rsidRDefault="008F6BFE">
            <w:pPr>
              <w:pStyle w:val="TableParagraph"/>
              <w:rPr>
                <w:b/>
                <w:sz w:val="24"/>
              </w:rPr>
            </w:pPr>
            <w:r>
              <w:rPr>
                <w:b/>
                <w:sz w:val="24"/>
              </w:rPr>
              <w:t xml:space="preserve">+ 32 229 </w:t>
            </w:r>
            <w:r>
              <w:rPr>
                <w:b/>
                <w:spacing w:val="-2"/>
                <w:sz w:val="24"/>
              </w:rPr>
              <w:t>54138</w:t>
            </w:r>
          </w:p>
          <w:p w14:paraId="67F22935" w14:textId="77777777" w:rsidR="002257EE" w:rsidRDefault="008F6BFE">
            <w:pPr>
              <w:pStyle w:val="TableParagraph"/>
              <w:rPr>
                <w:b/>
                <w:sz w:val="24"/>
              </w:rPr>
            </w:pPr>
            <w:r>
              <w:rPr>
                <w:b/>
                <w:sz w:val="24"/>
              </w:rPr>
              <w:t>1</w:t>
            </w:r>
          </w:p>
          <w:p w14:paraId="5023C645" w14:textId="77777777" w:rsidR="002257EE" w:rsidRDefault="008F6BFE">
            <w:pPr>
              <w:pStyle w:val="TableParagraph"/>
              <w:spacing w:line="275" w:lineRule="exact"/>
              <w:rPr>
                <w:sz w:val="24"/>
              </w:rPr>
            </w:pPr>
            <w:r>
              <w:rPr>
                <w:spacing w:val="-2"/>
                <w:w w:val="105"/>
                <w:vertAlign w:val="superscript"/>
              </w:rPr>
              <w:t>Drittes</w:t>
            </w:r>
            <w:r>
              <w:rPr>
                <w:spacing w:val="-1"/>
                <w:w w:val="105"/>
              </w:rPr>
              <w:t xml:space="preserve"> </w:t>
            </w:r>
            <w:r>
              <w:rPr>
                <w:b/>
                <w:spacing w:val="-2"/>
                <w:w w:val="105"/>
              </w:rPr>
              <w:t>Quartal</w:t>
            </w:r>
            <w:r>
              <w:rPr>
                <w:b/>
                <w:spacing w:val="-6"/>
                <w:w w:val="105"/>
              </w:rPr>
              <w:t xml:space="preserve"> </w:t>
            </w:r>
            <w:r>
              <w:rPr>
                <w:b/>
                <w:spacing w:val="-2"/>
                <w:w w:val="105"/>
              </w:rPr>
              <w:t>2023</w:t>
            </w:r>
            <w:r>
              <w:rPr>
                <w:b/>
                <w:spacing w:val="-1"/>
                <w:w w:val="105"/>
              </w:rPr>
              <w:t xml:space="preserve"> </w:t>
            </w:r>
            <w:r>
              <w:rPr>
                <w:spacing w:val="-10"/>
                <w:w w:val="105"/>
                <w:sz w:val="24"/>
              </w:rPr>
              <w:t>1</w:t>
            </w:r>
          </w:p>
          <w:p w14:paraId="077A341D" w14:textId="77777777" w:rsidR="002257EE" w:rsidRDefault="008F6BFE">
            <w:pPr>
              <w:pStyle w:val="TableParagraph"/>
              <w:spacing w:line="252" w:lineRule="exact"/>
              <w:rPr>
                <w:b/>
              </w:rPr>
            </w:pPr>
            <w:r>
              <w:rPr>
                <w:b/>
              </w:rPr>
              <w:t>3</w:t>
            </w:r>
            <w:r>
              <w:rPr>
                <w:b/>
                <w:spacing w:val="-2"/>
              </w:rPr>
              <w:t xml:space="preserve"> Jahr(e</w:t>
            </w:r>
            <w:r>
              <w:rPr>
                <w:b/>
                <w:spacing w:val="-2"/>
                <w:vertAlign w:val="superscript"/>
              </w:rPr>
              <w:t>)1</w:t>
            </w:r>
          </w:p>
          <w:p w14:paraId="762DF75A" w14:textId="77777777" w:rsidR="002257EE" w:rsidRDefault="008F6BFE">
            <w:pPr>
              <w:pStyle w:val="TableParagraph"/>
              <w:rPr>
                <w:b/>
              </w:rPr>
            </w:pPr>
            <w:r>
              <w:rPr>
                <w:rFonts w:ascii="Wingdings" w:hAnsi="Wingdings"/>
              </w:rPr>
              <w:t></w:t>
            </w:r>
            <w:r>
              <w:rPr>
                <w:b/>
              </w:rPr>
              <w:t>Brüssel</w:t>
            </w:r>
            <w:r>
              <w:rPr>
                <w:b/>
                <w:spacing w:val="-10"/>
              </w:rPr>
              <w:t xml:space="preserve"> </w:t>
            </w:r>
            <w:r>
              <w:rPr>
                <w:rFonts w:ascii="Wingdings 2" w:hAnsi="Wingdings 2"/>
              </w:rPr>
              <w:t></w:t>
            </w:r>
            <w:r>
              <w:rPr>
                <w:spacing w:val="-8"/>
              </w:rPr>
              <w:t xml:space="preserve"> </w:t>
            </w:r>
            <w:r>
              <w:rPr>
                <w:b/>
              </w:rPr>
              <w:t>Luxemburg</w:t>
            </w:r>
            <w:r>
              <w:rPr>
                <w:b/>
                <w:spacing w:val="-7"/>
              </w:rPr>
              <w:t xml:space="preserve"> </w:t>
            </w:r>
            <w:r>
              <w:rPr>
                <w:rFonts w:ascii="Wingdings 2" w:hAnsi="Wingdings 2"/>
              </w:rPr>
              <w:t></w:t>
            </w:r>
            <w:r>
              <w:rPr>
                <w:spacing w:val="-9"/>
              </w:rPr>
              <w:t xml:space="preserve"> </w:t>
            </w:r>
            <w:r>
              <w:rPr>
                <w:b/>
              </w:rPr>
              <w:t>Anderer:</w:t>
            </w:r>
            <w:r>
              <w:rPr>
                <w:b/>
                <w:spacing w:val="-9"/>
              </w:rPr>
              <w:t xml:space="preserve"> </w:t>
            </w:r>
            <w:r>
              <w:rPr>
                <w:b/>
                <w:spacing w:val="-2"/>
              </w:rPr>
              <w:t>.................</w:t>
            </w:r>
          </w:p>
        </w:tc>
      </w:tr>
      <w:tr w:rsidR="002257EE" w14:paraId="6AD8E84E" w14:textId="77777777">
        <w:trPr>
          <w:trHeight w:val="545"/>
        </w:trPr>
        <w:tc>
          <w:tcPr>
            <w:tcW w:w="4360" w:type="dxa"/>
            <w:vMerge/>
            <w:tcBorders>
              <w:top w:val="nil"/>
            </w:tcBorders>
          </w:tcPr>
          <w:p w14:paraId="6249BF83" w14:textId="77777777" w:rsidR="002257EE" w:rsidRDefault="002257EE">
            <w:pPr>
              <w:rPr>
                <w:sz w:val="2"/>
                <w:szCs w:val="2"/>
              </w:rPr>
            </w:pPr>
          </w:p>
        </w:tc>
        <w:tc>
          <w:tcPr>
            <w:tcW w:w="5597" w:type="dxa"/>
          </w:tcPr>
          <w:p w14:paraId="4244F788" w14:textId="77777777" w:rsidR="002257EE" w:rsidRDefault="008F6BFE">
            <w:pPr>
              <w:pStyle w:val="TableParagraph"/>
              <w:spacing w:before="146"/>
              <w:rPr>
                <w:b/>
              </w:rPr>
            </w:pPr>
            <w:r>
              <w:rPr>
                <w:rFonts w:ascii="Wingdings" w:hAnsi="Wingdings"/>
              </w:rPr>
              <w:t></w:t>
            </w:r>
            <w:r>
              <w:rPr>
                <w:spacing w:val="-3"/>
              </w:rPr>
              <w:t xml:space="preserve"> </w:t>
            </w:r>
            <w:r>
              <w:rPr>
                <w:b/>
              </w:rPr>
              <w:t>Mit</w:t>
            </w:r>
            <w:r>
              <w:rPr>
                <w:b/>
                <w:spacing w:val="-2"/>
              </w:rPr>
              <w:t xml:space="preserve"> </w:t>
            </w:r>
            <w:r>
              <w:rPr>
                <w:b/>
              </w:rPr>
              <w:t>Vergütung</w:t>
            </w:r>
            <w:r>
              <w:rPr>
                <w:b/>
                <w:spacing w:val="74"/>
                <w:w w:val="150"/>
              </w:rPr>
              <w:t xml:space="preserve"> </w:t>
            </w:r>
            <w:r>
              <w:rPr>
                <w:rFonts w:ascii="Wingdings" w:hAnsi="Wingdings"/>
              </w:rPr>
              <w:t></w:t>
            </w:r>
            <w:r>
              <w:rPr>
                <w:spacing w:val="49"/>
              </w:rPr>
              <w:t xml:space="preserve"> </w:t>
            </w:r>
            <w:r>
              <w:rPr>
                <w:b/>
                <w:spacing w:val="-2"/>
              </w:rPr>
              <w:t>Unentgeltlich</w:t>
            </w:r>
          </w:p>
        </w:tc>
      </w:tr>
      <w:tr w:rsidR="002257EE" w14:paraId="3CF723DA" w14:textId="77777777">
        <w:trPr>
          <w:trHeight w:val="2111"/>
        </w:trPr>
        <w:tc>
          <w:tcPr>
            <w:tcW w:w="9957" w:type="dxa"/>
            <w:gridSpan w:val="2"/>
          </w:tcPr>
          <w:p w14:paraId="1E54F89E" w14:textId="77777777" w:rsidR="002257EE" w:rsidRDefault="008F6BFE">
            <w:pPr>
              <w:pStyle w:val="TableParagraph"/>
              <w:spacing w:before="112"/>
              <w:rPr>
                <w:b/>
              </w:rPr>
            </w:pPr>
            <w:r>
              <w:rPr>
                <w:b/>
              </w:rPr>
              <w:t>Diese</w:t>
            </w:r>
            <w:r>
              <w:rPr>
                <w:b/>
                <w:spacing w:val="-11"/>
              </w:rPr>
              <w:t xml:space="preserve"> </w:t>
            </w:r>
            <w:r>
              <w:rPr>
                <w:b/>
              </w:rPr>
              <w:t>Stellenausschreibung</w:t>
            </w:r>
            <w:r>
              <w:rPr>
                <w:b/>
                <w:spacing w:val="-9"/>
              </w:rPr>
              <w:t xml:space="preserve"> </w:t>
            </w:r>
            <w:r>
              <w:rPr>
                <w:b/>
              </w:rPr>
              <w:t>ist</w:t>
            </w:r>
            <w:r>
              <w:rPr>
                <w:b/>
                <w:spacing w:val="-10"/>
              </w:rPr>
              <w:t xml:space="preserve"> </w:t>
            </w:r>
            <w:r>
              <w:rPr>
                <w:b/>
              </w:rPr>
              <w:t>auch</w:t>
            </w:r>
            <w:r>
              <w:rPr>
                <w:b/>
                <w:spacing w:val="-9"/>
              </w:rPr>
              <w:t xml:space="preserve"> </w:t>
            </w:r>
            <w:r>
              <w:rPr>
                <w:b/>
              </w:rPr>
              <w:t>offen</w:t>
            </w:r>
            <w:r>
              <w:rPr>
                <w:b/>
                <w:spacing w:val="-10"/>
              </w:rPr>
              <w:t xml:space="preserve"> </w:t>
            </w:r>
            <w:r>
              <w:rPr>
                <w:b/>
                <w:spacing w:val="-5"/>
              </w:rPr>
              <w:t>für</w:t>
            </w:r>
          </w:p>
          <w:p w14:paraId="3CD277AD" w14:textId="77777777" w:rsidR="002257EE" w:rsidRDefault="002257EE">
            <w:pPr>
              <w:pStyle w:val="TableParagraph"/>
              <w:spacing w:before="1"/>
              <w:ind w:left="0"/>
              <w:rPr>
                <w:b/>
              </w:rPr>
            </w:pPr>
          </w:p>
          <w:p w14:paraId="7145FD1D" w14:textId="77777777" w:rsidR="002257EE" w:rsidRDefault="008F6BFE">
            <w:pPr>
              <w:pStyle w:val="TableParagraph"/>
              <w:rPr>
                <w:b/>
                <w:sz w:val="24"/>
              </w:rPr>
            </w:pPr>
            <w:r>
              <w:rPr>
                <w:b/>
                <w:sz w:val="24"/>
              </w:rPr>
              <w:t>X</w:t>
            </w:r>
            <w:r>
              <w:rPr>
                <w:b/>
                <w:spacing w:val="-4"/>
                <w:sz w:val="24"/>
              </w:rPr>
              <w:t xml:space="preserve"> </w:t>
            </w:r>
            <w:r>
              <w:rPr>
                <w:b/>
                <w:sz w:val="24"/>
              </w:rPr>
              <w:t>folgende</w:t>
            </w:r>
            <w:r>
              <w:rPr>
                <w:b/>
                <w:spacing w:val="-3"/>
                <w:sz w:val="24"/>
              </w:rPr>
              <w:t xml:space="preserve"> </w:t>
            </w:r>
            <w:r>
              <w:rPr>
                <w:b/>
                <w:sz w:val="24"/>
              </w:rPr>
              <w:t>EFTA-</w:t>
            </w:r>
            <w:r>
              <w:rPr>
                <w:b/>
                <w:spacing w:val="-2"/>
                <w:sz w:val="24"/>
              </w:rPr>
              <w:t>Staaten:</w:t>
            </w:r>
          </w:p>
          <w:p w14:paraId="250C3680" w14:textId="77777777" w:rsidR="002257EE" w:rsidRDefault="008F6BFE">
            <w:pPr>
              <w:pStyle w:val="TableParagraph"/>
              <w:numPr>
                <w:ilvl w:val="0"/>
                <w:numId w:val="1"/>
              </w:numPr>
              <w:tabs>
                <w:tab w:val="left" w:pos="1091"/>
              </w:tabs>
              <w:ind w:hanging="276"/>
              <w:rPr>
                <w:b/>
                <w:sz w:val="24"/>
              </w:rPr>
            </w:pPr>
            <w:r>
              <w:rPr>
                <w:b/>
                <w:sz w:val="24"/>
              </w:rPr>
              <w:t>Island</w:t>
            </w:r>
            <w:r>
              <w:rPr>
                <w:b/>
                <w:spacing w:val="-5"/>
                <w:sz w:val="24"/>
              </w:rPr>
              <w:t xml:space="preserve"> </w:t>
            </w:r>
            <w:r>
              <w:rPr>
                <w:rFonts w:ascii="Wingdings 2" w:hAnsi="Wingdings 2"/>
                <w:b/>
                <w:sz w:val="24"/>
              </w:rPr>
              <w:t></w:t>
            </w:r>
            <w:r>
              <w:rPr>
                <w:spacing w:val="-3"/>
                <w:sz w:val="24"/>
              </w:rPr>
              <w:t xml:space="preserve"> </w:t>
            </w:r>
            <w:r>
              <w:rPr>
                <w:b/>
                <w:sz w:val="24"/>
              </w:rPr>
              <w:t>Liechtenstein</w:t>
            </w:r>
            <w:r>
              <w:rPr>
                <w:b/>
                <w:spacing w:val="-3"/>
                <w:sz w:val="24"/>
              </w:rPr>
              <w:t xml:space="preserve"> </w:t>
            </w:r>
            <w:r>
              <w:rPr>
                <w:rFonts w:ascii="Wingdings" w:hAnsi="Wingdings"/>
              </w:rPr>
              <w:t></w:t>
            </w:r>
            <w:r>
              <w:rPr>
                <w:spacing w:val="-2"/>
              </w:rPr>
              <w:t xml:space="preserve"> </w:t>
            </w:r>
            <w:r>
              <w:rPr>
                <w:b/>
                <w:sz w:val="24"/>
              </w:rPr>
              <w:t>Norwegen</w:t>
            </w:r>
            <w:r>
              <w:rPr>
                <w:b/>
                <w:spacing w:val="-4"/>
                <w:sz w:val="24"/>
              </w:rPr>
              <w:t xml:space="preserve"> </w:t>
            </w:r>
            <w:r>
              <w:rPr>
                <w:rFonts w:ascii="Wingdings 2" w:hAnsi="Wingdings 2"/>
                <w:b/>
                <w:sz w:val="24"/>
              </w:rPr>
              <w:t></w:t>
            </w:r>
            <w:r>
              <w:rPr>
                <w:spacing w:val="-2"/>
                <w:sz w:val="24"/>
              </w:rPr>
              <w:t xml:space="preserve"> </w:t>
            </w:r>
            <w:r>
              <w:rPr>
                <w:b/>
                <w:spacing w:val="-2"/>
                <w:sz w:val="24"/>
              </w:rPr>
              <w:t>Schweiz</w:t>
            </w:r>
          </w:p>
          <w:p w14:paraId="609394CE" w14:textId="77777777" w:rsidR="002257EE" w:rsidRDefault="008F6BFE">
            <w:pPr>
              <w:pStyle w:val="TableParagraph"/>
              <w:numPr>
                <w:ilvl w:val="0"/>
                <w:numId w:val="1"/>
              </w:numPr>
              <w:tabs>
                <w:tab w:val="left" w:pos="1091"/>
              </w:tabs>
              <w:ind w:hanging="276"/>
              <w:rPr>
                <w:b/>
                <w:sz w:val="24"/>
              </w:rPr>
            </w:pPr>
            <w:r>
              <w:rPr>
                <w:b/>
                <w:sz w:val="24"/>
              </w:rPr>
              <w:t>EFTA-EWR</w:t>
            </w:r>
            <w:r>
              <w:rPr>
                <w:b/>
                <w:spacing w:val="-8"/>
                <w:sz w:val="24"/>
              </w:rPr>
              <w:t xml:space="preserve"> </w:t>
            </w:r>
            <w:r>
              <w:rPr>
                <w:b/>
                <w:sz w:val="24"/>
              </w:rPr>
              <w:t>In-Kind-Abkommen</w:t>
            </w:r>
            <w:r>
              <w:rPr>
                <w:b/>
                <w:spacing w:val="-5"/>
                <w:sz w:val="24"/>
              </w:rPr>
              <w:t xml:space="preserve"> </w:t>
            </w:r>
            <w:r>
              <w:rPr>
                <w:b/>
                <w:sz w:val="24"/>
              </w:rPr>
              <w:t>(Island,</w:t>
            </w:r>
            <w:r>
              <w:rPr>
                <w:b/>
                <w:spacing w:val="-7"/>
                <w:sz w:val="24"/>
              </w:rPr>
              <w:t xml:space="preserve"> </w:t>
            </w:r>
            <w:r>
              <w:rPr>
                <w:b/>
                <w:sz w:val="24"/>
              </w:rPr>
              <w:t>Liechtenstein,</w:t>
            </w:r>
            <w:r>
              <w:rPr>
                <w:b/>
                <w:spacing w:val="-4"/>
                <w:sz w:val="24"/>
              </w:rPr>
              <w:t xml:space="preserve"> </w:t>
            </w:r>
            <w:r>
              <w:rPr>
                <w:b/>
                <w:spacing w:val="-2"/>
                <w:sz w:val="24"/>
              </w:rPr>
              <w:t>Norwegen)</w:t>
            </w:r>
          </w:p>
          <w:p w14:paraId="18C0878B" w14:textId="77777777" w:rsidR="002257EE" w:rsidRDefault="008F6BFE">
            <w:pPr>
              <w:pStyle w:val="TableParagraph"/>
              <w:numPr>
                <w:ilvl w:val="0"/>
                <w:numId w:val="3"/>
              </w:numPr>
              <w:tabs>
                <w:tab w:val="left" w:pos="622"/>
                <w:tab w:val="left" w:pos="623"/>
              </w:tabs>
              <w:ind w:hanging="456"/>
              <w:rPr>
                <w:b/>
                <w:sz w:val="24"/>
              </w:rPr>
            </w:pPr>
            <w:r>
              <w:rPr>
                <w:b/>
                <w:sz w:val="24"/>
              </w:rPr>
              <w:t>folgende</w:t>
            </w:r>
            <w:r>
              <w:rPr>
                <w:b/>
                <w:spacing w:val="-5"/>
                <w:sz w:val="24"/>
              </w:rPr>
              <w:t xml:space="preserve"> </w:t>
            </w:r>
            <w:r>
              <w:rPr>
                <w:b/>
                <w:spacing w:val="-2"/>
                <w:sz w:val="24"/>
              </w:rPr>
              <w:t>Drittländer:</w:t>
            </w:r>
          </w:p>
          <w:p w14:paraId="2D1C97C5" w14:textId="77777777" w:rsidR="002257EE" w:rsidRDefault="008F6BFE">
            <w:pPr>
              <w:pStyle w:val="TableParagraph"/>
              <w:numPr>
                <w:ilvl w:val="0"/>
                <w:numId w:val="3"/>
              </w:numPr>
              <w:tabs>
                <w:tab w:val="left" w:pos="562"/>
                <w:tab w:val="left" w:pos="563"/>
              </w:tabs>
              <w:ind w:left="562" w:hanging="456"/>
              <w:rPr>
                <w:b/>
                <w:sz w:val="24"/>
              </w:rPr>
            </w:pPr>
            <w:r>
              <w:rPr>
                <w:b/>
                <w:sz w:val="24"/>
              </w:rPr>
              <w:t>folgende</w:t>
            </w:r>
            <w:r>
              <w:rPr>
                <w:b/>
                <w:spacing w:val="-5"/>
                <w:sz w:val="24"/>
              </w:rPr>
              <w:t xml:space="preserve"> </w:t>
            </w:r>
            <w:r>
              <w:rPr>
                <w:b/>
                <w:sz w:val="24"/>
              </w:rPr>
              <w:t>zwischenstaatliche</w:t>
            </w:r>
            <w:r>
              <w:rPr>
                <w:b/>
                <w:spacing w:val="-5"/>
                <w:sz w:val="24"/>
              </w:rPr>
              <w:t xml:space="preserve"> </w:t>
            </w:r>
            <w:r>
              <w:rPr>
                <w:b/>
                <w:spacing w:val="-2"/>
                <w:sz w:val="24"/>
              </w:rPr>
              <w:t>Organisationen:</w:t>
            </w:r>
          </w:p>
        </w:tc>
      </w:tr>
    </w:tbl>
    <w:p w14:paraId="70274061" w14:textId="77777777" w:rsidR="002257EE" w:rsidRDefault="002257EE">
      <w:pPr>
        <w:pStyle w:val="BodyText"/>
        <w:spacing w:before="1"/>
        <w:rPr>
          <w:b/>
          <w:sz w:val="24"/>
        </w:rPr>
      </w:pPr>
    </w:p>
    <w:p w14:paraId="2CDDAF71" w14:textId="77777777" w:rsidR="002257EE" w:rsidRDefault="008F6BFE">
      <w:pPr>
        <w:pStyle w:val="ListParagraph"/>
        <w:numPr>
          <w:ilvl w:val="0"/>
          <w:numId w:val="4"/>
        </w:numPr>
        <w:tabs>
          <w:tab w:val="left" w:pos="796"/>
          <w:tab w:val="left" w:pos="797"/>
        </w:tabs>
        <w:ind w:hanging="427"/>
        <w:rPr>
          <w:b/>
          <w:sz w:val="24"/>
        </w:rPr>
      </w:pPr>
      <w:r>
        <w:rPr>
          <w:b/>
          <w:sz w:val="24"/>
          <w:u w:val="single"/>
        </w:rPr>
        <w:t>Art</w:t>
      </w:r>
      <w:r>
        <w:rPr>
          <w:b/>
          <w:spacing w:val="-3"/>
          <w:sz w:val="24"/>
          <w:u w:val="single"/>
        </w:rPr>
        <w:t xml:space="preserve"> </w:t>
      </w:r>
      <w:r>
        <w:rPr>
          <w:b/>
          <w:sz w:val="24"/>
          <w:u w:val="single"/>
        </w:rPr>
        <w:t>der</w:t>
      </w:r>
      <w:r>
        <w:rPr>
          <w:b/>
          <w:spacing w:val="-1"/>
          <w:sz w:val="24"/>
          <w:u w:val="single"/>
        </w:rPr>
        <w:t xml:space="preserve"> </w:t>
      </w:r>
      <w:r>
        <w:rPr>
          <w:b/>
          <w:spacing w:val="-2"/>
          <w:sz w:val="24"/>
          <w:u w:val="single"/>
        </w:rPr>
        <w:t>Aufgaben</w:t>
      </w:r>
    </w:p>
    <w:p w14:paraId="4FA05299" w14:textId="77777777" w:rsidR="002257EE" w:rsidRDefault="002257EE">
      <w:pPr>
        <w:pStyle w:val="BodyText"/>
        <w:rPr>
          <w:b/>
          <w:sz w:val="20"/>
        </w:rPr>
      </w:pPr>
    </w:p>
    <w:p w14:paraId="548D9B89" w14:textId="77777777" w:rsidR="002257EE" w:rsidRDefault="002257EE">
      <w:pPr>
        <w:pStyle w:val="BodyText"/>
        <w:spacing w:before="2"/>
        <w:rPr>
          <w:b/>
          <w:sz w:val="18"/>
        </w:rPr>
      </w:pPr>
    </w:p>
    <w:p w14:paraId="5794BC72" w14:textId="77777777" w:rsidR="002257EE" w:rsidRDefault="008F6BFE">
      <w:pPr>
        <w:pStyle w:val="BodyText"/>
        <w:spacing w:before="90"/>
        <w:ind w:left="796" w:right="106"/>
        <w:jc w:val="both"/>
      </w:pPr>
      <w:r>
        <w:t>Das Referat „Von Abfall zu Ressourcen“ der GD Umwelt besteht aus etwa 30 Kollegen, die auf eine nachhaltige, kreislauforientierte und klimaneutrale Wirtschaft in Europa hinarbeiten. Als Team dynamischer Fachleute, darunter Wirtschaftswissenschaftler, Recht</w:t>
      </w:r>
      <w:r>
        <w:t>sanwälte und Ingenieure, sind wir für 12 abfallbezogene Rechtsvorschriften in einem Bereich von hohem öffentlichen und politischen Interesse verantwortlich. Unsere Politik ist ein wichtiger Baustein des Grünen Deals und des Aktionsplans für die Kreislaufwi</w:t>
      </w:r>
      <w:r>
        <w:t>rtschaft und steht in</w:t>
      </w:r>
      <w:r>
        <w:rPr>
          <w:spacing w:val="-2"/>
        </w:rPr>
        <w:t xml:space="preserve"> </w:t>
      </w:r>
      <w:r>
        <w:t>engem</w:t>
      </w:r>
      <w:r>
        <w:rPr>
          <w:spacing w:val="-3"/>
        </w:rPr>
        <w:t xml:space="preserve"> </w:t>
      </w:r>
      <w:r>
        <w:t>Zusammenhang</w:t>
      </w:r>
      <w:r>
        <w:rPr>
          <w:spacing w:val="-2"/>
        </w:rPr>
        <w:t xml:space="preserve"> </w:t>
      </w:r>
      <w:r>
        <w:t>mit</w:t>
      </w:r>
      <w:r>
        <w:rPr>
          <w:spacing w:val="-2"/>
        </w:rPr>
        <w:t xml:space="preserve"> </w:t>
      </w:r>
      <w:r>
        <w:t>anderen</w:t>
      </w:r>
      <w:r>
        <w:rPr>
          <w:spacing w:val="-2"/>
        </w:rPr>
        <w:t xml:space="preserve"> </w:t>
      </w:r>
      <w:r>
        <w:t>Politikbereichen</w:t>
      </w:r>
      <w:r>
        <w:rPr>
          <w:spacing w:val="-2"/>
        </w:rPr>
        <w:t xml:space="preserve"> </w:t>
      </w:r>
      <w:r>
        <w:t>der</w:t>
      </w:r>
      <w:r>
        <w:rPr>
          <w:spacing w:val="-2"/>
        </w:rPr>
        <w:t xml:space="preserve"> </w:t>
      </w:r>
      <w:r>
        <w:t>EU</w:t>
      </w:r>
      <w:r>
        <w:rPr>
          <w:spacing w:val="-3"/>
        </w:rPr>
        <w:t xml:space="preserve"> </w:t>
      </w:r>
      <w:r>
        <w:t>in</w:t>
      </w:r>
      <w:r>
        <w:rPr>
          <w:spacing w:val="-2"/>
        </w:rPr>
        <w:t xml:space="preserve"> </w:t>
      </w:r>
      <w:r>
        <w:t>den</w:t>
      </w:r>
      <w:r>
        <w:rPr>
          <w:spacing w:val="-2"/>
        </w:rPr>
        <w:t xml:space="preserve"> </w:t>
      </w:r>
      <w:r>
        <w:t>Bereichen Klima,</w:t>
      </w:r>
      <w:r>
        <w:rPr>
          <w:spacing w:val="-2"/>
        </w:rPr>
        <w:t xml:space="preserve"> </w:t>
      </w:r>
      <w:r>
        <w:t>Energie,</w:t>
      </w:r>
      <w:r>
        <w:rPr>
          <w:spacing w:val="-2"/>
        </w:rPr>
        <w:t xml:space="preserve"> </w:t>
      </w:r>
      <w:r>
        <w:t>Industrie</w:t>
      </w:r>
      <w:r>
        <w:rPr>
          <w:spacing w:val="-3"/>
        </w:rPr>
        <w:t xml:space="preserve"> </w:t>
      </w:r>
      <w:r>
        <w:t>und öffentliche Gesundheit. Wir verfügen über eine umfangreiche Agenda mit einer Reihe von Überarbeitungen von EU-Rechtsakten, die in de</w:t>
      </w:r>
      <w:r>
        <w:t>n kommenden Jahren umgesetzt werden sollen, sowie mit wichtigen Arbeiten, um die Umsetzung des bestehenden Besitzstands zu gewährleisten.</w:t>
      </w:r>
    </w:p>
    <w:p w14:paraId="000E4DEA" w14:textId="77777777" w:rsidR="002257EE" w:rsidRDefault="002257EE">
      <w:pPr>
        <w:pStyle w:val="BodyText"/>
      </w:pPr>
    </w:p>
    <w:p w14:paraId="3FCFBE15" w14:textId="77777777" w:rsidR="002257EE" w:rsidRDefault="008F6BFE">
      <w:pPr>
        <w:pStyle w:val="BodyText"/>
        <w:ind w:left="796" w:right="106"/>
        <w:jc w:val="both"/>
      </w:pPr>
      <w:r>
        <w:t>Wir suchen einen Kollegen, der an der Umsetzung der neuen Batterieverordnung und der Überarbeitung der Richtlinie übe</w:t>
      </w:r>
      <w:r>
        <w:t>r Elektro- und Elektronik-Altgeräte (EEAG-Richtlinie) sowie an unterstützenden Arbeiten im Zusammenhang mit der Richtlinie über die Beschränkung gefährlicher Stoffe in Elektro- und</w:t>
      </w:r>
      <w:r>
        <w:rPr>
          <w:spacing w:val="40"/>
        </w:rPr>
        <w:t xml:space="preserve"> </w:t>
      </w:r>
      <w:r>
        <w:t>Elektronikgeräten (RoHS-Richtlinie) als Teil eines größeren Teams für kriti</w:t>
      </w:r>
      <w:r>
        <w:t xml:space="preserve">sche Rohstoffe und damit verbundene Abfallströme arbeiten wird. Die neue Batterieverordnung ist ein wichtiges politisches Instrument zur Umsetzung des europäischen Grünen Deals und erfordert detailliertere Vorschriften, die den gesamten Lebenszyklus eines </w:t>
      </w:r>
      <w:r>
        <w:t>Produkts erfassen: von der Beschaffung von Materialien, der Verwendung von Stoffen,</w:t>
      </w:r>
      <w:r>
        <w:rPr>
          <w:spacing w:val="40"/>
        </w:rPr>
        <w:t xml:space="preserve"> </w:t>
      </w:r>
      <w:r>
        <w:t>der Herstellung, dem Design und der Verwendung von Batterien bis hin zur Bewirtschaftung von Batterieabfällen und zur Rückkehr zum Wirtschaftskreislauf. Die Richtlinie über</w:t>
      </w:r>
      <w:r>
        <w:t xml:space="preserve"> Elektro- und Elektronik- Altgeräte und die RoHS-Richtlinie sind von großer praktischer Bedeutung, um die Kreislauffähigkeit von Elektro-</w:t>
      </w:r>
      <w:r>
        <w:rPr>
          <w:spacing w:val="65"/>
        </w:rPr>
        <w:t xml:space="preserve"> </w:t>
      </w:r>
      <w:r>
        <w:t>und</w:t>
      </w:r>
      <w:r>
        <w:rPr>
          <w:spacing w:val="64"/>
        </w:rPr>
        <w:t xml:space="preserve"> </w:t>
      </w:r>
      <w:r>
        <w:t>Elektronikgeräten</w:t>
      </w:r>
      <w:r>
        <w:rPr>
          <w:spacing w:val="65"/>
        </w:rPr>
        <w:t xml:space="preserve"> </w:t>
      </w:r>
      <w:r>
        <w:t>zu</w:t>
      </w:r>
      <w:r>
        <w:rPr>
          <w:spacing w:val="65"/>
        </w:rPr>
        <w:t xml:space="preserve"> </w:t>
      </w:r>
      <w:r>
        <w:t>erreichen,</w:t>
      </w:r>
      <w:r>
        <w:rPr>
          <w:spacing w:val="65"/>
        </w:rPr>
        <w:t xml:space="preserve"> </w:t>
      </w:r>
      <w:r>
        <w:t>indem</w:t>
      </w:r>
      <w:r>
        <w:rPr>
          <w:spacing w:val="64"/>
        </w:rPr>
        <w:t xml:space="preserve"> </w:t>
      </w:r>
      <w:r>
        <w:t>die</w:t>
      </w:r>
      <w:r>
        <w:rPr>
          <w:spacing w:val="65"/>
        </w:rPr>
        <w:t xml:space="preserve"> </w:t>
      </w:r>
      <w:r>
        <w:t>Auswirkungen</w:t>
      </w:r>
      <w:r>
        <w:rPr>
          <w:spacing w:val="64"/>
        </w:rPr>
        <w:t xml:space="preserve"> </w:t>
      </w:r>
      <w:r>
        <w:t>der</w:t>
      </w:r>
      <w:r>
        <w:rPr>
          <w:spacing w:val="64"/>
        </w:rPr>
        <w:t xml:space="preserve"> </w:t>
      </w:r>
      <w:r>
        <w:t>Zunahme</w:t>
      </w:r>
      <w:r>
        <w:rPr>
          <w:spacing w:val="65"/>
        </w:rPr>
        <w:t xml:space="preserve"> </w:t>
      </w:r>
      <w:r>
        <w:t>von</w:t>
      </w:r>
      <w:r>
        <w:rPr>
          <w:spacing w:val="65"/>
        </w:rPr>
        <w:t xml:space="preserve"> </w:t>
      </w:r>
      <w:r>
        <w:t>Elektro-</w:t>
      </w:r>
      <w:r>
        <w:rPr>
          <w:spacing w:val="62"/>
        </w:rPr>
        <w:t xml:space="preserve"> </w:t>
      </w:r>
      <w:r>
        <w:t>und</w:t>
      </w:r>
    </w:p>
    <w:p w14:paraId="1FBC0EB0" w14:textId="77777777" w:rsidR="002257EE" w:rsidRDefault="002257EE">
      <w:pPr>
        <w:pStyle w:val="BodyText"/>
        <w:rPr>
          <w:sz w:val="20"/>
        </w:rPr>
      </w:pPr>
    </w:p>
    <w:p w14:paraId="0C8C3C00" w14:textId="77777777" w:rsidR="002257EE" w:rsidRDefault="008F6BFE">
      <w:pPr>
        <w:pStyle w:val="BodyText"/>
        <w:spacing w:before="7"/>
        <w:rPr>
          <w:sz w:val="10"/>
        </w:rPr>
      </w:pPr>
      <w:r>
        <w:pict w14:anchorId="31040AD0">
          <v:rect id="docshape2" o:spid="_x0000_s1028" style="position:absolute;margin-left:42.55pt;margin-top:7.3pt;width:2in;height:.7pt;z-index:-15728640;mso-wrap-distance-left:0;mso-wrap-distance-right:0;mso-position-horizontal-relative:page" fillcolor="black" stroked="f">
            <w10:wrap type="topAndBottom" anchorx="page"/>
          </v:rect>
        </w:pict>
      </w:r>
    </w:p>
    <w:p w14:paraId="7AE6791B" w14:textId="77777777" w:rsidR="002257EE" w:rsidRDefault="008F6BFE">
      <w:pPr>
        <w:spacing w:before="100"/>
        <w:ind w:left="370" w:right="599" w:hanging="1"/>
        <w:rPr>
          <w:sz w:val="20"/>
        </w:rPr>
      </w:pPr>
      <w:r>
        <w:rPr>
          <w:sz w:val="20"/>
          <w:vertAlign w:val="superscript"/>
        </w:rPr>
        <w:t>1</w:t>
      </w:r>
      <w:r>
        <w:rPr>
          <w:spacing w:val="40"/>
          <w:sz w:val="20"/>
        </w:rPr>
        <w:t xml:space="preserve"> </w:t>
      </w:r>
      <w:r>
        <w:rPr>
          <w:sz w:val="20"/>
        </w:rPr>
        <w:t>Die</w:t>
      </w:r>
      <w:r>
        <w:rPr>
          <w:spacing w:val="40"/>
          <w:sz w:val="20"/>
        </w:rPr>
        <w:t xml:space="preserve"> </w:t>
      </w:r>
      <w:r>
        <w:rPr>
          <w:sz w:val="20"/>
        </w:rPr>
        <w:t>Angaben</w:t>
      </w:r>
      <w:r>
        <w:rPr>
          <w:spacing w:val="40"/>
          <w:sz w:val="20"/>
        </w:rPr>
        <w:t xml:space="preserve"> </w:t>
      </w:r>
      <w:r>
        <w:rPr>
          <w:sz w:val="20"/>
        </w:rPr>
        <w:t>zum</w:t>
      </w:r>
      <w:r>
        <w:rPr>
          <w:spacing w:val="40"/>
          <w:sz w:val="20"/>
        </w:rPr>
        <w:t xml:space="preserve"> </w:t>
      </w:r>
      <w:r>
        <w:rPr>
          <w:sz w:val="20"/>
        </w:rPr>
        <w:t>Datum</w:t>
      </w:r>
      <w:r>
        <w:rPr>
          <w:spacing w:val="40"/>
          <w:sz w:val="20"/>
        </w:rPr>
        <w:t xml:space="preserve"> </w:t>
      </w:r>
      <w:r>
        <w:rPr>
          <w:sz w:val="20"/>
        </w:rPr>
        <w:t>des</w:t>
      </w:r>
      <w:r>
        <w:rPr>
          <w:spacing w:val="40"/>
          <w:sz w:val="20"/>
        </w:rPr>
        <w:t xml:space="preserve"> </w:t>
      </w:r>
      <w:r>
        <w:rPr>
          <w:sz w:val="20"/>
        </w:rPr>
        <w:t>Dienstantritts</w:t>
      </w:r>
      <w:r>
        <w:rPr>
          <w:spacing w:val="40"/>
          <w:sz w:val="20"/>
        </w:rPr>
        <w:t xml:space="preserve"> </w:t>
      </w:r>
      <w:r>
        <w:rPr>
          <w:sz w:val="20"/>
        </w:rPr>
        <w:t>und</w:t>
      </w:r>
      <w:r>
        <w:rPr>
          <w:spacing w:val="40"/>
          <w:sz w:val="20"/>
        </w:rPr>
        <w:t xml:space="preserve"> </w:t>
      </w:r>
      <w:r>
        <w:rPr>
          <w:sz w:val="20"/>
        </w:rPr>
        <w:t>zur</w:t>
      </w:r>
      <w:r>
        <w:rPr>
          <w:spacing w:val="40"/>
          <w:sz w:val="20"/>
        </w:rPr>
        <w:t xml:space="preserve"> </w:t>
      </w:r>
      <w:r>
        <w:rPr>
          <w:sz w:val="20"/>
        </w:rPr>
        <w:t>Dauer</w:t>
      </w:r>
      <w:r>
        <w:rPr>
          <w:spacing w:val="40"/>
          <w:sz w:val="20"/>
        </w:rPr>
        <w:t xml:space="preserve"> </w:t>
      </w:r>
      <w:r>
        <w:rPr>
          <w:sz w:val="20"/>
        </w:rPr>
        <w:t>der</w:t>
      </w:r>
      <w:r>
        <w:rPr>
          <w:spacing w:val="40"/>
          <w:sz w:val="20"/>
        </w:rPr>
        <w:t xml:space="preserve"> </w:t>
      </w:r>
      <w:r>
        <w:rPr>
          <w:sz w:val="20"/>
        </w:rPr>
        <w:t>Abordnung</w:t>
      </w:r>
      <w:r>
        <w:rPr>
          <w:spacing w:val="40"/>
          <w:sz w:val="20"/>
        </w:rPr>
        <w:t xml:space="preserve"> </w:t>
      </w:r>
      <w:r>
        <w:rPr>
          <w:sz w:val="20"/>
        </w:rPr>
        <w:t>sind</w:t>
      </w:r>
      <w:r>
        <w:rPr>
          <w:spacing w:val="40"/>
          <w:sz w:val="20"/>
        </w:rPr>
        <w:t xml:space="preserve"> </w:t>
      </w:r>
      <w:r>
        <w:rPr>
          <w:sz w:val="20"/>
        </w:rPr>
        <w:t>vorläufig</w:t>
      </w:r>
      <w:r>
        <w:rPr>
          <w:spacing w:val="40"/>
          <w:sz w:val="20"/>
        </w:rPr>
        <w:t xml:space="preserve"> </w:t>
      </w:r>
      <w:r>
        <w:rPr>
          <w:sz w:val="20"/>
        </w:rPr>
        <w:t>(Art.</w:t>
      </w:r>
      <w:r>
        <w:rPr>
          <w:spacing w:val="40"/>
          <w:sz w:val="20"/>
        </w:rPr>
        <w:t xml:space="preserve"> </w:t>
      </w:r>
      <w:r>
        <w:rPr>
          <w:sz w:val="20"/>
        </w:rPr>
        <w:t>4</w:t>
      </w:r>
      <w:r>
        <w:rPr>
          <w:spacing w:val="40"/>
          <w:sz w:val="20"/>
        </w:rPr>
        <w:t xml:space="preserve"> </w:t>
      </w:r>
      <w:r>
        <w:rPr>
          <w:sz w:val="20"/>
        </w:rPr>
        <w:t>des</w:t>
      </w:r>
      <w:r>
        <w:rPr>
          <w:spacing w:val="40"/>
          <w:sz w:val="20"/>
        </w:rPr>
        <w:t xml:space="preserve"> </w:t>
      </w:r>
      <w:r>
        <w:rPr>
          <w:sz w:val="20"/>
        </w:rPr>
        <w:t>Beschlusses über abgeordnete nationale Sachverständige (ANS)).</w:t>
      </w:r>
    </w:p>
    <w:p w14:paraId="76C0E7FB" w14:textId="77777777" w:rsidR="002257EE" w:rsidRDefault="002257EE">
      <w:pPr>
        <w:rPr>
          <w:sz w:val="20"/>
        </w:rPr>
        <w:sectPr w:rsidR="002257EE">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6" w:gutter="0"/>
          <w:pgNumType w:start="1"/>
          <w:cols w:space="720"/>
        </w:sectPr>
      </w:pPr>
    </w:p>
    <w:p w14:paraId="61908D08" w14:textId="77777777" w:rsidR="002257EE" w:rsidRDefault="008F6BFE">
      <w:pPr>
        <w:pStyle w:val="BodyText"/>
        <w:spacing w:before="75"/>
        <w:ind w:left="796" w:right="108"/>
        <w:jc w:val="both"/>
      </w:pPr>
      <w:r>
        <w:lastRenderedPageBreak/>
        <w:t>Elektronik-Altgeräten auf die Umwelt und Rohstoffe angegangen, Zielvorgaben für die getrennte Sammlung und Verwertung von Elektro- und Elektronik-Altgeräten festgelegt, die schrittweise Abschaffung und Ersetzung gefährlicher Stoffe in der Elektronikbranche</w:t>
      </w:r>
      <w:r>
        <w:t xml:space="preserve"> ausgelöst und somit die Wiederverwendung und das Recycling unterstützt und Gesundheits- und Umweltrisiken vermieden werden.</w:t>
      </w:r>
    </w:p>
    <w:p w14:paraId="017F47B3" w14:textId="77777777" w:rsidR="002257EE" w:rsidRDefault="002257EE">
      <w:pPr>
        <w:pStyle w:val="BodyText"/>
      </w:pPr>
    </w:p>
    <w:p w14:paraId="0AEE3EB3" w14:textId="77777777" w:rsidR="002257EE" w:rsidRDefault="008F6BFE">
      <w:pPr>
        <w:pStyle w:val="BodyText"/>
        <w:ind w:left="797" w:right="106"/>
        <w:jc w:val="both"/>
      </w:pPr>
      <w:r>
        <w:t>Sie werden neben fünf weiteren Politikverantwortlichen des Referats und mit Unterstützung des Teamkoordinators für delegierte Rech</w:t>
      </w:r>
      <w:r>
        <w:t>tsakte und Durchführungsrechtsakte für Batterien im Zusammenhang</w:t>
      </w:r>
      <w:r>
        <w:rPr>
          <w:spacing w:val="40"/>
        </w:rPr>
        <w:t xml:space="preserve"> </w:t>
      </w:r>
      <w:r>
        <w:t>mit Nachhaltigkeitsanforderungen, Anforderungen am Ende der Lebensdauer oder fortschrittlichen Kreislaufwirtschaftskonzepten zuständig sein und Folgenabschätzungen und Legislativvorschläge fü</w:t>
      </w:r>
      <w:r>
        <w:t>r die Überarbeitung der EEAG-Richtlinie ausarbeiten. Darüber hinaus werden Sie die Arbeiten zur Umsetzung und Weiterentwicklung der RoHS-Richtlinie unterstützen, auch in Bezug auf Bewertungen im Zusammenhang mit Stoffbeschränkungen und Ausnahmen davon. Die</w:t>
      </w:r>
      <w:r>
        <w:t xml:space="preserve"> Aufgaben umfassen technische, sozioökonomische und rechtliche Analysen mit Unterstützung anderer Kolleginnen und Kollegen des Referats, der Gemeinsamen Forschungsstelle</w:t>
      </w:r>
      <w:r>
        <w:rPr>
          <w:spacing w:val="-1"/>
        </w:rPr>
        <w:t xml:space="preserve"> </w:t>
      </w:r>
      <w:r>
        <w:t>der</w:t>
      </w:r>
      <w:r>
        <w:rPr>
          <w:spacing w:val="-1"/>
        </w:rPr>
        <w:t xml:space="preserve"> </w:t>
      </w:r>
      <w:r>
        <w:t>Kommission,</w:t>
      </w:r>
      <w:r>
        <w:rPr>
          <w:spacing w:val="-1"/>
        </w:rPr>
        <w:t xml:space="preserve"> </w:t>
      </w:r>
      <w:r>
        <w:t>der Europäischen Chemikalienagentur</w:t>
      </w:r>
      <w:r>
        <w:rPr>
          <w:spacing w:val="-1"/>
        </w:rPr>
        <w:t xml:space="preserve"> </w:t>
      </w:r>
      <w:r>
        <w:t>und externer</w:t>
      </w:r>
      <w:r>
        <w:rPr>
          <w:spacing w:val="-1"/>
        </w:rPr>
        <w:t xml:space="preserve"> </w:t>
      </w:r>
      <w:r>
        <w:t>Auftragnehmer,</w:t>
      </w:r>
      <w:r>
        <w:rPr>
          <w:spacing w:val="-1"/>
        </w:rPr>
        <w:t xml:space="preserve"> </w:t>
      </w:r>
      <w:r>
        <w:t>die</w:t>
      </w:r>
      <w:r>
        <w:rPr>
          <w:spacing w:val="-1"/>
        </w:rPr>
        <w:t xml:space="preserve"> </w:t>
      </w:r>
      <w:r>
        <w:t>Si</w:t>
      </w:r>
      <w:r>
        <w:t>e bei bestimmten Aufgaben unterstützen. Sie werden auch mit Kollegen in der Kommission zusammenarbeiten und die Konsultationen der Interessenträger koordinieren.</w:t>
      </w:r>
    </w:p>
    <w:p w14:paraId="70E813FF" w14:textId="77777777" w:rsidR="002257EE" w:rsidRDefault="002257EE">
      <w:pPr>
        <w:pStyle w:val="BodyText"/>
        <w:spacing w:before="1"/>
      </w:pPr>
    </w:p>
    <w:p w14:paraId="1254011B" w14:textId="77777777" w:rsidR="002257EE" w:rsidRDefault="008F6BFE">
      <w:pPr>
        <w:pStyle w:val="ListParagraph"/>
        <w:numPr>
          <w:ilvl w:val="0"/>
          <w:numId w:val="4"/>
        </w:numPr>
        <w:tabs>
          <w:tab w:val="left" w:pos="796"/>
          <w:tab w:val="left" w:pos="797"/>
        </w:tabs>
        <w:ind w:hanging="427"/>
        <w:rPr>
          <w:b/>
          <w:sz w:val="24"/>
        </w:rPr>
      </w:pPr>
      <w:r>
        <w:rPr>
          <w:b/>
          <w:sz w:val="24"/>
          <w:u w:val="single"/>
        </w:rPr>
        <w:t>Wichtigste</w:t>
      </w:r>
      <w:r>
        <w:rPr>
          <w:b/>
          <w:spacing w:val="-3"/>
          <w:sz w:val="24"/>
          <w:u w:val="single"/>
        </w:rPr>
        <w:t xml:space="preserve"> </w:t>
      </w:r>
      <w:r>
        <w:rPr>
          <w:b/>
          <w:spacing w:val="-2"/>
          <w:sz w:val="24"/>
          <w:u w:val="single"/>
        </w:rPr>
        <w:t>Qualifikationen:</w:t>
      </w:r>
    </w:p>
    <w:p w14:paraId="3BBB3469" w14:textId="77777777" w:rsidR="002257EE" w:rsidRDefault="002257EE">
      <w:pPr>
        <w:pStyle w:val="BodyText"/>
        <w:spacing w:before="1"/>
        <w:rPr>
          <w:b/>
          <w:sz w:val="16"/>
        </w:rPr>
      </w:pPr>
    </w:p>
    <w:p w14:paraId="17D6848D" w14:textId="77777777" w:rsidR="002257EE" w:rsidRDefault="008F6BFE">
      <w:pPr>
        <w:pStyle w:val="Heading1"/>
        <w:spacing w:before="90"/>
        <w:ind w:firstLine="0"/>
      </w:pPr>
      <w:r>
        <w:rPr>
          <w:spacing w:val="-2"/>
        </w:rPr>
        <w:t>Zulassungskriterien</w:t>
      </w:r>
    </w:p>
    <w:p w14:paraId="1BA7D7FC" w14:textId="77777777" w:rsidR="002257EE" w:rsidRDefault="002257EE">
      <w:pPr>
        <w:pStyle w:val="BodyText"/>
        <w:spacing w:before="11"/>
        <w:rPr>
          <w:b/>
          <w:sz w:val="21"/>
        </w:rPr>
      </w:pPr>
    </w:p>
    <w:p w14:paraId="1115B252" w14:textId="77777777" w:rsidR="002257EE" w:rsidRDefault="008F6BFE">
      <w:pPr>
        <w:pStyle w:val="BodyText"/>
        <w:ind w:left="796" w:right="108"/>
        <w:jc w:val="both"/>
      </w:pPr>
      <w:r>
        <w:t>Um zur Kommission abgeordnet zu werden, mus</w:t>
      </w:r>
      <w:r>
        <w:t>s der Bewerber/die Bewerberin folgende Zulassungskriterien erfüllen: Bewerberinnen und Bewerber, die nicht alle dieser Kriterien erfüllen, werden automatisch vom Auswahlverfahren ausgeschlossen.</w:t>
      </w:r>
    </w:p>
    <w:p w14:paraId="0866AA1E" w14:textId="77777777" w:rsidR="002257EE" w:rsidRDefault="002257EE">
      <w:pPr>
        <w:pStyle w:val="BodyText"/>
        <w:spacing w:before="1"/>
      </w:pPr>
    </w:p>
    <w:p w14:paraId="6598E875" w14:textId="77777777" w:rsidR="002257EE" w:rsidRDefault="008F6BFE">
      <w:pPr>
        <w:pStyle w:val="ListParagraph"/>
        <w:numPr>
          <w:ilvl w:val="1"/>
          <w:numId w:val="4"/>
        </w:numPr>
        <w:tabs>
          <w:tab w:val="left" w:pos="1081"/>
        </w:tabs>
        <w:ind w:right="108"/>
      </w:pPr>
      <w:r>
        <w:rPr>
          <w:u w:val="single"/>
        </w:rPr>
        <w:t>Berufserfahrung</w:t>
      </w:r>
      <w:r>
        <w:t>: mindestens dreijährige Berufserfahrung in a</w:t>
      </w:r>
      <w:r>
        <w:t>dministrativen, juristischen, naturwissenschaftlichen, technischen Bereichen, Beratungs- oder Aufsichtsfunktionen, die mit den Aufgaben der Funktionsgruppe AD der EU-Bediensteten vergleichbar sind.</w:t>
      </w:r>
    </w:p>
    <w:p w14:paraId="361ACD1C" w14:textId="77777777" w:rsidR="002257EE" w:rsidRDefault="002257EE">
      <w:pPr>
        <w:pStyle w:val="BodyText"/>
        <w:spacing w:before="11"/>
        <w:rPr>
          <w:sz w:val="21"/>
        </w:rPr>
      </w:pPr>
    </w:p>
    <w:p w14:paraId="3D3B87A2" w14:textId="77777777" w:rsidR="002257EE" w:rsidRDefault="008F6BFE">
      <w:pPr>
        <w:pStyle w:val="ListParagraph"/>
        <w:numPr>
          <w:ilvl w:val="1"/>
          <w:numId w:val="4"/>
        </w:numPr>
        <w:tabs>
          <w:tab w:val="left" w:pos="1081"/>
        </w:tabs>
        <w:ind w:right="108"/>
      </w:pPr>
      <w:r>
        <w:rPr>
          <w:u w:val="single"/>
        </w:rPr>
        <w:t>Dienstalter</w:t>
      </w:r>
      <w:r>
        <w:t>: Bewerberinnen und Bewerber müssen ein Dienstalter von mindestens einem Jahr bei ihrem Arbeitgeber nachweisen, das heißt seit mindestens einem Jahr in einem dienst- oder vertragsrechtlichen Verhältnis mit einem Arbeitgeber im Sinne von Artikel 1 des ANS-B</w:t>
      </w:r>
      <w:r>
        <w:t>eschlusses stehen.</w:t>
      </w:r>
    </w:p>
    <w:p w14:paraId="2FCF313D" w14:textId="77777777" w:rsidR="002257EE" w:rsidRDefault="002257EE">
      <w:pPr>
        <w:pStyle w:val="BodyText"/>
      </w:pPr>
    </w:p>
    <w:p w14:paraId="3AA0AD67" w14:textId="77777777" w:rsidR="002257EE" w:rsidRDefault="008F6BFE">
      <w:pPr>
        <w:pStyle w:val="ListParagraph"/>
        <w:numPr>
          <w:ilvl w:val="1"/>
          <w:numId w:val="4"/>
        </w:numPr>
        <w:tabs>
          <w:tab w:val="left" w:pos="1081"/>
        </w:tabs>
        <w:ind w:right="107"/>
      </w:pPr>
      <w:r>
        <w:rPr>
          <w:u w:val="single"/>
        </w:rPr>
        <w:t>Sprachkenntnisse</w:t>
      </w:r>
      <w:r>
        <w:t>: gründliche Kenntnisse in einer Sprache der Europäischen Union und Kenntnisse in einer weiteren Sprache der Europäischen Union, die für die Wahrnehmung der beschriebenen Aufgaben ausreichen. ANS aus einem Drittland müss</w:t>
      </w:r>
      <w:r>
        <w:t>en nachweisen, dass sie gründliche Kenntnisse einer für die Ausübung ihrer Tätigkeit erforderlichen EU-Amtssprache besitzen.</w:t>
      </w:r>
    </w:p>
    <w:p w14:paraId="412923C1" w14:textId="77777777" w:rsidR="002257EE" w:rsidRDefault="002257EE">
      <w:pPr>
        <w:pStyle w:val="BodyText"/>
        <w:spacing w:before="11"/>
        <w:rPr>
          <w:sz w:val="23"/>
        </w:rPr>
      </w:pPr>
    </w:p>
    <w:p w14:paraId="624D8D0F" w14:textId="77777777" w:rsidR="002257EE" w:rsidRDefault="008F6BFE">
      <w:pPr>
        <w:pStyle w:val="Heading1"/>
        <w:ind w:firstLine="0"/>
      </w:pPr>
      <w:r>
        <w:t>B)</w:t>
      </w:r>
      <w:r>
        <w:rPr>
          <w:spacing w:val="4"/>
        </w:rPr>
        <w:t xml:space="preserve"> </w:t>
      </w:r>
      <w:r>
        <w:rPr>
          <w:spacing w:val="-2"/>
          <w:u w:val="single"/>
        </w:rPr>
        <w:t>Auswahlkriterien</w:t>
      </w:r>
    </w:p>
    <w:p w14:paraId="54297282" w14:textId="77777777" w:rsidR="002257EE" w:rsidRDefault="002257EE">
      <w:pPr>
        <w:pStyle w:val="BodyText"/>
        <w:spacing w:before="2"/>
        <w:rPr>
          <w:b/>
          <w:sz w:val="16"/>
        </w:rPr>
      </w:pPr>
    </w:p>
    <w:p w14:paraId="551ABAF2" w14:textId="77777777" w:rsidR="002257EE" w:rsidRDefault="008F6BFE">
      <w:pPr>
        <w:pStyle w:val="BodyText"/>
        <w:spacing w:before="90"/>
        <w:ind w:left="1080" w:right="7373"/>
      </w:pPr>
      <w:r>
        <w:rPr>
          <w:spacing w:val="-2"/>
          <w:u w:val="single"/>
        </w:rPr>
        <w:t>Hochschulabschluss</w:t>
      </w:r>
      <w:r>
        <w:rPr>
          <w:spacing w:val="-2"/>
        </w:rPr>
        <w:t xml:space="preserve"> </w:t>
      </w:r>
      <w:r>
        <w:t>Hochschulabschluss</w:t>
      </w:r>
      <w:r>
        <w:rPr>
          <w:spacing w:val="-14"/>
        </w:rPr>
        <w:t xml:space="preserve"> </w:t>
      </w:r>
      <w:r>
        <w:t>oder</w:t>
      </w:r>
    </w:p>
    <w:p w14:paraId="7D82A7F5" w14:textId="77777777" w:rsidR="002257EE" w:rsidRDefault="008F6BFE">
      <w:pPr>
        <w:pStyle w:val="BodyText"/>
        <w:spacing w:before="1"/>
        <w:ind w:left="1080"/>
      </w:pPr>
      <w:r>
        <w:rPr>
          <w:spacing w:val="-2"/>
        </w:rPr>
        <w:t>Berufsausbildung</w:t>
      </w:r>
      <w:r>
        <w:rPr>
          <w:spacing w:val="6"/>
        </w:rPr>
        <w:t xml:space="preserve"> </w:t>
      </w:r>
      <w:r>
        <w:rPr>
          <w:spacing w:val="-2"/>
        </w:rPr>
        <w:t>oder</w:t>
      </w:r>
      <w:r>
        <w:rPr>
          <w:spacing w:val="8"/>
        </w:rPr>
        <w:t xml:space="preserve"> </w:t>
      </w:r>
      <w:r>
        <w:rPr>
          <w:spacing w:val="-2"/>
        </w:rPr>
        <w:t>gleichwertige</w:t>
      </w:r>
      <w:r>
        <w:rPr>
          <w:spacing w:val="6"/>
        </w:rPr>
        <w:t xml:space="preserve"> </w:t>
      </w:r>
      <w:r>
        <w:rPr>
          <w:spacing w:val="-2"/>
        </w:rPr>
        <w:t>Berufserfahrung</w:t>
      </w:r>
    </w:p>
    <w:p w14:paraId="18725E3D" w14:textId="77777777" w:rsidR="002257EE" w:rsidRDefault="002257EE">
      <w:pPr>
        <w:pStyle w:val="BodyText"/>
        <w:spacing w:before="10"/>
        <w:rPr>
          <w:sz w:val="21"/>
        </w:rPr>
      </w:pPr>
    </w:p>
    <w:p w14:paraId="769603ED" w14:textId="77777777" w:rsidR="002257EE" w:rsidRDefault="008F6BFE">
      <w:pPr>
        <w:pStyle w:val="BodyText"/>
        <w:tabs>
          <w:tab w:val="left" w:pos="3910"/>
        </w:tabs>
        <w:spacing w:before="1"/>
        <w:ind w:left="1079" w:right="168" w:firstLine="110"/>
        <w:jc w:val="both"/>
      </w:pPr>
      <w:r>
        <w:t>in folgenden Bereichen:</w:t>
      </w:r>
      <w:r>
        <w:tab/>
        <w:t>Umweltwissenschaften, Ingenieurwesen oder Chemie. Andere Kenntnisse und Schutzrechte werden in Betracht gezogen, wenn der Bewerber/die Bewerberin über einschlägige Berufserfahrung in den Bereichen Batterien, Elektro- und Elektronikg</w:t>
      </w:r>
      <w:r>
        <w:t>eräte, Abfallentsorgung oder Stoffbeschränkung verfügt.</w:t>
      </w:r>
    </w:p>
    <w:p w14:paraId="74219D05" w14:textId="77777777" w:rsidR="002257EE" w:rsidRDefault="002257EE">
      <w:pPr>
        <w:pStyle w:val="BodyText"/>
        <w:spacing w:before="11"/>
        <w:rPr>
          <w:sz w:val="21"/>
        </w:rPr>
      </w:pPr>
    </w:p>
    <w:p w14:paraId="4891C7D2" w14:textId="77777777" w:rsidR="002257EE" w:rsidRDefault="008F6BFE">
      <w:pPr>
        <w:pStyle w:val="BodyText"/>
        <w:ind w:left="1080"/>
      </w:pPr>
      <w:r>
        <w:rPr>
          <w:spacing w:val="-2"/>
          <w:u w:val="single"/>
        </w:rPr>
        <w:t>Berufserfahrung</w:t>
      </w:r>
    </w:p>
    <w:p w14:paraId="1BAB98A3" w14:textId="77777777" w:rsidR="002257EE" w:rsidRDefault="002257EE">
      <w:pPr>
        <w:pStyle w:val="BodyText"/>
        <w:spacing w:before="2"/>
        <w:rPr>
          <w:sz w:val="14"/>
        </w:rPr>
      </w:pPr>
    </w:p>
    <w:p w14:paraId="210B546C" w14:textId="77777777" w:rsidR="002257EE" w:rsidRDefault="008F6BFE">
      <w:pPr>
        <w:pStyle w:val="BodyText"/>
        <w:spacing w:before="90"/>
        <w:ind w:left="1080" w:right="167"/>
        <w:jc w:val="both"/>
      </w:pPr>
      <w:r w:rsidRPr="008F6BFE">
        <w:rPr>
          <w:color w:val="000000"/>
        </w:rPr>
        <w:t>Der ideale Bewerber verfügt über technische Erfahrung in einem oder mehreren der folgenden Bereiche:</w:t>
      </w:r>
      <w:r>
        <w:rPr>
          <w:color w:val="000000"/>
        </w:rPr>
        <w:t xml:space="preserve"> </w:t>
      </w:r>
      <w:r w:rsidRPr="008F6BFE">
        <w:rPr>
          <w:color w:val="000000"/>
        </w:rPr>
        <w:t xml:space="preserve">Batterien, Elektro- und Elektronikgeräte, Abfallentsorgung oder Beschränkung von </w:t>
      </w:r>
      <w:r w:rsidRPr="008F6BFE">
        <w:rPr>
          <w:color w:val="000000"/>
        </w:rPr>
        <w:t>Stoffen.</w:t>
      </w:r>
      <w:r>
        <w:rPr>
          <w:color w:val="000000"/>
        </w:rPr>
        <w:t xml:space="preserve"> Wir suchen einen gut organisierten Bewerber mit fundiertem Urteilsvermögen, analytischen Fähigkeiten und der Fähigkeit, Beiträge und Informationen aus verschiedenen Quellen/Interessenträgern/Mitgliedstaaten rasch zu</w:t>
      </w:r>
      <w:r>
        <w:rPr>
          <w:color w:val="000000"/>
          <w:spacing w:val="70"/>
          <w:w w:val="150"/>
        </w:rPr>
        <w:t xml:space="preserve">  </w:t>
      </w:r>
      <w:r>
        <w:rPr>
          <w:color w:val="000000"/>
        </w:rPr>
        <w:t>verstehen</w:t>
      </w:r>
      <w:r>
        <w:rPr>
          <w:color w:val="000000"/>
          <w:spacing w:val="70"/>
          <w:w w:val="150"/>
        </w:rPr>
        <w:t xml:space="preserve">  </w:t>
      </w:r>
      <w:r>
        <w:rPr>
          <w:color w:val="000000"/>
        </w:rPr>
        <w:t>und</w:t>
      </w:r>
      <w:r>
        <w:rPr>
          <w:color w:val="000000"/>
          <w:spacing w:val="69"/>
          <w:w w:val="150"/>
        </w:rPr>
        <w:t xml:space="preserve">  </w:t>
      </w:r>
      <w:r>
        <w:rPr>
          <w:color w:val="000000"/>
        </w:rPr>
        <w:t>zu</w:t>
      </w:r>
      <w:r>
        <w:rPr>
          <w:color w:val="000000"/>
          <w:spacing w:val="70"/>
          <w:w w:val="150"/>
        </w:rPr>
        <w:t xml:space="preserve">  </w:t>
      </w:r>
      <w:r>
        <w:rPr>
          <w:color w:val="000000"/>
        </w:rPr>
        <w:t>bewerten,</w:t>
      </w:r>
      <w:r>
        <w:rPr>
          <w:color w:val="000000"/>
          <w:spacing w:val="70"/>
          <w:w w:val="150"/>
        </w:rPr>
        <w:t xml:space="preserve"> </w:t>
      </w:r>
      <w:r>
        <w:rPr>
          <w:color w:val="000000"/>
          <w:spacing w:val="70"/>
          <w:w w:val="150"/>
        </w:rPr>
        <w:t xml:space="preserve"> </w:t>
      </w:r>
      <w:r>
        <w:rPr>
          <w:color w:val="000000"/>
        </w:rPr>
        <w:t>mit</w:t>
      </w:r>
      <w:r>
        <w:rPr>
          <w:color w:val="000000"/>
          <w:spacing w:val="70"/>
          <w:w w:val="150"/>
        </w:rPr>
        <w:t xml:space="preserve">  </w:t>
      </w:r>
      <w:r>
        <w:rPr>
          <w:color w:val="000000"/>
        </w:rPr>
        <w:t>ausgezeichneten</w:t>
      </w:r>
      <w:r>
        <w:rPr>
          <w:color w:val="000000"/>
          <w:spacing w:val="70"/>
          <w:w w:val="150"/>
        </w:rPr>
        <w:t xml:space="preserve">  </w:t>
      </w:r>
      <w:r>
        <w:rPr>
          <w:color w:val="000000"/>
        </w:rPr>
        <w:t>schriftlichen</w:t>
      </w:r>
      <w:r>
        <w:rPr>
          <w:color w:val="000000"/>
          <w:spacing w:val="70"/>
          <w:w w:val="150"/>
        </w:rPr>
        <w:t xml:space="preserve">  </w:t>
      </w:r>
      <w:r>
        <w:rPr>
          <w:color w:val="000000"/>
        </w:rPr>
        <w:t>und</w:t>
      </w:r>
      <w:r>
        <w:rPr>
          <w:color w:val="000000"/>
          <w:spacing w:val="70"/>
          <w:w w:val="150"/>
        </w:rPr>
        <w:t xml:space="preserve">  </w:t>
      </w:r>
      <w:r>
        <w:rPr>
          <w:color w:val="000000"/>
        </w:rPr>
        <w:t>mündlichen</w:t>
      </w:r>
    </w:p>
    <w:p w14:paraId="4AB27758" w14:textId="77777777" w:rsidR="002257EE" w:rsidRDefault="002257EE">
      <w:pPr>
        <w:jc w:val="both"/>
        <w:sectPr w:rsidR="002257EE">
          <w:pgSz w:w="11910" w:h="16840"/>
          <w:pgMar w:top="1040" w:right="740" w:bottom="880" w:left="480" w:header="0" w:footer="686" w:gutter="0"/>
          <w:cols w:space="720"/>
        </w:sectPr>
      </w:pPr>
    </w:p>
    <w:p w14:paraId="3B994914" w14:textId="77777777" w:rsidR="002257EE" w:rsidRDefault="008F6BFE">
      <w:pPr>
        <w:pStyle w:val="BodyText"/>
        <w:spacing w:before="75"/>
        <w:ind w:left="1080"/>
      </w:pPr>
      <w:r>
        <w:lastRenderedPageBreak/>
        <w:t>Kommunikationsfähigkeiten</w:t>
      </w:r>
      <w:r>
        <w:rPr>
          <w:spacing w:val="34"/>
        </w:rPr>
        <w:t xml:space="preserve"> </w:t>
      </w:r>
      <w:r>
        <w:t>und</w:t>
      </w:r>
      <w:r>
        <w:rPr>
          <w:spacing w:val="32"/>
        </w:rPr>
        <w:t xml:space="preserve"> </w:t>
      </w:r>
      <w:r>
        <w:t>der</w:t>
      </w:r>
      <w:r>
        <w:rPr>
          <w:spacing w:val="33"/>
        </w:rPr>
        <w:t xml:space="preserve"> </w:t>
      </w:r>
      <w:r>
        <w:t>Fähigkeit,</w:t>
      </w:r>
      <w:r>
        <w:rPr>
          <w:spacing w:val="32"/>
        </w:rPr>
        <w:t xml:space="preserve"> </w:t>
      </w:r>
      <w:r>
        <w:t>in</w:t>
      </w:r>
      <w:r>
        <w:rPr>
          <w:spacing w:val="34"/>
        </w:rPr>
        <w:t xml:space="preserve"> </w:t>
      </w:r>
      <w:r>
        <w:t>einem</w:t>
      </w:r>
      <w:r>
        <w:rPr>
          <w:spacing w:val="33"/>
        </w:rPr>
        <w:t xml:space="preserve"> </w:t>
      </w:r>
      <w:r>
        <w:t>Team</w:t>
      </w:r>
      <w:r>
        <w:rPr>
          <w:spacing w:val="33"/>
        </w:rPr>
        <w:t xml:space="preserve"> </w:t>
      </w:r>
      <w:r>
        <w:t>zu</w:t>
      </w:r>
      <w:r>
        <w:rPr>
          <w:spacing w:val="34"/>
        </w:rPr>
        <w:t xml:space="preserve"> </w:t>
      </w:r>
      <w:r>
        <w:t>arbeiten.</w:t>
      </w:r>
      <w:r>
        <w:rPr>
          <w:spacing w:val="33"/>
        </w:rPr>
        <w:t xml:space="preserve"> </w:t>
      </w:r>
      <w:r>
        <w:t>Die</w:t>
      </w:r>
      <w:r>
        <w:rPr>
          <w:spacing w:val="33"/>
        </w:rPr>
        <w:t xml:space="preserve"> </w:t>
      </w:r>
      <w:r>
        <w:t>Fähigkeit,</w:t>
      </w:r>
      <w:r>
        <w:rPr>
          <w:spacing w:val="32"/>
        </w:rPr>
        <w:t xml:space="preserve"> </w:t>
      </w:r>
      <w:r>
        <w:t>Rechtstexte abzufassen, und Erfahrungen mit dem Beschlussfassungsprozess der EU wären von Vorteil.</w:t>
      </w:r>
    </w:p>
    <w:p w14:paraId="02956381" w14:textId="77777777" w:rsidR="002257EE" w:rsidRDefault="002257EE">
      <w:pPr>
        <w:pStyle w:val="BodyText"/>
        <w:spacing w:before="11"/>
        <w:rPr>
          <w:sz w:val="21"/>
        </w:rPr>
      </w:pPr>
    </w:p>
    <w:p w14:paraId="3816FA2B" w14:textId="77777777" w:rsidR="002257EE" w:rsidRDefault="008F6BFE">
      <w:pPr>
        <w:pStyle w:val="BodyText"/>
        <w:ind w:left="1080"/>
      </w:pPr>
      <w:r>
        <w:rPr>
          <w:u w:val="single"/>
        </w:rPr>
        <w:t>Für</w:t>
      </w:r>
      <w:r>
        <w:rPr>
          <w:spacing w:val="-8"/>
          <w:u w:val="single"/>
        </w:rPr>
        <w:t xml:space="preserve"> </w:t>
      </w:r>
      <w:r>
        <w:rPr>
          <w:u w:val="single"/>
        </w:rPr>
        <w:t>die</w:t>
      </w:r>
      <w:r>
        <w:rPr>
          <w:spacing w:val="-9"/>
          <w:u w:val="single"/>
        </w:rPr>
        <w:t xml:space="preserve"> </w:t>
      </w:r>
      <w:r>
        <w:rPr>
          <w:u w:val="single"/>
        </w:rPr>
        <w:t>Ausübung</w:t>
      </w:r>
      <w:r>
        <w:rPr>
          <w:spacing w:val="-8"/>
          <w:u w:val="single"/>
        </w:rPr>
        <w:t xml:space="preserve"> </w:t>
      </w:r>
      <w:r>
        <w:rPr>
          <w:u w:val="single"/>
        </w:rPr>
        <w:t>der</w:t>
      </w:r>
      <w:r>
        <w:rPr>
          <w:spacing w:val="-8"/>
          <w:u w:val="single"/>
        </w:rPr>
        <w:t xml:space="preserve"> </w:t>
      </w:r>
      <w:r>
        <w:rPr>
          <w:u w:val="single"/>
        </w:rPr>
        <w:t>Tätigkeit</w:t>
      </w:r>
      <w:r>
        <w:rPr>
          <w:spacing w:val="-8"/>
          <w:u w:val="single"/>
        </w:rPr>
        <w:t xml:space="preserve"> </w:t>
      </w:r>
      <w:r>
        <w:rPr>
          <w:u w:val="single"/>
        </w:rPr>
        <w:t>erforderliche</w:t>
      </w:r>
      <w:r>
        <w:rPr>
          <w:spacing w:val="-8"/>
          <w:u w:val="single"/>
        </w:rPr>
        <w:t xml:space="preserve"> </w:t>
      </w:r>
      <w:r>
        <w:rPr>
          <w:spacing w:val="-2"/>
          <w:u w:val="single"/>
        </w:rPr>
        <w:t>Sprachkenntnisse:</w:t>
      </w:r>
    </w:p>
    <w:p w14:paraId="64882734" w14:textId="77777777" w:rsidR="002257EE" w:rsidRDefault="002257EE">
      <w:pPr>
        <w:pStyle w:val="BodyText"/>
        <w:spacing w:before="2"/>
        <w:rPr>
          <w:sz w:val="14"/>
        </w:rPr>
      </w:pPr>
    </w:p>
    <w:p w14:paraId="5654CFBB" w14:textId="77777777" w:rsidR="002257EE" w:rsidRDefault="008F6BFE">
      <w:pPr>
        <w:pStyle w:val="BodyText"/>
        <w:spacing w:before="91"/>
        <w:ind w:left="1080"/>
      </w:pPr>
      <w:r>
        <w:t xml:space="preserve">Ausgezeichnete Englischkenntnisse sind ein Muss; gute Kenntnisse anderer EU-Amtssprachen wären von </w:t>
      </w:r>
      <w:r>
        <w:rPr>
          <w:spacing w:val="-2"/>
        </w:rPr>
        <w:t>Vorteil.</w:t>
      </w:r>
    </w:p>
    <w:p w14:paraId="0EB20A9C" w14:textId="77777777" w:rsidR="002257EE" w:rsidRDefault="002257EE">
      <w:pPr>
        <w:pStyle w:val="BodyText"/>
        <w:spacing w:before="1"/>
      </w:pPr>
    </w:p>
    <w:p w14:paraId="5F4DB5B2" w14:textId="77777777" w:rsidR="002257EE" w:rsidRDefault="008F6BFE">
      <w:pPr>
        <w:pStyle w:val="ListParagraph"/>
        <w:numPr>
          <w:ilvl w:val="0"/>
          <w:numId w:val="4"/>
        </w:numPr>
        <w:tabs>
          <w:tab w:val="left" w:pos="796"/>
          <w:tab w:val="left" w:pos="797"/>
        </w:tabs>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14:paraId="43406241" w14:textId="77777777" w:rsidR="002257EE" w:rsidRDefault="002257EE">
      <w:pPr>
        <w:pStyle w:val="BodyText"/>
        <w:rPr>
          <w:b/>
          <w:sz w:val="16"/>
        </w:rPr>
      </w:pPr>
    </w:p>
    <w:p w14:paraId="1806235E" w14:textId="77777777" w:rsidR="002257EE" w:rsidRDefault="008F6BFE">
      <w:pPr>
        <w:tabs>
          <w:tab w:val="left" w:pos="1787"/>
          <w:tab w:val="left" w:pos="3869"/>
          <w:tab w:val="left" w:pos="5129"/>
          <w:tab w:val="left" w:pos="6145"/>
          <w:tab w:val="left" w:pos="7832"/>
          <w:tab w:val="left" w:pos="8738"/>
        </w:tabs>
        <w:spacing w:before="90"/>
        <w:ind w:left="796" w:right="282"/>
        <w:jc w:val="both"/>
        <w:rPr>
          <w:b/>
        </w:rPr>
      </w:pPr>
      <w:r>
        <w:pict w14:anchorId="031FA89B">
          <v:rect id="docshape3" o:spid="_x0000_s1027" style="position:absolute;left:0;text-align:left;margin-left:356.15pt;margin-top:28.65pt;width:3.7pt;height:.55pt;z-index:-15820288;mso-position-horizontal-relative:page" fillcolor="blue" stroked="f">
            <w10:wrap anchorx="page"/>
          </v:rect>
        </w:pict>
      </w:r>
      <w:r>
        <w:rPr>
          <w:spacing w:val="-4"/>
        </w:rPr>
        <w:t>Die</w:t>
      </w:r>
      <w:r>
        <w:tab/>
      </w:r>
      <w:r>
        <w:rPr>
          <w:spacing w:val="-2"/>
        </w:rPr>
        <w:t>Bewerber/innen</w:t>
      </w:r>
      <w:r>
        <w:tab/>
      </w:r>
      <w:r>
        <w:rPr>
          <w:spacing w:val="-2"/>
        </w:rPr>
        <w:t>sollten</w:t>
      </w:r>
      <w:r>
        <w:tab/>
      </w:r>
      <w:r>
        <w:rPr>
          <w:spacing w:val="-4"/>
        </w:rPr>
        <w:t>ihre</w:t>
      </w:r>
      <w:r>
        <w:tab/>
      </w:r>
      <w:r>
        <w:rPr>
          <w:spacing w:val="-2"/>
        </w:rPr>
        <w:t>Bewerbung</w:t>
      </w:r>
      <w:r>
        <w:tab/>
      </w:r>
      <w:r>
        <w:rPr>
          <w:spacing w:val="-6"/>
        </w:rPr>
        <w:t>im</w:t>
      </w:r>
      <w:r>
        <w:tab/>
      </w:r>
      <w:r>
        <w:rPr>
          <w:b/>
          <w:spacing w:val="-2"/>
        </w:rPr>
        <w:t xml:space="preserve">Europass-Format </w:t>
      </w:r>
      <w:r>
        <w:t>(</w:t>
      </w:r>
      <w:hyperlink r:id="rId15">
        <w:r>
          <w:t>http://europass.cedefop.europa.eu/en/documents/curriculum-vitae</w:t>
        </w:r>
      </w:hyperlink>
      <w:hyperlink r:id="rId16">
        <w:r>
          <w:rPr>
            <w:color w:val="0000FF"/>
          </w:rPr>
          <w:t>)</w:t>
        </w:r>
      </w:hyperlink>
      <w:r>
        <w:rPr>
          <w:color w:val="0000FF"/>
        </w:rPr>
        <w:t xml:space="preserve"> </w:t>
      </w:r>
      <w:r>
        <w:rPr>
          <w:b/>
          <w:u w:val="single"/>
        </w:rPr>
        <w:t>ausschließlich in englischer,</w:t>
      </w:r>
      <w:r>
        <w:rPr>
          <w:b/>
        </w:rPr>
        <w:t xml:space="preserve"> </w:t>
      </w:r>
      <w:r>
        <w:rPr>
          <w:b/>
          <w:u w:val="single"/>
        </w:rPr>
        <w:t>französischer</w:t>
      </w:r>
      <w:r>
        <w:rPr>
          <w:b/>
          <w:spacing w:val="-3"/>
          <w:u w:val="single"/>
        </w:rPr>
        <w:t xml:space="preserve"> </w:t>
      </w:r>
      <w:r>
        <w:rPr>
          <w:b/>
          <w:u w:val="single"/>
        </w:rPr>
        <w:t>oder</w:t>
      </w:r>
      <w:r>
        <w:rPr>
          <w:b/>
          <w:spacing w:val="-3"/>
          <w:u w:val="single"/>
        </w:rPr>
        <w:t xml:space="preserve"> </w:t>
      </w:r>
      <w:r>
        <w:rPr>
          <w:b/>
          <w:u w:val="single"/>
        </w:rPr>
        <w:t>deutscher</w:t>
      </w:r>
      <w:r>
        <w:rPr>
          <w:b/>
          <w:spacing w:val="-3"/>
          <w:u w:val="single"/>
        </w:rPr>
        <w:t xml:space="preserve"> </w:t>
      </w:r>
      <w:r>
        <w:rPr>
          <w:b/>
          <w:u w:val="single"/>
        </w:rPr>
        <w:t>Sprache</w:t>
      </w:r>
      <w:r>
        <w:rPr>
          <w:b/>
          <w:spacing w:val="-3"/>
          <w:u w:val="single"/>
        </w:rPr>
        <w:t xml:space="preserve"> </w:t>
      </w:r>
      <w:r>
        <w:rPr>
          <w:b/>
          <w:u w:val="single"/>
        </w:rPr>
        <w:t>an</w:t>
      </w:r>
      <w:r>
        <w:rPr>
          <w:b/>
          <w:spacing w:val="-2"/>
          <w:u w:val="single"/>
        </w:rPr>
        <w:t xml:space="preserve"> </w:t>
      </w:r>
      <w:r>
        <w:rPr>
          <w:b/>
          <w:u w:val="single"/>
        </w:rPr>
        <w:t>die</w:t>
      </w:r>
      <w:r>
        <w:rPr>
          <w:b/>
          <w:spacing w:val="-3"/>
          <w:u w:val="single"/>
        </w:rPr>
        <w:t xml:space="preserve"> </w:t>
      </w:r>
      <w:r>
        <w:rPr>
          <w:b/>
          <w:u w:val="single"/>
        </w:rPr>
        <w:t>Ständige</w:t>
      </w:r>
      <w:r>
        <w:rPr>
          <w:b/>
          <w:spacing w:val="-3"/>
          <w:u w:val="single"/>
        </w:rPr>
        <w:t xml:space="preserve"> </w:t>
      </w:r>
      <w:r>
        <w:rPr>
          <w:b/>
          <w:u w:val="single"/>
        </w:rPr>
        <w:t>Vertretung/Diplomatenmission</w:t>
      </w:r>
      <w:r>
        <w:rPr>
          <w:b/>
          <w:spacing w:val="-2"/>
          <w:u w:val="single"/>
        </w:rPr>
        <w:t xml:space="preserve"> </w:t>
      </w:r>
      <w:r>
        <w:rPr>
          <w:b/>
          <w:u w:val="single"/>
        </w:rPr>
        <w:t>bei</w:t>
      </w:r>
      <w:r>
        <w:rPr>
          <w:b/>
          <w:spacing w:val="-2"/>
          <w:u w:val="single"/>
        </w:rPr>
        <w:t xml:space="preserve"> </w:t>
      </w:r>
      <w:r>
        <w:rPr>
          <w:b/>
          <w:u w:val="single"/>
        </w:rPr>
        <w:t>der</w:t>
      </w:r>
      <w:r>
        <w:rPr>
          <w:b/>
          <w:spacing w:val="-3"/>
          <w:u w:val="single"/>
        </w:rPr>
        <w:t xml:space="preserve"> </w:t>
      </w:r>
      <w:r>
        <w:rPr>
          <w:b/>
          <w:u w:val="single"/>
        </w:rPr>
        <w:t>EU</w:t>
      </w:r>
      <w:r>
        <w:rPr>
          <w:b/>
          <w:spacing w:val="-3"/>
          <w:u w:val="single"/>
        </w:rPr>
        <w:t xml:space="preserve"> </w:t>
      </w:r>
      <w:r>
        <w:rPr>
          <w:b/>
          <w:u w:val="single"/>
        </w:rPr>
        <w:t>ihres</w:t>
      </w:r>
      <w:r>
        <w:rPr>
          <w:b/>
        </w:rPr>
        <w:t xml:space="preserve"> </w:t>
      </w:r>
      <w:r>
        <w:rPr>
          <w:b/>
          <w:u w:val="single"/>
        </w:rPr>
        <w:t>Landes</w:t>
      </w:r>
      <w:r>
        <w:rPr>
          <w:b/>
        </w:rPr>
        <w:t xml:space="preserve"> </w:t>
      </w:r>
      <w:r>
        <w:t>schicken, die sie innerhalb der von diesen festgelegten Frist an die zuständigen Dienststellen der Kommission weiterleitet. Im Lebenslauf müssen Ihr Geburtsdatum und Ihre Staatsangehörigkeit ang</w:t>
      </w:r>
      <w:r>
        <w:t xml:space="preserve">egeben sein. </w:t>
      </w:r>
      <w:r>
        <w:rPr>
          <w:b/>
        </w:rPr>
        <w:t xml:space="preserve">Bei Nichteinhaltung dieses Verfahrens oder der Fristen wird die Bewerbung automatisch </w:t>
      </w:r>
      <w:r>
        <w:rPr>
          <w:b/>
          <w:spacing w:val="-2"/>
        </w:rPr>
        <w:t>ungültig.</w:t>
      </w:r>
    </w:p>
    <w:p w14:paraId="3E879920" w14:textId="77777777" w:rsidR="002257EE" w:rsidRDefault="002257EE">
      <w:pPr>
        <w:pStyle w:val="BodyText"/>
        <w:rPr>
          <w:b/>
        </w:rPr>
      </w:pPr>
    </w:p>
    <w:p w14:paraId="730A4181" w14:textId="77777777" w:rsidR="002257EE" w:rsidRDefault="008F6BFE">
      <w:pPr>
        <w:pStyle w:val="BodyText"/>
        <w:spacing w:before="1"/>
        <w:ind w:left="797" w:right="270" w:hanging="1"/>
        <w:jc w:val="both"/>
      </w:pPr>
      <w:r>
        <w:t>Bitte fügen Sie Ihrer Bewerbung keine anderen Unterlagen bei (wie Kopien des Personalausweises oder von Abschlusszeugnissen, Nachweise der Berufse</w:t>
      </w:r>
      <w:r>
        <w:t>rfahrung usw.). Diese werden erforderlichenfalls in einem späteren Stadium des Auswahlverfahrens angefordert.</w:t>
      </w:r>
    </w:p>
    <w:p w14:paraId="6B7FECBE" w14:textId="77777777" w:rsidR="002257EE" w:rsidRDefault="008F6BFE">
      <w:pPr>
        <w:pStyle w:val="BodyText"/>
        <w:spacing w:line="253" w:lineRule="exact"/>
        <w:ind w:left="797"/>
        <w:jc w:val="both"/>
      </w:pPr>
      <w:r>
        <w:t>Sie</w:t>
      </w:r>
      <w:r>
        <w:rPr>
          <w:spacing w:val="-9"/>
        </w:rPr>
        <w:t xml:space="preserve"> </w:t>
      </w:r>
      <w:r>
        <w:t>werden</w:t>
      </w:r>
      <w:r>
        <w:rPr>
          <w:spacing w:val="-8"/>
        </w:rPr>
        <w:t xml:space="preserve"> </w:t>
      </w:r>
      <w:r>
        <w:t>vom</w:t>
      </w:r>
      <w:r>
        <w:rPr>
          <w:spacing w:val="-8"/>
        </w:rPr>
        <w:t xml:space="preserve"> </w:t>
      </w:r>
      <w:r>
        <w:t>einstellenden</w:t>
      </w:r>
      <w:r>
        <w:rPr>
          <w:spacing w:val="-8"/>
        </w:rPr>
        <w:t xml:space="preserve"> </w:t>
      </w:r>
      <w:r>
        <w:t>Referat</w:t>
      </w:r>
      <w:r>
        <w:rPr>
          <w:spacing w:val="-7"/>
        </w:rPr>
        <w:t xml:space="preserve"> </w:t>
      </w:r>
      <w:r>
        <w:t>über</w:t>
      </w:r>
      <w:r>
        <w:rPr>
          <w:spacing w:val="-8"/>
        </w:rPr>
        <w:t xml:space="preserve"> </w:t>
      </w:r>
      <w:r>
        <w:t>den</w:t>
      </w:r>
      <w:r>
        <w:rPr>
          <w:spacing w:val="-8"/>
        </w:rPr>
        <w:t xml:space="preserve"> </w:t>
      </w:r>
      <w:r>
        <w:t>Stand</w:t>
      </w:r>
      <w:r>
        <w:rPr>
          <w:spacing w:val="-8"/>
        </w:rPr>
        <w:t xml:space="preserve"> </w:t>
      </w:r>
      <w:r>
        <w:t>Ihrer</w:t>
      </w:r>
      <w:r>
        <w:rPr>
          <w:spacing w:val="-8"/>
        </w:rPr>
        <w:t xml:space="preserve"> </w:t>
      </w:r>
      <w:r>
        <w:t>Bewerbung</w:t>
      </w:r>
      <w:r>
        <w:rPr>
          <w:spacing w:val="-8"/>
        </w:rPr>
        <w:t xml:space="preserve"> </w:t>
      </w:r>
      <w:r>
        <w:rPr>
          <w:spacing w:val="-2"/>
        </w:rPr>
        <w:t>unterrichtet.</w:t>
      </w:r>
    </w:p>
    <w:p w14:paraId="25AA3108" w14:textId="77777777" w:rsidR="002257EE" w:rsidRDefault="008F6BFE">
      <w:pPr>
        <w:pStyle w:val="ListParagraph"/>
        <w:numPr>
          <w:ilvl w:val="0"/>
          <w:numId w:val="4"/>
        </w:numPr>
        <w:tabs>
          <w:tab w:val="left" w:pos="797"/>
        </w:tabs>
        <w:ind w:hanging="427"/>
        <w:jc w:val="both"/>
        <w:rPr>
          <w:b/>
          <w:sz w:val="24"/>
        </w:rPr>
      </w:pPr>
      <w:r>
        <w:rPr>
          <w:b/>
          <w:sz w:val="24"/>
          <w:u w:val="single"/>
        </w:rPr>
        <w:t>Bedingungen</w:t>
      </w:r>
      <w:r>
        <w:rPr>
          <w:b/>
          <w:spacing w:val="-4"/>
          <w:sz w:val="24"/>
          <w:u w:val="single"/>
        </w:rPr>
        <w:t xml:space="preserve"> </w:t>
      </w:r>
      <w:r>
        <w:rPr>
          <w:b/>
          <w:sz w:val="24"/>
          <w:u w:val="single"/>
        </w:rPr>
        <w:t>für</w:t>
      </w:r>
      <w:r>
        <w:rPr>
          <w:b/>
          <w:spacing w:val="-3"/>
          <w:sz w:val="24"/>
          <w:u w:val="single"/>
        </w:rPr>
        <w:t xml:space="preserve"> </w:t>
      </w:r>
      <w:r>
        <w:rPr>
          <w:b/>
          <w:sz w:val="24"/>
          <w:u w:val="single"/>
        </w:rPr>
        <w:t>die</w:t>
      </w:r>
      <w:r>
        <w:rPr>
          <w:b/>
          <w:spacing w:val="-3"/>
          <w:sz w:val="24"/>
          <w:u w:val="single"/>
        </w:rPr>
        <w:t xml:space="preserve"> </w:t>
      </w:r>
      <w:r>
        <w:rPr>
          <w:b/>
          <w:spacing w:val="-2"/>
          <w:sz w:val="24"/>
          <w:u w:val="single"/>
        </w:rPr>
        <w:t>Abordnung</w:t>
      </w:r>
    </w:p>
    <w:p w14:paraId="0D27CB10" w14:textId="77777777" w:rsidR="002257EE" w:rsidRDefault="002257EE">
      <w:pPr>
        <w:pStyle w:val="BodyText"/>
        <w:spacing w:before="1"/>
        <w:rPr>
          <w:b/>
          <w:sz w:val="16"/>
        </w:rPr>
      </w:pPr>
    </w:p>
    <w:p w14:paraId="4AA5DF68" w14:textId="77777777" w:rsidR="002257EE" w:rsidRDefault="008F6BFE">
      <w:pPr>
        <w:spacing w:before="91"/>
        <w:ind w:left="796" w:right="281"/>
        <w:jc w:val="both"/>
      </w:pPr>
      <w:r>
        <w:t xml:space="preserve">Abordnungen fallen unter den </w:t>
      </w:r>
      <w:r>
        <w:rPr>
          <w:b/>
        </w:rPr>
        <w:t xml:space="preserve">Beschluss C(2008) 6866 der Kommission vom 12.11.2008 über die </w:t>
      </w:r>
      <w:r>
        <w:t>Regelung für zur Kommission abgeordnete oder sich zu Zwecken der beruflichen Weiterbildung bei der Kommission aufhaltende nationale Sachverständige (ANS-Beschluss).</w:t>
      </w:r>
    </w:p>
    <w:p w14:paraId="58787444" w14:textId="77777777" w:rsidR="002257EE" w:rsidRDefault="008F6BFE">
      <w:pPr>
        <w:pStyle w:val="BodyText"/>
        <w:ind w:left="796" w:right="284"/>
        <w:jc w:val="both"/>
      </w:pPr>
      <w:r>
        <w:t>Die ANS bleiben während der Dauer der Abordnung bei ihrem Arbeitgeber angestellt und erhalten ihre Bezüge von diesem. Zudem bleiben sie während der Abordnung ihrem nationalen</w:t>
      </w:r>
      <w:r>
        <w:rPr>
          <w:spacing w:val="40"/>
        </w:rPr>
        <w:t xml:space="preserve"> </w:t>
      </w:r>
      <w:r>
        <w:t>Sozialversicherungssystem angeschlossen.</w:t>
      </w:r>
    </w:p>
    <w:p w14:paraId="20114C97" w14:textId="77777777" w:rsidR="002257EE" w:rsidRDefault="008F6BFE">
      <w:pPr>
        <w:pStyle w:val="BodyText"/>
        <w:ind w:left="796" w:right="285"/>
        <w:jc w:val="both"/>
      </w:pPr>
      <w:r>
        <w:t>Mit Ausnahme der unentgeltlich abgeordne</w:t>
      </w:r>
      <w:r>
        <w:t>ten Sachverständigen können den ANS, die die Bedingungen nach Artikel 17 des ANS-Beschlusses erfüllen, Tagegelder gezahlt werden.</w:t>
      </w:r>
    </w:p>
    <w:p w14:paraId="52B4084F" w14:textId="77777777" w:rsidR="002257EE" w:rsidRDefault="002257EE">
      <w:pPr>
        <w:pStyle w:val="BodyText"/>
        <w:spacing w:before="11"/>
        <w:rPr>
          <w:sz w:val="21"/>
        </w:rPr>
      </w:pPr>
    </w:p>
    <w:p w14:paraId="5FAF952A" w14:textId="77777777" w:rsidR="002257EE" w:rsidRDefault="008F6BFE">
      <w:pPr>
        <w:pStyle w:val="BodyText"/>
        <w:ind w:left="796" w:right="282"/>
        <w:jc w:val="both"/>
      </w:pPr>
      <w:r>
        <w:t>Während der Abordnung unterliegen die ANS den in den Artikeln 6 und 7 des ANS-Beschlusses vorgesehenen Verpflichtungen zur Ve</w:t>
      </w:r>
      <w:r>
        <w:t xml:space="preserve">rtraulichkeit, zur Loyalität und zum Ausschluss von </w:t>
      </w:r>
      <w:r>
        <w:rPr>
          <w:spacing w:val="-2"/>
        </w:rPr>
        <w:t>Interessenkonflikten.</w:t>
      </w:r>
    </w:p>
    <w:p w14:paraId="6DFA5D9F" w14:textId="77777777" w:rsidR="002257EE" w:rsidRDefault="008F6BFE">
      <w:pPr>
        <w:pStyle w:val="BodyText"/>
        <w:spacing w:before="1"/>
        <w:ind w:left="796"/>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14:paraId="38E69625" w14:textId="77777777" w:rsidR="002257EE" w:rsidRDefault="002257EE">
      <w:pPr>
        <w:pStyle w:val="BodyText"/>
        <w:spacing w:before="10"/>
        <w:rPr>
          <w:sz w:val="21"/>
        </w:rPr>
      </w:pPr>
    </w:p>
    <w:p w14:paraId="011AED2D" w14:textId="77777777" w:rsidR="002257EE" w:rsidRDefault="008F6BFE">
      <w:pPr>
        <w:pStyle w:val="BodyText"/>
        <w:spacing w:before="1"/>
        <w:ind w:left="796" w:right="285"/>
        <w:jc w:val="both"/>
      </w:pPr>
      <w:r>
        <w:t xml:space="preserve">Bedienstete, die in eine </w:t>
      </w:r>
      <w:r>
        <w:rPr>
          <w:b/>
        </w:rPr>
        <w:t xml:space="preserve">Delegation der Europäischen Union </w:t>
      </w:r>
      <w:r>
        <w:t>entsandt werden, benötigen eine Sicherheits</w:t>
      </w:r>
      <w:r>
        <w:t>überprüfung (bis zum Geheimhaltungsgrad SECRET UE/EU SECRET gemäß dem Beschluss (EU, Euratom) 2015/444 der Kommission vom 13. März 2015 (ABl. L 72 vom 17.3.2015, S. 53)).</w:t>
      </w:r>
    </w:p>
    <w:p w14:paraId="010981C3" w14:textId="77777777" w:rsidR="002257EE" w:rsidRDefault="008F6BFE">
      <w:pPr>
        <w:pStyle w:val="BodyText"/>
        <w:ind w:left="796" w:right="108"/>
        <w:jc w:val="both"/>
      </w:pPr>
      <w:r>
        <w:t>Der ausgewählte Bewerber ist verpflichtet, das Überprüfungsverfahren einzuleiten, bev</w:t>
      </w:r>
      <w:r>
        <w:t>or die Abordnung bestätigt wird.</w:t>
      </w:r>
    </w:p>
    <w:p w14:paraId="64C3C1F9" w14:textId="77777777" w:rsidR="002257EE" w:rsidRDefault="002257EE">
      <w:pPr>
        <w:pStyle w:val="BodyText"/>
        <w:spacing w:before="1"/>
        <w:rPr>
          <w:sz w:val="24"/>
        </w:rPr>
      </w:pPr>
    </w:p>
    <w:p w14:paraId="44F55245" w14:textId="77777777" w:rsidR="002257EE" w:rsidRDefault="008F6BFE">
      <w:pPr>
        <w:pStyle w:val="ListParagraph"/>
        <w:numPr>
          <w:ilvl w:val="0"/>
          <w:numId w:val="4"/>
        </w:numPr>
        <w:tabs>
          <w:tab w:val="left" w:pos="796"/>
          <w:tab w:val="left" w:pos="797"/>
        </w:tabs>
        <w:ind w:hanging="427"/>
        <w:rPr>
          <w:b/>
          <w:sz w:val="24"/>
        </w:rPr>
      </w:pPr>
      <w:r>
        <w:rPr>
          <w:b/>
          <w:sz w:val="24"/>
          <w:u w:val="single"/>
        </w:rPr>
        <w:t>Verarbeitung</w:t>
      </w:r>
      <w:r>
        <w:rPr>
          <w:b/>
          <w:spacing w:val="-5"/>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14:paraId="1262065F" w14:textId="77777777" w:rsidR="002257EE" w:rsidRDefault="002257EE">
      <w:pPr>
        <w:pStyle w:val="BodyText"/>
        <w:rPr>
          <w:b/>
          <w:sz w:val="16"/>
        </w:rPr>
      </w:pPr>
    </w:p>
    <w:p w14:paraId="559B342A" w14:textId="77777777" w:rsidR="002257EE" w:rsidRDefault="008F6BFE">
      <w:pPr>
        <w:pStyle w:val="BodyText"/>
        <w:spacing w:before="90"/>
        <w:ind w:left="796" w:right="283"/>
        <w:jc w:val="both"/>
      </w:pPr>
      <w:r>
        <w:t xml:space="preserve">Für das Auslesen, die Abordnung und die Beendigung der Abordnung eines nationalen Sachverständigen müssen die Kommission (die zuständigen Dienststellen der GD HR, die GD BUDG, das PMO </w:t>
      </w:r>
      <w:r>
        <w:t>und die betreffende GD) personenbezogene Daten der zu entsendenden Person unter der Verantwortung des Referatsleiters der GD HR.DDG.B4 verarbeiten. Die Datenverarbeitung unterliegt dem ANS-Beschluss sowie der Verordnung (EU) 2018/1725.</w:t>
      </w:r>
    </w:p>
    <w:p w14:paraId="3E2D1E4D" w14:textId="77777777" w:rsidR="002257EE" w:rsidRDefault="008F6BFE">
      <w:pPr>
        <w:pStyle w:val="BodyText"/>
        <w:spacing w:before="1"/>
        <w:ind w:left="796" w:right="283"/>
        <w:jc w:val="both"/>
      </w:pPr>
      <w:r>
        <w:t>Die Daten werden von den zuständigen Dienststellen nach der Abordnung zehn Jahre lang aufbewahrt (2 Jahre bei nicht ausgewählten oder nicht abgeordneten Sachverständigen).</w:t>
      </w:r>
    </w:p>
    <w:p w14:paraId="63F05127" w14:textId="77777777" w:rsidR="002257EE" w:rsidRDefault="008F6BFE">
      <w:pPr>
        <w:pStyle w:val="BodyText"/>
        <w:ind w:left="797" w:right="284" w:hanging="1"/>
        <w:jc w:val="both"/>
      </w:pPr>
      <w:r>
        <w:t>Als „betroffene Person“ gemäß Kapitel III (Artikel 14–25) der Verordnung (EU) 2018/1</w:t>
      </w:r>
      <w:r>
        <w:t>725 genießen Sie besondere Rechte, insbesondere das Recht auf Einsicht, Berichtigung oder Löschung Ihrer personenbezogenen</w:t>
      </w:r>
      <w:r>
        <w:rPr>
          <w:spacing w:val="80"/>
        </w:rPr>
        <w:t xml:space="preserve"> </w:t>
      </w:r>
      <w:r>
        <w:t>Daten,</w:t>
      </w:r>
      <w:r>
        <w:rPr>
          <w:spacing w:val="80"/>
        </w:rPr>
        <w:t xml:space="preserve"> </w:t>
      </w:r>
      <w:r>
        <w:t>sowie</w:t>
      </w:r>
      <w:r>
        <w:rPr>
          <w:spacing w:val="80"/>
        </w:rPr>
        <w:t xml:space="preserve"> </w:t>
      </w:r>
      <w:r>
        <w:t>das</w:t>
      </w:r>
      <w:r>
        <w:rPr>
          <w:spacing w:val="80"/>
        </w:rPr>
        <w:t xml:space="preserve"> </w:t>
      </w:r>
      <w:r>
        <w:t>Recht,</w:t>
      </w:r>
      <w:r>
        <w:rPr>
          <w:spacing w:val="80"/>
        </w:rPr>
        <w:t xml:space="preserve"> </w:t>
      </w:r>
      <w:r>
        <w:t>die</w:t>
      </w:r>
      <w:r>
        <w:rPr>
          <w:spacing w:val="80"/>
        </w:rPr>
        <w:t xml:space="preserve"> </w:t>
      </w:r>
      <w:r>
        <w:t>Verarbeitung</w:t>
      </w:r>
      <w:r>
        <w:rPr>
          <w:spacing w:val="80"/>
        </w:rPr>
        <w:t xml:space="preserve"> </w:t>
      </w:r>
      <w:r>
        <w:t>Ihrer</w:t>
      </w:r>
      <w:r>
        <w:rPr>
          <w:spacing w:val="80"/>
        </w:rPr>
        <w:t xml:space="preserve"> </w:t>
      </w:r>
      <w:r>
        <w:t>personenbezogenen</w:t>
      </w:r>
      <w:r>
        <w:rPr>
          <w:spacing w:val="80"/>
        </w:rPr>
        <w:t xml:space="preserve"> </w:t>
      </w:r>
      <w:r>
        <w:t>Daten</w:t>
      </w:r>
      <w:r>
        <w:rPr>
          <w:spacing w:val="74"/>
          <w:w w:val="150"/>
        </w:rPr>
        <w:t xml:space="preserve"> </w:t>
      </w:r>
      <w:r>
        <w:t>zu</w:t>
      </w:r>
    </w:p>
    <w:p w14:paraId="15663590" w14:textId="77777777" w:rsidR="002257EE" w:rsidRDefault="002257EE">
      <w:pPr>
        <w:jc w:val="both"/>
        <w:sectPr w:rsidR="002257EE">
          <w:pgSz w:w="11910" w:h="16840"/>
          <w:pgMar w:top="1040" w:right="740" w:bottom="880" w:left="480" w:header="0" w:footer="686" w:gutter="0"/>
          <w:cols w:space="720"/>
        </w:sectPr>
      </w:pPr>
    </w:p>
    <w:p w14:paraId="0D219A7A" w14:textId="77777777" w:rsidR="002257EE" w:rsidRDefault="008F6BFE">
      <w:pPr>
        <w:pStyle w:val="BodyText"/>
        <w:spacing w:before="75"/>
        <w:ind w:left="796" w:right="282"/>
        <w:jc w:val="both"/>
      </w:pPr>
      <w:r>
        <w:lastRenderedPageBreak/>
        <w:t>beschränken. Gegebenenfalls haben Sie auch das Recht auf Widerspruch gegen die Verarbeitung oder das Recht auf Datenübertragbarkeit.</w:t>
      </w:r>
    </w:p>
    <w:p w14:paraId="5D2FE088" w14:textId="77777777" w:rsidR="002257EE" w:rsidRDefault="008F6BFE">
      <w:pPr>
        <w:pStyle w:val="BodyText"/>
        <w:ind w:left="796" w:right="283"/>
        <w:jc w:val="both"/>
      </w:pPr>
      <w:r>
        <w:t>Zur Wahrnehmung Ihrer Rechte können Sie sich an den Datenverantwortlichen bzw. im Konfliktfall an den Datenschutzbeauftragt</w:t>
      </w:r>
      <w:r>
        <w:t>en Erforderlichenfalls können Sie sich auch an den Europäischen Datenschutzbeauftragten wenden. Ihre Kontaktdaten sind nachstehend aufgeführt.</w:t>
      </w:r>
    </w:p>
    <w:p w14:paraId="10C5B3AD" w14:textId="77777777" w:rsidR="002257EE" w:rsidRDefault="002257EE">
      <w:pPr>
        <w:pStyle w:val="BodyText"/>
      </w:pPr>
    </w:p>
    <w:p w14:paraId="0B8AA767" w14:textId="77777777" w:rsidR="002257EE" w:rsidRDefault="008F6BFE">
      <w:pPr>
        <w:pStyle w:val="Heading1"/>
        <w:ind w:firstLine="0"/>
      </w:pPr>
      <w:r>
        <w:rPr>
          <w:spacing w:val="-2"/>
          <w:u w:val="single"/>
        </w:rPr>
        <w:t>Kontaktdaten</w:t>
      </w:r>
    </w:p>
    <w:p w14:paraId="6144CCB1" w14:textId="77777777" w:rsidR="002257EE" w:rsidRDefault="002257EE">
      <w:pPr>
        <w:pStyle w:val="BodyText"/>
        <w:spacing w:before="11"/>
        <w:rPr>
          <w:b/>
          <w:sz w:val="21"/>
        </w:rPr>
      </w:pPr>
    </w:p>
    <w:p w14:paraId="276D9DEF" w14:textId="77777777" w:rsidR="002257EE" w:rsidRDefault="008F6BFE">
      <w:pPr>
        <w:pStyle w:val="ListParagraph"/>
        <w:numPr>
          <w:ilvl w:val="0"/>
          <w:numId w:val="2"/>
        </w:numPr>
        <w:tabs>
          <w:tab w:val="left" w:pos="1079"/>
        </w:tabs>
        <w:rPr>
          <w:b/>
        </w:rPr>
      </w:pPr>
      <w:r>
        <w:rPr>
          <w:b/>
          <w:spacing w:val="-2"/>
        </w:rPr>
        <w:t>Datenverantwortlicher</w:t>
      </w:r>
    </w:p>
    <w:p w14:paraId="3350A86D" w14:textId="77777777" w:rsidR="002257EE" w:rsidRDefault="008F6BFE">
      <w:pPr>
        <w:pStyle w:val="BodyText"/>
        <w:ind w:left="1080" w:right="283"/>
        <w:jc w:val="both"/>
      </w:pPr>
      <w:r>
        <w:pict w14:anchorId="7093EA05">
          <v:rect id="docshape4" o:spid="_x0000_s1026" style="position:absolute;left:0;text-align:left;margin-left:138.2pt;margin-top:49.45pt;width:2.75pt;height:.55pt;z-index:15729664;mso-position-horizontal-relative:page" fillcolor="blue" stroked="f">
            <w10:wrap anchorx="page"/>
          </v:rect>
        </w:pict>
      </w:r>
      <w:r>
        <w:t>Wenn Sie Ihre Rechte gemäß der Verordnung (EU) 2018/1725 ausüben, Kommentar</w:t>
      </w:r>
      <w:r>
        <w:t>e, Fragen oder Bedenken mitteilen oder eine Beschwerde bezüglich der Erhebung und Verwendung Ihrer personenbezogenen Daten vorbringen möchten, wenden Sie sich bitte an den Datenverantwortlichen HR.DDG.B.4</w:t>
      </w:r>
      <w:hyperlink r:id="rId17">
        <w:r>
          <w:rPr>
            <w:color w:val="0000FF"/>
          </w:rPr>
          <w:t>,</w:t>
        </w:r>
      </w:hyperlink>
      <w:r>
        <w:rPr>
          <w:color w:val="0000FF"/>
        </w:rPr>
        <w:t xml:space="preserve"> </w:t>
      </w:r>
      <w:hyperlink r:id="rId18">
        <w:r>
          <w:t>HR-MAIL-B4@ec.europa.eu.</w:t>
        </w:r>
      </w:hyperlink>
    </w:p>
    <w:p w14:paraId="385A25D4" w14:textId="77777777" w:rsidR="002257EE" w:rsidRDefault="002257EE">
      <w:pPr>
        <w:pStyle w:val="BodyText"/>
        <w:spacing w:before="1"/>
      </w:pPr>
    </w:p>
    <w:p w14:paraId="756A13BF" w14:textId="77777777" w:rsidR="002257EE" w:rsidRDefault="008F6BFE">
      <w:pPr>
        <w:pStyle w:val="Heading1"/>
        <w:numPr>
          <w:ilvl w:val="0"/>
          <w:numId w:val="2"/>
        </w:numPr>
        <w:tabs>
          <w:tab w:val="left" w:pos="1079"/>
        </w:tabs>
        <w:spacing w:line="268" w:lineRule="exact"/>
        <w:jc w:val="both"/>
      </w:pPr>
      <w:r>
        <w:t>Der</w:t>
      </w:r>
      <w:r>
        <w:rPr>
          <w:spacing w:val="-12"/>
        </w:rPr>
        <w:t xml:space="preserve"> </w:t>
      </w:r>
      <w:r>
        <w:t>Datenschutzbeauftragte</w:t>
      </w:r>
      <w:r>
        <w:rPr>
          <w:spacing w:val="-12"/>
        </w:rPr>
        <w:t xml:space="preserve"> </w:t>
      </w:r>
      <w:r>
        <w:t>(DSB)</w:t>
      </w:r>
      <w:r>
        <w:rPr>
          <w:spacing w:val="-12"/>
        </w:rPr>
        <w:t xml:space="preserve"> </w:t>
      </w:r>
      <w:r>
        <w:t>der</w:t>
      </w:r>
      <w:r>
        <w:rPr>
          <w:spacing w:val="-11"/>
        </w:rPr>
        <w:t xml:space="preserve"> </w:t>
      </w:r>
      <w:r>
        <w:rPr>
          <w:spacing w:val="-2"/>
        </w:rPr>
        <w:t>Kommission</w:t>
      </w:r>
    </w:p>
    <w:p w14:paraId="01848F82" w14:textId="77777777" w:rsidR="002257EE" w:rsidRDefault="008F6BFE">
      <w:pPr>
        <w:pStyle w:val="BodyText"/>
        <w:ind w:left="1080" w:right="285"/>
        <w:jc w:val="both"/>
      </w:pPr>
      <w:r>
        <w:t>Für Fragen im Zusammenhang mit der Verarbeitung Ihrer personenbezogenen Daten gemäß der Verordnung (EU</w:t>
      </w:r>
      <w:r>
        <w:rPr>
          <w:u w:val="single"/>
        </w:rPr>
        <w:t xml:space="preserve">) </w:t>
      </w:r>
      <w:r>
        <w:t>2018/1725 können Sie sich an</w:t>
      </w:r>
      <w:r>
        <w:t xml:space="preserve"> den Datenschutzbeauftragten (</w:t>
      </w:r>
      <w:hyperlink r:id="rId19">
        <w:r>
          <w:rPr>
            <w:color w:val="0000FF"/>
            <w:u w:val="single" w:color="0000FF"/>
          </w:rPr>
          <w:t>DATA-PROTECTION-</w:t>
        </w:r>
      </w:hyperlink>
      <w:r>
        <w:rPr>
          <w:color w:val="0000FF"/>
        </w:rPr>
        <w:t xml:space="preserve"> </w:t>
      </w:r>
      <w:hyperlink r:id="rId20">
        <w:r>
          <w:rPr>
            <w:color w:val="0000FF"/>
            <w:u w:val="single" w:color="0000FF"/>
          </w:rPr>
          <w:t>OFFICER@ec.europa.eu</w:t>
        </w:r>
      </w:hyperlink>
      <w:r>
        <w:t>) wenden.</w:t>
      </w:r>
    </w:p>
    <w:p w14:paraId="55823149" w14:textId="77777777" w:rsidR="002257EE" w:rsidRDefault="002257EE">
      <w:pPr>
        <w:pStyle w:val="BodyText"/>
      </w:pPr>
    </w:p>
    <w:p w14:paraId="7EA9AD29" w14:textId="77777777" w:rsidR="002257EE" w:rsidRDefault="008F6BFE">
      <w:pPr>
        <w:pStyle w:val="Heading1"/>
        <w:numPr>
          <w:ilvl w:val="0"/>
          <w:numId w:val="2"/>
        </w:numPr>
        <w:tabs>
          <w:tab w:val="left" w:pos="1079"/>
        </w:tabs>
        <w:jc w:val="both"/>
      </w:pPr>
      <w:r>
        <w:rPr>
          <w:spacing w:val="-2"/>
        </w:rPr>
        <w:t>Europäischer</w:t>
      </w:r>
      <w:r>
        <w:rPr>
          <w:spacing w:val="6"/>
        </w:rPr>
        <w:t xml:space="preserve"> </w:t>
      </w:r>
      <w:r>
        <w:rPr>
          <w:spacing w:val="-2"/>
        </w:rPr>
        <w:t>Datenschutzbeauftragter</w:t>
      </w:r>
    </w:p>
    <w:p w14:paraId="4E64FBEC" w14:textId="77777777" w:rsidR="002257EE" w:rsidRDefault="008F6BFE">
      <w:pPr>
        <w:pStyle w:val="BodyText"/>
        <w:ind w:left="1080" w:right="284"/>
        <w:jc w:val="both"/>
      </w:pPr>
      <w:r>
        <w:t>Wenn Sie der Auffassung sind, dass Ihre Rechte gemäß der Verordnung (EU)</w:t>
      </w:r>
      <w:r>
        <w:rPr>
          <w:u w:val="single"/>
        </w:rPr>
        <w:t xml:space="preserve"> 2018/1725 bei der</w:t>
      </w:r>
      <w:r>
        <w:t xml:space="preserve"> </w:t>
      </w:r>
      <w:r>
        <w:rPr>
          <w:u w:val="single"/>
        </w:rPr>
        <w:t>Verarbeitung Ihrer personenbezogenen Daten durch den Datenverantwortlichen nicht gewahrt wurden,</w:t>
      </w:r>
      <w:r>
        <w:t xml:space="preserve"> </w:t>
      </w:r>
      <w:r>
        <w:rPr>
          <w:u w:val="single"/>
        </w:rPr>
        <w:t>können Sie beim Europäischen Datenschutzbeau</w:t>
      </w:r>
      <w:r>
        <w:rPr>
          <w:u w:val="single"/>
        </w:rPr>
        <w:t>ftragten (</w:t>
      </w:r>
      <w:hyperlink r:id="rId21">
        <w:r>
          <w:rPr>
            <w:color w:val="0000FF"/>
            <w:u w:val="single" w:color="000000"/>
          </w:rPr>
          <w:t>edps@edps.europa.eu</w:t>
        </w:r>
      </w:hyperlink>
      <w:r>
        <w:t>) Beschwerde einlegen.</w:t>
      </w:r>
    </w:p>
    <w:p w14:paraId="13217AA8" w14:textId="77777777" w:rsidR="002257EE" w:rsidRDefault="008F6BFE">
      <w:pPr>
        <w:pStyle w:val="BodyText"/>
        <w:ind w:left="1080" w:right="109"/>
        <w:jc w:val="both"/>
      </w:pPr>
      <w:r>
        <w:t>Hinweis für Bewerberinnen und Bewerber aus Drittländern: die Angaben zur Person können bei Bedarf überprüft werden.</w:t>
      </w:r>
    </w:p>
    <w:sectPr w:rsidR="002257EE">
      <w:pgSz w:w="11910" w:h="16840"/>
      <w:pgMar w:top="1040" w:right="74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B171C" w14:textId="77777777" w:rsidR="00000000" w:rsidRDefault="008F6BFE">
      <w:r>
        <w:separator/>
      </w:r>
    </w:p>
  </w:endnote>
  <w:endnote w:type="continuationSeparator" w:id="0">
    <w:p w14:paraId="4DAAB3E6" w14:textId="77777777" w:rsidR="00000000" w:rsidRDefault="008F6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7E90" w14:textId="77777777" w:rsidR="008F6BFE" w:rsidRDefault="008F6B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2902C" w14:textId="77777777" w:rsidR="002257EE" w:rsidRDefault="008F6BFE">
    <w:pPr>
      <w:pStyle w:val="BodyText"/>
      <w:spacing w:line="14" w:lineRule="auto"/>
      <w:rPr>
        <w:sz w:val="20"/>
      </w:rPr>
    </w:pPr>
    <w:r>
      <w:pict w14:anchorId="44488299">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2CC6F030" w14:textId="77777777" w:rsidR="002257EE" w:rsidRDefault="008F6BFE">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CF00" w14:textId="77777777" w:rsidR="008F6BFE" w:rsidRDefault="008F6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12DC" w14:textId="77777777" w:rsidR="00000000" w:rsidRDefault="008F6BFE">
      <w:r>
        <w:separator/>
      </w:r>
    </w:p>
  </w:footnote>
  <w:footnote w:type="continuationSeparator" w:id="0">
    <w:p w14:paraId="34739E2B" w14:textId="77777777" w:rsidR="00000000" w:rsidRDefault="008F6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76C9" w14:textId="77777777" w:rsidR="008F6BFE" w:rsidRDefault="008F6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0688E" w14:textId="77777777" w:rsidR="008F6BFE" w:rsidRDefault="008F6B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22839" w14:textId="77777777" w:rsidR="008F6BFE" w:rsidRDefault="008F6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D86"/>
    <w:multiLevelType w:val="hybridMultilevel"/>
    <w:tmpl w:val="D812AF8A"/>
    <w:lvl w:ilvl="0" w:tplc="D43CA6B2">
      <w:numFmt w:val="bullet"/>
      <w:lvlText w:val="-"/>
      <w:lvlJc w:val="left"/>
      <w:pPr>
        <w:ind w:left="1078" w:hanging="283"/>
      </w:pPr>
      <w:rPr>
        <w:rFonts w:ascii="Verdana" w:eastAsia="Verdana" w:hAnsi="Verdana" w:cs="Verdana" w:hint="default"/>
        <w:b w:val="0"/>
        <w:bCs w:val="0"/>
        <w:i w:val="0"/>
        <w:iCs w:val="0"/>
        <w:w w:val="99"/>
        <w:sz w:val="22"/>
        <w:szCs w:val="22"/>
        <w:lang w:val="de-DE" w:eastAsia="en-US" w:bidi="ar-SA"/>
      </w:rPr>
    </w:lvl>
    <w:lvl w:ilvl="1" w:tplc="86D8B48E">
      <w:numFmt w:val="bullet"/>
      <w:lvlText w:val="•"/>
      <w:lvlJc w:val="left"/>
      <w:pPr>
        <w:ind w:left="2040" w:hanging="283"/>
      </w:pPr>
      <w:rPr>
        <w:rFonts w:hint="default"/>
        <w:lang w:val="de-DE" w:eastAsia="en-US" w:bidi="ar-SA"/>
      </w:rPr>
    </w:lvl>
    <w:lvl w:ilvl="2" w:tplc="30E0925E">
      <w:numFmt w:val="bullet"/>
      <w:lvlText w:val="•"/>
      <w:lvlJc w:val="left"/>
      <w:pPr>
        <w:ind w:left="3001" w:hanging="283"/>
      </w:pPr>
      <w:rPr>
        <w:rFonts w:hint="default"/>
        <w:lang w:val="de-DE" w:eastAsia="en-US" w:bidi="ar-SA"/>
      </w:rPr>
    </w:lvl>
    <w:lvl w:ilvl="3" w:tplc="868E5F36">
      <w:numFmt w:val="bullet"/>
      <w:lvlText w:val="•"/>
      <w:lvlJc w:val="left"/>
      <w:pPr>
        <w:ind w:left="3961" w:hanging="283"/>
      </w:pPr>
      <w:rPr>
        <w:rFonts w:hint="default"/>
        <w:lang w:val="de-DE" w:eastAsia="en-US" w:bidi="ar-SA"/>
      </w:rPr>
    </w:lvl>
    <w:lvl w:ilvl="4" w:tplc="2700A2E6">
      <w:numFmt w:val="bullet"/>
      <w:lvlText w:val="•"/>
      <w:lvlJc w:val="left"/>
      <w:pPr>
        <w:ind w:left="4922" w:hanging="283"/>
      </w:pPr>
      <w:rPr>
        <w:rFonts w:hint="default"/>
        <w:lang w:val="de-DE" w:eastAsia="en-US" w:bidi="ar-SA"/>
      </w:rPr>
    </w:lvl>
    <w:lvl w:ilvl="5" w:tplc="F9FCE81C">
      <w:numFmt w:val="bullet"/>
      <w:lvlText w:val="•"/>
      <w:lvlJc w:val="left"/>
      <w:pPr>
        <w:ind w:left="5883" w:hanging="283"/>
      </w:pPr>
      <w:rPr>
        <w:rFonts w:hint="default"/>
        <w:lang w:val="de-DE" w:eastAsia="en-US" w:bidi="ar-SA"/>
      </w:rPr>
    </w:lvl>
    <w:lvl w:ilvl="6" w:tplc="30020B0E">
      <w:numFmt w:val="bullet"/>
      <w:lvlText w:val="•"/>
      <w:lvlJc w:val="left"/>
      <w:pPr>
        <w:ind w:left="6843" w:hanging="283"/>
      </w:pPr>
      <w:rPr>
        <w:rFonts w:hint="default"/>
        <w:lang w:val="de-DE" w:eastAsia="en-US" w:bidi="ar-SA"/>
      </w:rPr>
    </w:lvl>
    <w:lvl w:ilvl="7" w:tplc="77F803A4">
      <w:numFmt w:val="bullet"/>
      <w:lvlText w:val="•"/>
      <w:lvlJc w:val="left"/>
      <w:pPr>
        <w:ind w:left="7804" w:hanging="283"/>
      </w:pPr>
      <w:rPr>
        <w:rFonts w:hint="default"/>
        <w:lang w:val="de-DE" w:eastAsia="en-US" w:bidi="ar-SA"/>
      </w:rPr>
    </w:lvl>
    <w:lvl w:ilvl="8" w:tplc="F508BC5E">
      <w:numFmt w:val="bullet"/>
      <w:lvlText w:val="•"/>
      <w:lvlJc w:val="left"/>
      <w:pPr>
        <w:ind w:left="8765" w:hanging="283"/>
      </w:pPr>
      <w:rPr>
        <w:rFonts w:hint="default"/>
        <w:lang w:val="de-DE" w:eastAsia="en-US" w:bidi="ar-SA"/>
      </w:rPr>
    </w:lvl>
  </w:abstractNum>
  <w:abstractNum w:abstractNumId="1" w15:restartNumberingAfterBreak="0">
    <w:nsid w:val="407E52E2"/>
    <w:multiLevelType w:val="hybridMultilevel"/>
    <w:tmpl w:val="DCA2B3C4"/>
    <w:lvl w:ilvl="0" w:tplc="008A2F32">
      <w:numFmt w:val="bullet"/>
      <w:lvlText w:val=""/>
      <w:lvlJc w:val="left"/>
      <w:pPr>
        <w:ind w:left="1090" w:hanging="275"/>
      </w:pPr>
      <w:rPr>
        <w:rFonts w:ascii="Wingdings 2" w:eastAsia="Wingdings 2" w:hAnsi="Wingdings 2" w:cs="Wingdings 2" w:hint="default"/>
        <w:b/>
        <w:bCs/>
        <w:i w:val="0"/>
        <w:iCs w:val="0"/>
        <w:w w:val="99"/>
        <w:sz w:val="24"/>
        <w:szCs w:val="24"/>
        <w:lang w:val="de-DE" w:eastAsia="en-US" w:bidi="ar-SA"/>
      </w:rPr>
    </w:lvl>
    <w:lvl w:ilvl="1" w:tplc="F9A25FA2">
      <w:numFmt w:val="bullet"/>
      <w:lvlText w:val="•"/>
      <w:lvlJc w:val="left"/>
      <w:pPr>
        <w:ind w:left="1984" w:hanging="275"/>
      </w:pPr>
      <w:rPr>
        <w:rFonts w:hint="default"/>
        <w:lang w:val="de-DE" w:eastAsia="en-US" w:bidi="ar-SA"/>
      </w:rPr>
    </w:lvl>
    <w:lvl w:ilvl="2" w:tplc="3668BA24">
      <w:numFmt w:val="bullet"/>
      <w:lvlText w:val="•"/>
      <w:lvlJc w:val="left"/>
      <w:pPr>
        <w:ind w:left="2869" w:hanging="275"/>
      </w:pPr>
      <w:rPr>
        <w:rFonts w:hint="default"/>
        <w:lang w:val="de-DE" w:eastAsia="en-US" w:bidi="ar-SA"/>
      </w:rPr>
    </w:lvl>
    <w:lvl w:ilvl="3" w:tplc="831AE4CC">
      <w:numFmt w:val="bullet"/>
      <w:lvlText w:val="•"/>
      <w:lvlJc w:val="left"/>
      <w:pPr>
        <w:ind w:left="3754" w:hanging="275"/>
      </w:pPr>
      <w:rPr>
        <w:rFonts w:hint="default"/>
        <w:lang w:val="de-DE" w:eastAsia="en-US" w:bidi="ar-SA"/>
      </w:rPr>
    </w:lvl>
    <w:lvl w:ilvl="4" w:tplc="FB04850E">
      <w:numFmt w:val="bullet"/>
      <w:lvlText w:val="•"/>
      <w:lvlJc w:val="left"/>
      <w:pPr>
        <w:ind w:left="4638" w:hanging="275"/>
      </w:pPr>
      <w:rPr>
        <w:rFonts w:hint="default"/>
        <w:lang w:val="de-DE" w:eastAsia="en-US" w:bidi="ar-SA"/>
      </w:rPr>
    </w:lvl>
    <w:lvl w:ilvl="5" w:tplc="D0D88702">
      <w:numFmt w:val="bullet"/>
      <w:lvlText w:val="•"/>
      <w:lvlJc w:val="left"/>
      <w:pPr>
        <w:ind w:left="5523" w:hanging="275"/>
      </w:pPr>
      <w:rPr>
        <w:rFonts w:hint="default"/>
        <w:lang w:val="de-DE" w:eastAsia="en-US" w:bidi="ar-SA"/>
      </w:rPr>
    </w:lvl>
    <w:lvl w:ilvl="6" w:tplc="D2D6E9A2">
      <w:numFmt w:val="bullet"/>
      <w:lvlText w:val="•"/>
      <w:lvlJc w:val="left"/>
      <w:pPr>
        <w:ind w:left="6408" w:hanging="275"/>
      </w:pPr>
      <w:rPr>
        <w:rFonts w:hint="default"/>
        <w:lang w:val="de-DE" w:eastAsia="en-US" w:bidi="ar-SA"/>
      </w:rPr>
    </w:lvl>
    <w:lvl w:ilvl="7" w:tplc="A22AAF4E">
      <w:numFmt w:val="bullet"/>
      <w:lvlText w:val="•"/>
      <w:lvlJc w:val="left"/>
      <w:pPr>
        <w:ind w:left="7292" w:hanging="275"/>
      </w:pPr>
      <w:rPr>
        <w:rFonts w:hint="default"/>
        <w:lang w:val="de-DE" w:eastAsia="en-US" w:bidi="ar-SA"/>
      </w:rPr>
    </w:lvl>
    <w:lvl w:ilvl="8" w:tplc="BFACBCA6">
      <w:numFmt w:val="bullet"/>
      <w:lvlText w:val="•"/>
      <w:lvlJc w:val="left"/>
      <w:pPr>
        <w:ind w:left="8177" w:hanging="275"/>
      </w:pPr>
      <w:rPr>
        <w:rFonts w:hint="default"/>
        <w:lang w:val="de-DE" w:eastAsia="en-US" w:bidi="ar-SA"/>
      </w:rPr>
    </w:lvl>
  </w:abstractNum>
  <w:abstractNum w:abstractNumId="2" w15:restartNumberingAfterBreak="0">
    <w:nsid w:val="4BE8498E"/>
    <w:multiLevelType w:val="hybridMultilevel"/>
    <w:tmpl w:val="1C6813D8"/>
    <w:lvl w:ilvl="0" w:tplc="C6E831B6">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7E2E48B6">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2" w:tplc="F12E2DAA">
      <w:numFmt w:val="bullet"/>
      <w:lvlText w:val="•"/>
      <w:lvlJc w:val="left"/>
      <w:pPr>
        <w:ind w:left="2147" w:hanging="284"/>
      </w:pPr>
      <w:rPr>
        <w:rFonts w:hint="default"/>
        <w:lang w:val="de-DE" w:eastAsia="en-US" w:bidi="ar-SA"/>
      </w:rPr>
    </w:lvl>
    <w:lvl w:ilvl="3" w:tplc="47EA2C5C">
      <w:numFmt w:val="bullet"/>
      <w:lvlText w:val="•"/>
      <w:lvlJc w:val="left"/>
      <w:pPr>
        <w:ind w:left="3214" w:hanging="284"/>
      </w:pPr>
      <w:rPr>
        <w:rFonts w:hint="default"/>
        <w:lang w:val="de-DE" w:eastAsia="en-US" w:bidi="ar-SA"/>
      </w:rPr>
    </w:lvl>
    <w:lvl w:ilvl="4" w:tplc="49523642">
      <w:numFmt w:val="bullet"/>
      <w:lvlText w:val="•"/>
      <w:lvlJc w:val="left"/>
      <w:pPr>
        <w:ind w:left="4282" w:hanging="284"/>
      </w:pPr>
      <w:rPr>
        <w:rFonts w:hint="default"/>
        <w:lang w:val="de-DE" w:eastAsia="en-US" w:bidi="ar-SA"/>
      </w:rPr>
    </w:lvl>
    <w:lvl w:ilvl="5" w:tplc="CE64757A">
      <w:numFmt w:val="bullet"/>
      <w:lvlText w:val="•"/>
      <w:lvlJc w:val="left"/>
      <w:pPr>
        <w:ind w:left="5349" w:hanging="284"/>
      </w:pPr>
      <w:rPr>
        <w:rFonts w:hint="default"/>
        <w:lang w:val="de-DE" w:eastAsia="en-US" w:bidi="ar-SA"/>
      </w:rPr>
    </w:lvl>
    <w:lvl w:ilvl="6" w:tplc="3670C790">
      <w:numFmt w:val="bullet"/>
      <w:lvlText w:val="•"/>
      <w:lvlJc w:val="left"/>
      <w:pPr>
        <w:ind w:left="6416" w:hanging="284"/>
      </w:pPr>
      <w:rPr>
        <w:rFonts w:hint="default"/>
        <w:lang w:val="de-DE" w:eastAsia="en-US" w:bidi="ar-SA"/>
      </w:rPr>
    </w:lvl>
    <w:lvl w:ilvl="7" w:tplc="5DA608B8">
      <w:numFmt w:val="bullet"/>
      <w:lvlText w:val="•"/>
      <w:lvlJc w:val="left"/>
      <w:pPr>
        <w:ind w:left="7484" w:hanging="284"/>
      </w:pPr>
      <w:rPr>
        <w:rFonts w:hint="default"/>
        <w:lang w:val="de-DE" w:eastAsia="en-US" w:bidi="ar-SA"/>
      </w:rPr>
    </w:lvl>
    <w:lvl w:ilvl="8" w:tplc="E154034E">
      <w:numFmt w:val="bullet"/>
      <w:lvlText w:val="•"/>
      <w:lvlJc w:val="left"/>
      <w:pPr>
        <w:ind w:left="8551" w:hanging="284"/>
      </w:pPr>
      <w:rPr>
        <w:rFonts w:hint="default"/>
        <w:lang w:val="de-DE" w:eastAsia="en-US" w:bidi="ar-SA"/>
      </w:rPr>
    </w:lvl>
  </w:abstractNum>
  <w:abstractNum w:abstractNumId="3" w15:restartNumberingAfterBreak="0">
    <w:nsid w:val="51277B40"/>
    <w:multiLevelType w:val="hybridMultilevel"/>
    <w:tmpl w:val="2BE2CE94"/>
    <w:lvl w:ilvl="0" w:tplc="8EFE40E4">
      <w:numFmt w:val="bullet"/>
      <w:lvlText w:val=""/>
      <w:lvlJc w:val="left"/>
      <w:pPr>
        <w:ind w:left="622" w:hanging="455"/>
      </w:pPr>
      <w:rPr>
        <w:rFonts w:ascii="Wingdings 2" w:eastAsia="Wingdings 2" w:hAnsi="Wingdings 2" w:cs="Wingdings 2" w:hint="default"/>
        <w:b/>
        <w:bCs/>
        <w:i w:val="0"/>
        <w:iCs w:val="0"/>
        <w:w w:val="99"/>
        <w:sz w:val="24"/>
        <w:szCs w:val="24"/>
        <w:lang w:val="de-DE" w:eastAsia="en-US" w:bidi="ar-SA"/>
      </w:rPr>
    </w:lvl>
    <w:lvl w:ilvl="1" w:tplc="F0128618">
      <w:numFmt w:val="bullet"/>
      <w:lvlText w:val="•"/>
      <w:lvlJc w:val="left"/>
      <w:pPr>
        <w:ind w:left="1552" w:hanging="455"/>
      </w:pPr>
      <w:rPr>
        <w:rFonts w:hint="default"/>
        <w:lang w:val="de-DE" w:eastAsia="en-US" w:bidi="ar-SA"/>
      </w:rPr>
    </w:lvl>
    <w:lvl w:ilvl="2" w:tplc="B1FCA472">
      <w:numFmt w:val="bullet"/>
      <w:lvlText w:val="•"/>
      <w:lvlJc w:val="left"/>
      <w:pPr>
        <w:ind w:left="2485" w:hanging="455"/>
      </w:pPr>
      <w:rPr>
        <w:rFonts w:hint="default"/>
        <w:lang w:val="de-DE" w:eastAsia="en-US" w:bidi="ar-SA"/>
      </w:rPr>
    </w:lvl>
    <w:lvl w:ilvl="3" w:tplc="5A9EC8CE">
      <w:numFmt w:val="bullet"/>
      <w:lvlText w:val="•"/>
      <w:lvlJc w:val="left"/>
      <w:pPr>
        <w:ind w:left="3418" w:hanging="455"/>
      </w:pPr>
      <w:rPr>
        <w:rFonts w:hint="default"/>
        <w:lang w:val="de-DE" w:eastAsia="en-US" w:bidi="ar-SA"/>
      </w:rPr>
    </w:lvl>
    <w:lvl w:ilvl="4" w:tplc="1908BBC0">
      <w:numFmt w:val="bullet"/>
      <w:lvlText w:val="•"/>
      <w:lvlJc w:val="left"/>
      <w:pPr>
        <w:ind w:left="4350" w:hanging="455"/>
      </w:pPr>
      <w:rPr>
        <w:rFonts w:hint="default"/>
        <w:lang w:val="de-DE" w:eastAsia="en-US" w:bidi="ar-SA"/>
      </w:rPr>
    </w:lvl>
    <w:lvl w:ilvl="5" w:tplc="463A865E">
      <w:numFmt w:val="bullet"/>
      <w:lvlText w:val="•"/>
      <w:lvlJc w:val="left"/>
      <w:pPr>
        <w:ind w:left="5283" w:hanging="455"/>
      </w:pPr>
      <w:rPr>
        <w:rFonts w:hint="default"/>
        <w:lang w:val="de-DE" w:eastAsia="en-US" w:bidi="ar-SA"/>
      </w:rPr>
    </w:lvl>
    <w:lvl w:ilvl="6" w:tplc="481CC1A8">
      <w:numFmt w:val="bullet"/>
      <w:lvlText w:val="•"/>
      <w:lvlJc w:val="left"/>
      <w:pPr>
        <w:ind w:left="6216" w:hanging="455"/>
      </w:pPr>
      <w:rPr>
        <w:rFonts w:hint="default"/>
        <w:lang w:val="de-DE" w:eastAsia="en-US" w:bidi="ar-SA"/>
      </w:rPr>
    </w:lvl>
    <w:lvl w:ilvl="7" w:tplc="050C0B94">
      <w:numFmt w:val="bullet"/>
      <w:lvlText w:val="•"/>
      <w:lvlJc w:val="left"/>
      <w:pPr>
        <w:ind w:left="7148" w:hanging="455"/>
      </w:pPr>
      <w:rPr>
        <w:rFonts w:hint="default"/>
        <w:lang w:val="de-DE" w:eastAsia="en-US" w:bidi="ar-SA"/>
      </w:rPr>
    </w:lvl>
    <w:lvl w:ilvl="8" w:tplc="7570DF58">
      <w:numFmt w:val="bullet"/>
      <w:lvlText w:val="•"/>
      <w:lvlJc w:val="left"/>
      <w:pPr>
        <w:ind w:left="8081" w:hanging="455"/>
      </w:pPr>
      <w:rPr>
        <w:rFonts w:hint="default"/>
        <w:lang w:val="de-DE" w:eastAsia="en-US" w:bidi="ar-SA"/>
      </w:rPr>
    </w:lvl>
  </w:abstractNum>
  <w:num w:numId="1" w16cid:durableId="1383288059">
    <w:abstractNumId w:val="1"/>
  </w:num>
  <w:num w:numId="2" w16cid:durableId="203836880">
    <w:abstractNumId w:val="0"/>
  </w:num>
  <w:num w:numId="3" w16cid:durableId="1998000164">
    <w:abstractNumId w:val="3"/>
  </w:num>
  <w:num w:numId="4" w16cid:durableId="1633634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257EE"/>
    <w:rsid w:val="002257EE"/>
    <w:rsid w:val="008F6BF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5D6D01"/>
  <w15:docId w15:val="{545C42EA-416F-4985-B17D-2800BCC26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796"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F6BFE"/>
    <w:pPr>
      <w:tabs>
        <w:tab w:val="center" w:pos="4513"/>
        <w:tab w:val="right" w:pos="9026"/>
      </w:tabs>
    </w:pPr>
  </w:style>
  <w:style w:type="character" w:customStyle="1" w:styleId="HeaderChar">
    <w:name w:val="Header Char"/>
    <w:basedOn w:val="DefaultParagraphFont"/>
    <w:link w:val="Header"/>
    <w:uiPriority w:val="99"/>
    <w:rsid w:val="008F6BFE"/>
    <w:rPr>
      <w:rFonts w:ascii="Times New Roman" w:eastAsia="Times New Roman" w:hAnsi="Times New Roman" w:cs="Times New Roman"/>
      <w:lang w:val="de-DE"/>
    </w:rPr>
  </w:style>
  <w:style w:type="paragraph" w:styleId="Footer">
    <w:name w:val="footer"/>
    <w:basedOn w:val="Normal"/>
    <w:link w:val="FooterChar"/>
    <w:uiPriority w:val="99"/>
    <w:unhideWhenUsed/>
    <w:rsid w:val="008F6BFE"/>
    <w:pPr>
      <w:tabs>
        <w:tab w:val="center" w:pos="4513"/>
        <w:tab w:val="right" w:pos="9026"/>
      </w:tabs>
    </w:pPr>
  </w:style>
  <w:style w:type="character" w:customStyle="1" w:styleId="FooterChar">
    <w:name w:val="Footer Char"/>
    <w:basedOn w:val="DefaultParagraphFont"/>
    <w:link w:val="Footer"/>
    <w:uiPriority w:val="99"/>
    <w:rsid w:val="008F6BFE"/>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hyperlink" Target="mailto:edps@edps.europa.eu"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http://europass.cedefop.europa.eu/en/documents/curriculum-vitae" TargetMode="External"/><Relationship Id="rId20" Type="http://schemas.openxmlformats.org/officeDocument/2006/relationships/hyperlink" Target="mailto:DATA-PROTECTION-OFFICE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1436</Words>
  <Characters>10541</Characters>
  <Application>Microsoft Office Word</Application>
  <DocSecurity>0</DocSecurity>
  <Lines>210</Lines>
  <Paragraphs>82</Paragraphs>
  <ScaleCrop>false</ScaleCrop>
  <Company>European Commission</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2023-05-08T10:04:00Z</dcterms:created>
  <dcterms:modified xsi:type="dcterms:W3CDTF">2023-05-08T10:04:00Z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Acrobat PDFMaker 23 for Word</vt:lpwstr>
  </property>
  <property fmtid="{D5CDD505-2E9C-101B-9397-08002B2CF9AE}" pid="4" name="LastSaved">
    <vt:filetime>2023-05-08T00:00:00Z</vt:filetime>
  </property>
  <property fmtid="{D5CDD505-2E9C-101B-9397-08002B2CF9AE}" pid="5" name="MSIP_Label_6bd9ddd1-4d20-43f6-abfa-fc3c07406f94_ActionId">
    <vt:lpwstr>25cccde4-984d-470d-acb6-940a5feeec25</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2023-02-27T15:29:54Z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D:20230425154914</vt:lpwstr>
  </property>
</Properties>
</file>