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50CA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50CA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50CA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50CA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50CA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50CA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C2575"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6357805" w:rsidR="00546DB1" w:rsidRPr="00546DB1" w:rsidRDefault="005C2575" w:rsidP="00AB56F9">
                <w:pPr>
                  <w:tabs>
                    <w:tab w:val="left" w:pos="426"/>
                  </w:tabs>
                  <w:spacing w:before="120"/>
                  <w:rPr>
                    <w:bCs/>
                    <w:lang w:val="en-IE" w:eastAsia="en-GB"/>
                  </w:rPr>
                </w:pPr>
                <w:r>
                  <w:rPr>
                    <w:bCs/>
                    <w:lang w:eastAsia="en-GB"/>
                  </w:rPr>
                  <w:t>DIGIT.S.1</w:t>
                </w:r>
              </w:p>
            </w:tc>
          </w:sdtContent>
        </w:sdt>
      </w:tr>
      <w:tr w:rsidR="00546DB1" w:rsidRPr="005C257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12165CE" w:rsidR="00546DB1" w:rsidRPr="003B2E38" w:rsidRDefault="005C2575" w:rsidP="00AB56F9">
                <w:pPr>
                  <w:tabs>
                    <w:tab w:val="left" w:pos="426"/>
                  </w:tabs>
                  <w:spacing w:before="120"/>
                  <w:rPr>
                    <w:bCs/>
                    <w:lang w:val="en-IE" w:eastAsia="en-GB"/>
                  </w:rPr>
                </w:pPr>
                <w:r>
                  <w:rPr>
                    <w:bCs/>
                    <w:lang w:eastAsia="en-GB"/>
                  </w:rPr>
                  <w:t>288740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44AB568" w:rsidR="00546DB1" w:rsidRPr="009B6CC3" w:rsidRDefault="005C2575" w:rsidP="00AB56F9">
                <w:pPr>
                  <w:tabs>
                    <w:tab w:val="left" w:pos="426"/>
                  </w:tabs>
                  <w:spacing w:before="120"/>
                  <w:rPr>
                    <w:bCs/>
                    <w:lang w:eastAsia="en-GB"/>
                  </w:rPr>
                </w:pPr>
                <w:r>
                  <w:rPr>
                    <w:bCs/>
                    <w:lang w:eastAsia="en-GB"/>
                  </w:rPr>
                  <w:t>Renaat LEURIDAN</w:t>
                </w:r>
              </w:p>
            </w:sdtContent>
          </w:sdt>
          <w:p w14:paraId="227D6F6E" w14:textId="53849F6C" w:rsidR="00546DB1" w:rsidRPr="009F216F" w:rsidRDefault="00C50CA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C257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1A7745D8" w:rsidR="00546DB1" w:rsidRPr="00546DB1" w:rsidRDefault="00C50CA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C257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5C2575">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7789FA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0F2A06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50CA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50CA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50CA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0D4F5C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E555C2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B6CC3" w:rsidRDefault="00803007" w:rsidP="007C07D8">
      <w:pPr>
        <w:pStyle w:val="ListNumber"/>
        <w:numPr>
          <w:ilvl w:val="0"/>
          <w:numId w:val="0"/>
        </w:numPr>
        <w:ind w:left="709" w:hanging="709"/>
        <w:rPr>
          <w:lang w:eastAsia="en-GB"/>
        </w:rPr>
      </w:pPr>
      <w:r w:rsidRPr="009B6CC3">
        <w:rPr>
          <w:b/>
          <w:bCs/>
          <w:lang w:eastAsia="en-GB"/>
        </w:rPr>
        <w:t>Wer wi</w:t>
      </w:r>
      <w:r w:rsidR="002F7504" w:rsidRPr="009B6CC3">
        <w:rPr>
          <w:b/>
          <w:bCs/>
          <w:lang w:eastAsia="en-GB"/>
        </w:rPr>
        <w:t>r</w:t>
      </w:r>
      <w:r w:rsidRPr="009B6CC3">
        <w:rPr>
          <w:b/>
          <w:bCs/>
          <w:lang w:eastAsia="en-GB"/>
        </w:rPr>
        <w:t xml:space="preserve"> sind</w:t>
      </w:r>
    </w:p>
    <w:sdt>
      <w:sdtPr>
        <w:rPr>
          <w:sz w:val="20"/>
          <w:lang w:val="en-US" w:eastAsia="en-GB"/>
        </w:rPr>
        <w:id w:val="1822233941"/>
        <w:placeholder>
          <w:docPart w:val="FE6C9874556B47B1A65A432926DB0BCE"/>
        </w:placeholder>
      </w:sdtPr>
      <w:sdtEndPr/>
      <w:sdtContent>
        <w:sdt>
          <w:sdtPr>
            <w:rPr>
              <w:sz w:val="20"/>
              <w:lang w:val="en-US" w:eastAsia="en-GB"/>
            </w:rPr>
            <w:id w:val="-1089920106"/>
            <w:placeholder>
              <w:docPart w:val="D89CEF5D902745D18E948A2400C27802"/>
            </w:placeholder>
          </w:sdtPr>
          <w:sdtEndPr/>
          <w:sdtContent>
            <w:p w14:paraId="392F168A" w14:textId="77777777" w:rsidR="009B6CC3" w:rsidRDefault="009B6CC3" w:rsidP="009B6CC3">
              <w:pPr>
                <w:spacing w:after="0"/>
                <w:ind w:right="1317"/>
                <w:rPr>
                  <w:sz w:val="20"/>
                </w:rPr>
              </w:pPr>
            </w:p>
            <w:p w14:paraId="0AEEB9C6" w14:textId="77777777" w:rsidR="009B6CC3" w:rsidRPr="009B6CC3" w:rsidRDefault="009B6CC3" w:rsidP="009B6CC3">
              <w:pPr>
                <w:spacing w:after="160" w:line="259" w:lineRule="auto"/>
                <w:rPr>
                  <w:rFonts w:eastAsia="Calibri"/>
                  <w:szCs w:val="24"/>
                  <w:lang w:eastAsia="en-US"/>
                </w:rPr>
              </w:pPr>
              <w:r w:rsidRPr="009B6CC3">
                <w:rPr>
                  <w:rFonts w:eastAsia="Calibri"/>
                  <w:szCs w:val="24"/>
                  <w:lang w:eastAsia="en-US"/>
                </w:rPr>
                <w:t xml:space="preserve">DIGIT ist die zentrale IT-Abteilung der Europäischen Kommission mit der Aufgabe, digitale Dienste bereitzustellen, um die Umsetzung der EU-Politik zu ermöglichen und die internen Prozesse und die Verwaltung der Kommission zu unterstützen. DIGIT ist unter anderem für die Netzinfrastruktur in der gesamten Europäischen Kommission, derer </w:t>
              </w:r>
              <w:r w:rsidRPr="009B6CC3">
                <w:rPr>
                  <w:rFonts w:eastAsia="Calibri"/>
                  <w:szCs w:val="24"/>
                  <w:lang w:eastAsia="en-US"/>
                </w:rPr>
                <w:lastRenderedPageBreak/>
                <w:t>zentralen Rechenzentren in Luxemburg, fast 50.000 Endnutzer-Arbeitsplatzrechner und eine Vielzahl von Informationssystemen zur Unterstützung von Geschäftsabläufen in der Europäischen Kommission zuständig.</w:t>
              </w:r>
            </w:p>
            <w:p w14:paraId="0359A57E" w14:textId="77777777" w:rsidR="009B6CC3" w:rsidRPr="009B6CC3" w:rsidRDefault="009B6CC3" w:rsidP="009B6CC3">
              <w:pPr>
                <w:spacing w:after="160" w:line="259" w:lineRule="auto"/>
                <w:rPr>
                  <w:rFonts w:eastAsia="Calibri"/>
                  <w:szCs w:val="24"/>
                  <w:lang w:eastAsia="en-US"/>
                </w:rPr>
              </w:pPr>
              <w:r w:rsidRPr="009B6CC3">
                <w:rPr>
                  <w:rFonts w:eastAsia="Calibri"/>
                  <w:szCs w:val="24"/>
                  <w:lang w:eastAsia="en-US"/>
                </w:rPr>
                <w:t xml:space="preserve">Die Direktion S (Cyber-Sicherheit) ist eine Direktion der Generaldirektion DIGIT, die am 1. Januar 2016 eingerichtet wurde. Das Referat S.1 (IT-Sicherheitspolitik) hat seinen Sitz in Brüssel und ist zuständig für die Festlegung der kommissionsweiten IT-Sicherheitspolitik und -strategie, die Unterstützung der Systemebesitzer bei Bewertungen des IT-Sicherheitsrisikos, die Erstellung von IT-Sicherheitsplänen für kritische Systeme und die Überprüfung der technischen Konformität der Systeme nach ihrer Einführung (z. B. prüfen auf Schwachstellen). Das Referat S.2 ist für die Überwachung der Systeme, die Erkennung und Reaktion auf IT-Sicherheitsvorfälle zuständig. </w:t>
              </w:r>
            </w:p>
            <w:p w14:paraId="76DD1EEA" w14:textId="212E8DF8" w:rsidR="00803007" w:rsidRPr="005C2575" w:rsidRDefault="009B6CC3" w:rsidP="009B6CC3">
              <w:pPr>
                <w:pStyle w:val="FigureSource"/>
                <w:spacing w:after="0"/>
                <w:ind w:right="175"/>
              </w:pPr>
              <w:r w:rsidRPr="009B6CC3">
                <w:rPr>
                  <w:rFonts w:eastAsia="Calibri"/>
                  <w:sz w:val="24"/>
                  <w:szCs w:val="24"/>
                  <w:lang w:eastAsia="en-US"/>
                </w:rPr>
                <w:t>Das Sicherheitspolitikteam des Referats S1 ist für die Entwicklung der IT-Sicherheitsstrategie und der IT-Sicherheitspolitik (einschließlich spezifischer Standards und Leitlinien) der Europäischen Kommission zuständig. Für diese Aufgabe arbeitet das Sicherheitspolitikteam eng mit verschiedenen Interessenträgern in der Europäischen Kommission zusammen, insbesondere mit einem Netzwerk lokaler IT-Sicherheitsbeauftragter, mit IT-Sicherheitsexperten in derer IT-Abteilung (DIGIT), Arbeitsgruppen von IT-Experten und mit den obersten Führungsorganen, die in einem Lenkungsgremium für Informationssicherheit vertreten sind</w:t>
              </w:r>
            </w:p>
          </w:sdtContent>
        </w:sdt>
      </w:sdtContent>
    </w:sdt>
    <w:p w14:paraId="3862387A" w14:textId="77777777" w:rsidR="00803007" w:rsidRPr="009B6CC3"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784E145" w14:textId="77777777" w:rsidR="009B6CC3" w:rsidRPr="009B6CC3" w:rsidRDefault="009B6CC3" w:rsidP="009B6CC3">
          <w:pPr>
            <w:spacing w:after="0"/>
            <w:ind w:right="175"/>
            <w:rPr>
              <w:szCs w:val="24"/>
              <w:lang w:val="de"/>
            </w:rPr>
          </w:pPr>
          <w:r w:rsidRPr="009B6CC3">
            <w:rPr>
              <w:szCs w:val="24"/>
              <w:lang w:val="de"/>
            </w:rPr>
            <w:t xml:space="preserve">Mit dieser Stellenausschreibung soll ein ANS eingestellt werden, der(die) als IT-Sicherheitsbeauftrager(in) im Sicherheitspolitischen Team des Referats S1 tätig ist.  Die Hauptaufgabe des(der) Beauftragten für IT-Sicherheit besteht darin, die IT-Sicherheitsstrategie und die IT-Sicherheitspolitik zu entwickeln und dabei eng mit den verschiedenen Interessenträgern in DIGIT, in anderen Generaldirektionen der Kommission, insbesondere der GD HR, der GD CNECT und Einrichtungen wie CERT-EU und ENISA, zusammenzuarbeiten. </w:t>
          </w:r>
        </w:p>
        <w:p w14:paraId="7FC2DE8B" w14:textId="77777777" w:rsidR="009B6CC3" w:rsidRPr="009B6CC3" w:rsidRDefault="009B6CC3" w:rsidP="009B6CC3">
          <w:pPr>
            <w:spacing w:after="0"/>
            <w:ind w:right="175"/>
            <w:rPr>
              <w:szCs w:val="24"/>
              <w:lang w:val="de"/>
            </w:rPr>
          </w:pPr>
        </w:p>
        <w:p w14:paraId="71E06976" w14:textId="77777777" w:rsidR="009B6CC3" w:rsidRPr="009B6CC3" w:rsidRDefault="009B6CC3" w:rsidP="009B6CC3">
          <w:pPr>
            <w:spacing w:after="0"/>
            <w:ind w:right="175"/>
            <w:rPr>
              <w:szCs w:val="24"/>
              <w:lang w:val="de"/>
            </w:rPr>
          </w:pPr>
          <w:r w:rsidRPr="009B6CC3">
            <w:rPr>
              <w:szCs w:val="24"/>
              <w:lang w:val="de"/>
            </w:rPr>
            <w:t xml:space="preserve">Zu den Aufgaben und Zuständigkeiten des(der) Beauftragten für IT-Sicherheit gehören: </w:t>
          </w:r>
        </w:p>
        <w:p w14:paraId="493AD485" w14:textId="77777777" w:rsidR="009B6CC3" w:rsidRPr="009B6CC3" w:rsidRDefault="009B6CC3" w:rsidP="009B6CC3">
          <w:pPr>
            <w:spacing w:after="0"/>
            <w:ind w:right="1317"/>
            <w:rPr>
              <w:szCs w:val="24"/>
              <w:lang w:val="de"/>
            </w:rPr>
          </w:pPr>
        </w:p>
        <w:p w14:paraId="70F7C782" w14:textId="77777777" w:rsidR="009B6CC3" w:rsidRPr="009B6CC3" w:rsidRDefault="009B6CC3" w:rsidP="009B6CC3">
          <w:pPr>
            <w:numPr>
              <w:ilvl w:val="0"/>
              <w:numId w:val="30"/>
            </w:numPr>
            <w:spacing w:after="0" w:line="259" w:lineRule="auto"/>
            <w:ind w:right="175"/>
            <w:jc w:val="left"/>
            <w:rPr>
              <w:szCs w:val="24"/>
              <w:lang w:val="de"/>
            </w:rPr>
          </w:pPr>
          <w:r w:rsidRPr="009B6CC3">
            <w:rPr>
              <w:szCs w:val="24"/>
              <w:lang w:val="de"/>
            </w:rPr>
            <w:t xml:space="preserve">Verwaltung und Unterstützung des Übergangs von den bestehenden Richtlinien, Vorschriften und Normen zu einem moderneren Rahmen, bei dem der Schwerpunkt stärker auf Risiken und weniger auf der Einhaltung der Regeln liegt. </w:t>
          </w:r>
        </w:p>
        <w:p w14:paraId="6CADB438" w14:textId="77777777" w:rsidR="009B6CC3" w:rsidRPr="009B6CC3" w:rsidRDefault="009B6CC3" w:rsidP="009B6CC3">
          <w:pPr>
            <w:spacing w:after="0"/>
            <w:ind w:right="175"/>
            <w:rPr>
              <w:szCs w:val="24"/>
              <w:lang w:val="de"/>
            </w:rPr>
          </w:pPr>
        </w:p>
        <w:p w14:paraId="5EE7BB0F" w14:textId="77777777" w:rsidR="009B6CC3" w:rsidRPr="009B6CC3" w:rsidRDefault="009B6CC3" w:rsidP="009B6CC3">
          <w:pPr>
            <w:numPr>
              <w:ilvl w:val="0"/>
              <w:numId w:val="30"/>
            </w:numPr>
            <w:spacing w:after="0" w:line="259" w:lineRule="auto"/>
            <w:ind w:right="175"/>
            <w:jc w:val="left"/>
            <w:rPr>
              <w:szCs w:val="24"/>
              <w:lang w:val="de"/>
            </w:rPr>
          </w:pPr>
          <w:r w:rsidRPr="009B6CC3">
            <w:rPr>
              <w:szCs w:val="24"/>
              <w:lang w:val="de"/>
            </w:rPr>
            <w:t xml:space="preserve">Erstellung eines Verfahrens zur Überprüfung der Effizienz und Wirksamkeit von Richtlinien, Regeln und Normen unter Berücksichtigung neuer Risiken, vergangener sicherheitsrelevanten </w:t>
          </w:r>
          <w:r w:rsidRPr="009B6CC3">
            <w:rPr>
              <w:szCs w:val="24"/>
            </w:rPr>
            <w:t>Vorfällen</w:t>
          </w:r>
          <w:r w:rsidRPr="009B6CC3">
            <w:rPr>
              <w:szCs w:val="24"/>
              <w:lang w:val="de"/>
            </w:rPr>
            <w:t xml:space="preserve">, Änderungen der Risikobereitschaft, neuer Technologien, neuer Geschäftsanforderungen usw. </w:t>
          </w:r>
        </w:p>
        <w:p w14:paraId="7B000BE2" w14:textId="77777777" w:rsidR="009B6CC3" w:rsidRPr="009B6CC3" w:rsidRDefault="009B6CC3" w:rsidP="009B6CC3">
          <w:pPr>
            <w:spacing w:after="0"/>
            <w:ind w:right="175"/>
            <w:rPr>
              <w:szCs w:val="24"/>
              <w:lang w:val="de"/>
            </w:rPr>
          </w:pPr>
        </w:p>
        <w:p w14:paraId="4BD4CA59" w14:textId="77777777" w:rsidR="009B6CC3" w:rsidRPr="009B6CC3" w:rsidRDefault="009B6CC3" w:rsidP="009B6CC3">
          <w:pPr>
            <w:numPr>
              <w:ilvl w:val="0"/>
              <w:numId w:val="30"/>
            </w:numPr>
            <w:spacing w:after="0" w:line="259" w:lineRule="auto"/>
            <w:ind w:right="175"/>
            <w:jc w:val="left"/>
            <w:rPr>
              <w:szCs w:val="24"/>
              <w:lang w:val="de"/>
            </w:rPr>
          </w:pPr>
          <w:r w:rsidRPr="009B6CC3">
            <w:rPr>
              <w:szCs w:val="24"/>
              <w:lang w:val="de"/>
            </w:rPr>
            <w:t>Ermittlung von Bereichen, in denen neue Normen oder Leitlinien benötigt werden, und Zusammenarbeit mit Interessenträgern in der gesamten GD DIGIT, um die jeweiligen Anforderungen zu erarbeiten, zu entwickeln und dem relevanten Zielgruppen (Endnutzern, Systemeigentümern, Experten, Entwicklern usw.) zur Verfügung zu stellen.</w:t>
          </w:r>
        </w:p>
        <w:p w14:paraId="3D638BE1" w14:textId="77777777" w:rsidR="009B6CC3" w:rsidRPr="009B6CC3" w:rsidRDefault="009B6CC3" w:rsidP="009B6CC3">
          <w:pPr>
            <w:spacing w:after="0"/>
            <w:ind w:right="175"/>
            <w:rPr>
              <w:szCs w:val="24"/>
              <w:lang w:val="de"/>
            </w:rPr>
          </w:pPr>
        </w:p>
        <w:p w14:paraId="2EF9FE85" w14:textId="77777777" w:rsidR="009B6CC3" w:rsidRPr="009B6CC3" w:rsidRDefault="009B6CC3" w:rsidP="009B6CC3">
          <w:pPr>
            <w:numPr>
              <w:ilvl w:val="0"/>
              <w:numId w:val="30"/>
            </w:numPr>
            <w:spacing w:after="0" w:line="259" w:lineRule="auto"/>
            <w:ind w:right="175"/>
            <w:jc w:val="left"/>
            <w:rPr>
              <w:szCs w:val="24"/>
              <w:lang w:val="de"/>
            </w:rPr>
          </w:pPr>
          <w:r w:rsidRPr="009B6CC3">
            <w:rPr>
              <w:szCs w:val="24"/>
              <w:lang w:val="de"/>
            </w:rPr>
            <w:lastRenderedPageBreak/>
            <w:t xml:space="preserve">Einrichtung einer Verwaltungsprozessstruktur im Bereich der IT-Sicherheit, um die Führungskräfte und die lokalen IT-Sicherheitsbeauftragten mit anwendbaren Informationen über die IT-Sicherheit (Risiken, Vorfälle, bestehende Maßnahmen, technische Einhaltung usw.) zu versorgen. </w:t>
          </w:r>
        </w:p>
        <w:p w14:paraId="47A60E9B" w14:textId="77777777" w:rsidR="009B6CC3" w:rsidRPr="009B6CC3" w:rsidRDefault="009B6CC3" w:rsidP="009B6CC3">
          <w:pPr>
            <w:spacing w:after="0"/>
            <w:ind w:right="175"/>
            <w:rPr>
              <w:szCs w:val="24"/>
              <w:lang w:val="de"/>
            </w:rPr>
          </w:pPr>
        </w:p>
        <w:p w14:paraId="488B256D" w14:textId="77777777" w:rsidR="009B6CC3" w:rsidRPr="009B6CC3" w:rsidRDefault="009B6CC3" w:rsidP="009B6CC3">
          <w:pPr>
            <w:numPr>
              <w:ilvl w:val="0"/>
              <w:numId w:val="30"/>
            </w:numPr>
            <w:spacing w:after="0" w:line="259" w:lineRule="auto"/>
            <w:ind w:right="175"/>
            <w:jc w:val="left"/>
            <w:rPr>
              <w:szCs w:val="24"/>
              <w:lang w:val="de"/>
            </w:rPr>
          </w:pPr>
          <w:r w:rsidRPr="009B6CC3">
            <w:rPr>
              <w:szCs w:val="24"/>
              <w:lang w:val="de"/>
            </w:rPr>
            <w:t xml:space="preserve">Ermittlung von verbesserungsbedürftigen Bereichen und Zusammenarbeit mit Interessenträgern in der gesamten Kommission bei der Festlegung von Projekten und Tätigkeiten und Konsolidierung dieser Verbesserungen in einer kommissionsweiten Strategie. </w:t>
          </w:r>
        </w:p>
        <w:p w14:paraId="1D27ADA0" w14:textId="77777777" w:rsidR="009B6CC3" w:rsidRPr="009B6CC3" w:rsidRDefault="009B6CC3" w:rsidP="009B6CC3">
          <w:pPr>
            <w:spacing w:after="0"/>
            <w:ind w:right="175"/>
            <w:rPr>
              <w:szCs w:val="24"/>
              <w:lang w:val="de"/>
            </w:rPr>
          </w:pPr>
        </w:p>
        <w:p w14:paraId="163CA39A" w14:textId="77777777" w:rsidR="009B6CC3" w:rsidRPr="009B6CC3" w:rsidRDefault="009B6CC3" w:rsidP="009B6CC3">
          <w:pPr>
            <w:numPr>
              <w:ilvl w:val="0"/>
              <w:numId w:val="30"/>
            </w:numPr>
            <w:spacing w:after="0" w:line="259" w:lineRule="auto"/>
            <w:ind w:right="175"/>
            <w:jc w:val="left"/>
            <w:rPr>
              <w:szCs w:val="24"/>
              <w:lang w:val="de"/>
            </w:rPr>
          </w:pPr>
          <w:r w:rsidRPr="009B6CC3">
            <w:rPr>
              <w:szCs w:val="24"/>
              <w:lang w:val="de"/>
            </w:rPr>
            <w:t>Einrichtung eines Verfahrens, um den Führungskräften und lokalen IT-Sicherheitsbeauftragten Informationen über die Umsetzung der IT-Sicherheitsstrategie zur Verfügung zu stellen.</w:t>
          </w:r>
        </w:p>
        <w:p w14:paraId="2F5D0192" w14:textId="77777777" w:rsidR="009B6CC3" w:rsidRPr="009B6CC3" w:rsidRDefault="009B6CC3" w:rsidP="009B6CC3">
          <w:pPr>
            <w:spacing w:after="0"/>
            <w:ind w:left="720" w:right="175"/>
            <w:rPr>
              <w:szCs w:val="24"/>
              <w:lang w:val="de"/>
            </w:rPr>
          </w:pPr>
        </w:p>
        <w:p w14:paraId="12B9C59B" w14:textId="4DEFB487" w:rsidR="00803007" w:rsidRPr="009B6CC3" w:rsidRDefault="009B6CC3" w:rsidP="009B6CC3">
          <w:pPr>
            <w:numPr>
              <w:ilvl w:val="0"/>
              <w:numId w:val="30"/>
            </w:numPr>
            <w:spacing w:after="0" w:line="259" w:lineRule="auto"/>
            <w:ind w:right="175"/>
            <w:jc w:val="left"/>
            <w:rPr>
              <w:szCs w:val="24"/>
              <w:lang w:val="de"/>
            </w:rPr>
          </w:pPr>
          <w:r w:rsidRPr="009B6CC3">
            <w:rPr>
              <w:szCs w:val="24"/>
              <w:lang w:val="de"/>
            </w:rPr>
            <w:t>Erstellen und Instandhaltung von IT-Lösungen für das Risiko- und Compliance-Management auf Grundlage der ServiceNow-Technologie.</w:t>
          </w:r>
        </w:p>
      </w:sdtContent>
    </w:sdt>
    <w:p w14:paraId="221E4883" w14:textId="77777777" w:rsidR="00803007" w:rsidRPr="009B6CC3" w:rsidRDefault="00803007" w:rsidP="00803007">
      <w:pPr>
        <w:pStyle w:val="ListNumber"/>
        <w:numPr>
          <w:ilvl w:val="0"/>
          <w:numId w:val="0"/>
        </w:numPr>
        <w:ind w:left="709" w:hanging="709"/>
        <w:rPr>
          <w:b/>
          <w:bCs/>
          <w:lang w:val="en-IE"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CDD3C2B" w14:textId="77777777" w:rsidR="009B6CC3" w:rsidRPr="009B6CC3" w:rsidRDefault="009B6CC3" w:rsidP="009B6CC3">
          <w:pPr>
            <w:rPr>
              <w:rFonts w:eastAsia="Calibri"/>
              <w:szCs w:val="24"/>
              <w:u w:val="single"/>
              <w:lang w:val="de" w:eastAsia="en-US"/>
            </w:rPr>
          </w:pPr>
          <w:r w:rsidRPr="009B6CC3">
            <w:rPr>
              <w:rFonts w:eastAsia="Calibri"/>
              <w:szCs w:val="24"/>
              <w:u w:val="single"/>
              <w:lang w:val="de" w:eastAsia="en-US"/>
            </w:rPr>
            <w:t>Zulassungskriterien</w:t>
          </w:r>
        </w:p>
        <w:p w14:paraId="4E5A435E" w14:textId="77777777" w:rsidR="009B6CC3" w:rsidRPr="009B6CC3" w:rsidRDefault="009B6CC3" w:rsidP="009B6CC3">
          <w:pPr>
            <w:spacing w:after="160" w:line="259" w:lineRule="auto"/>
            <w:ind w:left="720"/>
            <w:rPr>
              <w:rFonts w:eastAsia="Calibri"/>
              <w:szCs w:val="24"/>
              <w:lang w:eastAsia="en-US"/>
            </w:rPr>
          </w:pPr>
          <w:r w:rsidRPr="009B6CC3">
            <w:rPr>
              <w:rFonts w:eastAsia="Calibri"/>
              <w:szCs w:val="24"/>
              <w:lang w:eastAsia="en-US"/>
            </w:rPr>
            <w:t>Berufserfahrung: mindestens drei Jahre Erfahrung in administrativen, juristischen, wissenschaftlichen, technischen, beratenden oder überwachenden Funktionen im Bereich IT und/oder Cybersicherheit, die denen der Funktionsgruppen AD als gleichwertig angesehen werden können.</w:t>
          </w:r>
        </w:p>
        <w:p w14:paraId="77D74FD3" w14:textId="77777777" w:rsidR="009B6CC3" w:rsidRPr="009B6CC3" w:rsidRDefault="009B6CC3" w:rsidP="009B6CC3">
          <w:pPr>
            <w:spacing w:after="160" w:line="259" w:lineRule="auto"/>
            <w:jc w:val="left"/>
            <w:rPr>
              <w:rFonts w:eastAsia="Calibri"/>
              <w:szCs w:val="24"/>
              <w:u w:val="single"/>
              <w:lang w:val="de" w:eastAsia="en-US"/>
            </w:rPr>
          </w:pPr>
          <w:r w:rsidRPr="009B6CC3">
            <w:rPr>
              <w:rFonts w:eastAsia="Calibri"/>
              <w:szCs w:val="24"/>
              <w:u w:val="single"/>
              <w:lang w:val="de" w:eastAsia="en-US"/>
            </w:rPr>
            <w:t>Auswahlkriterien</w:t>
          </w:r>
        </w:p>
        <w:p w14:paraId="1A1E5A53" w14:textId="77777777" w:rsidR="009B6CC3" w:rsidRPr="009B6CC3" w:rsidRDefault="009B6CC3" w:rsidP="009B6CC3">
          <w:pPr>
            <w:numPr>
              <w:ilvl w:val="0"/>
              <w:numId w:val="31"/>
            </w:numPr>
            <w:spacing w:after="160" w:line="259" w:lineRule="auto"/>
            <w:contextualSpacing/>
            <w:jc w:val="left"/>
            <w:rPr>
              <w:rFonts w:eastAsia="Calibri"/>
              <w:szCs w:val="24"/>
              <w:lang w:val="de" w:eastAsia="en-US"/>
            </w:rPr>
          </w:pPr>
          <w:r w:rsidRPr="009B6CC3">
            <w:rPr>
              <w:rFonts w:eastAsia="Calibri"/>
              <w:szCs w:val="24"/>
              <w:lang w:val="de" w:eastAsia="en-US"/>
            </w:rPr>
            <w:t>Diplom:</w:t>
          </w:r>
        </w:p>
        <w:p w14:paraId="197BE19F"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Hochschulabschluss, der den erfolgreichen Abschluss eines Hochschulstudiums mit einer Regelstudienzeit von mindestens drei Jahren im Bereich IKT oder einem verwandten Fachgebiet (z. B. Informatik, Ingenieurwesen, Physik, IT-Geschäft, IT-Recht) bescheinigt, nachgewiesen durch den entsprechenden Lehrplan und/oder die entsprechenden Spezialisierungsoptionen, in denen der Bewerber seinen Abschluss erworben hat.</w:t>
          </w:r>
        </w:p>
        <w:p w14:paraId="408B3E78" w14:textId="77777777" w:rsidR="009B6CC3" w:rsidRPr="009B6CC3" w:rsidRDefault="009B6CC3" w:rsidP="009B6CC3">
          <w:pPr>
            <w:numPr>
              <w:ilvl w:val="0"/>
              <w:numId w:val="31"/>
            </w:numPr>
            <w:spacing w:after="160" w:line="259" w:lineRule="auto"/>
            <w:contextualSpacing/>
            <w:jc w:val="left"/>
            <w:rPr>
              <w:rFonts w:eastAsia="Calibri"/>
              <w:szCs w:val="24"/>
              <w:lang w:val="de" w:eastAsia="en-US"/>
            </w:rPr>
          </w:pPr>
          <w:r w:rsidRPr="009B6CC3">
            <w:rPr>
              <w:rFonts w:eastAsia="Calibri"/>
              <w:szCs w:val="24"/>
              <w:lang w:val="de" w:eastAsia="en-US"/>
            </w:rPr>
            <w:t>Berufserfahrung:</w:t>
          </w:r>
        </w:p>
        <w:p w14:paraId="38E853CA"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Umfassende Kenntnisse der Normen, Rahmenwerke und Methoden für das IT-Risikomanagement, wie z. B. ISO 27001 oder COBIT.</w:t>
          </w:r>
        </w:p>
        <w:p w14:paraId="43E35030"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 xml:space="preserve">Mindestens dreijährige praktische Erfahrung in der Entwicklung und Umsetzung von Informationssicherheitsstrategien, IT-Sicherheitsrahmenwerken und/oder Risikomanagementprogrammen; Verständnis der Herausforderungen, die im Unternehmens-/Regierungs-/öffentlichen Verwaltungsumfeld auftreten können. </w:t>
          </w:r>
        </w:p>
        <w:p w14:paraId="0288192F"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Starke Kommunikations- und Präsentationsfähigkeiten.</w:t>
          </w:r>
        </w:p>
        <w:p w14:paraId="3A3AC816"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Erfahrung mit Stakeholder-Management.</w:t>
          </w:r>
        </w:p>
        <w:p w14:paraId="7C1ACDAE"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lastRenderedPageBreak/>
            <w:t>Ausgeprägte Fähigkeit zur kontinuierlichen Weiterbildung und zur Anwendung neuer Arbeitsmethoden, Konzepte und Verfahren.</w:t>
          </w:r>
        </w:p>
        <w:p w14:paraId="2B518D50" w14:textId="77777777" w:rsidR="009B6CC3" w:rsidRPr="009B6CC3" w:rsidRDefault="009B6CC3" w:rsidP="009B6CC3">
          <w:pPr>
            <w:numPr>
              <w:ilvl w:val="0"/>
              <w:numId w:val="31"/>
            </w:numPr>
            <w:spacing w:after="160" w:line="259" w:lineRule="auto"/>
            <w:contextualSpacing/>
            <w:jc w:val="left"/>
            <w:rPr>
              <w:rFonts w:eastAsia="Calibri"/>
              <w:szCs w:val="24"/>
              <w:lang w:val="de" w:eastAsia="en-US"/>
            </w:rPr>
          </w:pPr>
          <w:r w:rsidRPr="009B6CC3">
            <w:rPr>
              <w:rFonts w:eastAsia="Calibri"/>
              <w:szCs w:val="24"/>
              <w:lang w:val="de" w:eastAsia="en-US"/>
            </w:rPr>
            <w:t>Fakultative Kompetenzen (können von Vorteil sein):</w:t>
          </w:r>
        </w:p>
        <w:p w14:paraId="72A70EB3"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Gutes Verständnis der IT-Infrastruktur und Netzwerktechnik</w:t>
          </w:r>
        </w:p>
        <w:p w14:paraId="0DEBE4AA"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Gutes Verständnis von IT-Sicherheitstechnologien und -prozessen</w:t>
          </w:r>
        </w:p>
        <w:p w14:paraId="2DAFF625"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Verständnis der Cloud-Computing und Rahmenwerken zur Cybersicherheit-Cloud-Konformität</w:t>
          </w:r>
        </w:p>
        <w:p w14:paraId="5282BF9C"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Erfahrung mit der ServiceNow-Technologie</w:t>
          </w:r>
        </w:p>
        <w:p w14:paraId="7CFD9929" w14:textId="77777777" w:rsidR="009B6CC3" w:rsidRPr="009B6CC3" w:rsidRDefault="009B6CC3" w:rsidP="009B6CC3">
          <w:pPr>
            <w:spacing w:after="160" w:line="259" w:lineRule="auto"/>
            <w:ind w:left="1134"/>
            <w:rPr>
              <w:rFonts w:eastAsia="Calibri"/>
              <w:szCs w:val="24"/>
              <w:lang w:eastAsia="en-US"/>
            </w:rPr>
          </w:pPr>
          <w:r w:rsidRPr="009B6CC3">
            <w:rPr>
              <w:rFonts w:eastAsia="Calibri"/>
              <w:szCs w:val="24"/>
              <w:lang w:eastAsia="en-US"/>
            </w:rPr>
            <w:t>Erfahrung mit GRC-Lösungen (Governance, Risiko und Compliance)</w:t>
          </w:r>
        </w:p>
        <w:p w14:paraId="27E9C3C4" w14:textId="77777777" w:rsidR="009B6CC3" w:rsidRPr="009B6CC3" w:rsidRDefault="009B6CC3" w:rsidP="009B6CC3">
          <w:pPr>
            <w:spacing w:after="160" w:line="259" w:lineRule="auto"/>
            <w:ind w:left="709"/>
            <w:rPr>
              <w:rFonts w:eastAsia="Calibri"/>
              <w:szCs w:val="24"/>
              <w:lang w:eastAsia="en-US"/>
            </w:rPr>
          </w:pPr>
          <w:r w:rsidRPr="009B6CC3">
            <w:rPr>
              <w:rFonts w:eastAsia="Calibri"/>
              <w:szCs w:val="24"/>
              <w:lang w:eastAsia="en-US"/>
            </w:rPr>
            <w:t>Wenn Sie die oben genannten Kriterien erfüllen, ist Ihre Leidenschaft Ihr Antrieb, Respekt und Teamarbeit und Tatendrang sind ein absolutes Muss für Sie, dann ist Ihre Bewerbung ist willkommen.</w:t>
          </w:r>
        </w:p>
        <w:p w14:paraId="4E07F212" w14:textId="77777777" w:rsidR="009B6CC3" w:rsidRPr="009B6CC3" w:rsidRDefault="009B6CC3" w:rsidP="009B6CC3">
          <w:pPr>
            <w:numPr>
              <w:ilvl w:val="0"/>
              <w:numId w:val="31"/>
            </w:numPr>
            <w:spacing w:after="160" w:line="259" w:lineRule="auto"/>
            <w:contextualSpacing/>
            <w:jc w:val="left"/>
            <w:rPr>
              <w:rFonts w:eastAsia="Calibri"/>
              <w:szCs w:val="24"/>
              <w:lang w:val="de" w:eastAsia="en-US"/>
            </w:rPr>
          </w:pPr>
          <w:r w:rsidRPr="009B6CC3">
            <w:rPr>
              <w:rFonts w:eastAsia="Calibri"/>
              <w:szCs w:val="24"/>
              <w:lang w:val="de" w:eastAsia="en-US"/>
            </w:rPr>
            <w:t>für die Ausführung der Aufgaben erforderliche Sprache(n):</w:t>
          </w:r>
        </w:p>
        <w:p w14:paraId="21DE7B67" w14:textId="77777777" w:rsidR="009B6CC3" w:rsidRPr="009B6CC3" w:rsidRDefault="009B6CC3" w:rsidP="009B6CC3">
          <w:pPr>
            <w:spacing w:after="0" w:line="259" w:lineRule="auto"/>
            <w:ind w:left="1134"/>
            <w:rPr>
              <w:rFonts w:eastAsia="Calibri"/>
              <w:szCs w:val="24"/>
              <w:lang w:eastAsia="en-US"/>
            </w:rPr>
          </w:pPr>
          <w:r w:rsidRPr="009B6CC3">
            <w:rPr>
              <w:rFonts w:eastAsia="Calibri"/>
              <w:szCs w:val="24"/>
              <w:lang w:eastAsia="en-US"/>
            </w:rPr>
            <w:t>Englisch: fließend in Wort und Schrift erforderlich</w:t>
          </w:r>
        </w:p>
        <w:p w14:paraId="2A0F153A" w14:textId="57714D0C" w:rsidR="009321C6" w:rsidRPr="009B6CC3" w:rsidRDefault="009B6CC3" w:rsidP="009B6CC3">
          <w:pPr>
            <w:spacing w:after="0" w:line="259" w:lineRule="auto"/>
            <w:ind w:left="1134"/>
            <w:rPr>
              <w:rFonts w:eastAsia="Calibri"/>
              <w:szCs w:val="24"/>
              <w:lang w:eastAsia="en-US"/>
            </w:rPr>
          </w:pPr>
          <w:r w:rsidRPr="009B6CC3">
            <w:rPr>
              <w:rFonts w:eastAsia="Calibri"/>
              <w:szCs w:val="24"/>
              <w:lang w:eastAsia="en-US"/>
            </w:rPr>
            <w:t>Französisch: könnte von Vorteil sein</w:t>
          </w:r>
        </w:p>
      </w:sdtContent>
    </w:sdt>
    <w:p w14:paraId="3CF70F22" w14:textId="77777777" w:rsidR="00546DB1" w:rsidRPr="00C50CAF" w:rsidRDefault="00546DB1" w:rsidP="00546DB1">
      <w:pPr>
        <w:tabs>
          <w:tab w:val="left" w:pos="426"/>
        </w:tabs>
        <w:spacing w:after="0"/>
        <w:rPr>
          <w:b/>
          <w:lang w:val="fr-BE"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673319"/>
    <w:multiLevelType w:val="hybridMultilevel"/>
    <w:tmpl w:val="F90A89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2B505AE"/>
    <w:multiLevelType w:val="hybridMultilevel"/>
    <w:tmpl w:val="3C0CF6A0"/>
    <w:lvl w:ilvl="0" w:tplc="4FC49D0C">
      <w:start w:val="4"/>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5"/>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928533631">
    <w:abstractNumId w:val="17"/>
  </w:num>
  <w:num w:numId="31" w16cid:durableId="6154072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5C2575"/>
    <w:rsid w:val="006243BB"/>
    <w:rsid w:val="00676119"/>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B6CC3"/>
    <w:rsid w:val="009F216F"/>
    <w:rsid w:val="00AB56F9"/>
    <w:rsid w:val="00AE6941"/>
    <w:rsid w:val="00BF6139"/>
    <w:rsid w:val="00C070CD"/>
    <w:rsid w:val="00C07259"/>
    <w:rsid w:val="00C27C81"/>
    <w:rsid w:val="00C50CAF"/>
    <w:rsid w:val="00CD33B4"/>
    <w:rsid w:val="00D605F4"/>
    <w:rsid w:val="00DA711C"/>
    <w:rsid w:val="00DE7EE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89CEF5D902745D18E948A2400C27802"/>
        <w:category>
          <w:name w:val="General"/>
          <w:gallery w:val="placeholder"/>
        </w:category>
        <w:types>
          <w:type w:val="bbPlcHdr"/>
        </w:types>
        <w:behaviors>
          <w:behavior w:val="content"/>
        </w:behaviors>
        <w:guid w:val="{D8A3633E-2B2B-4DF4-AF59-C0C6C2596E38}"/>
      </w:docPartPr>
      <w:docPartBody>
        <w:p w:rsidR="00A37B2C" w:rsidRDefault="0054081A" w:rsidP="0054081A">
          <w:pPr>
            <w:pStyle w:val="D89CEF5D902745D18E948A2400C27802"/>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4081A"/>
    <w:rsid w:val="0056186B"/>
    <w:rsid w:val="00723B02"/>
    <w:rsid w:val="008A7C76"/>
    <w:rsid w:val="008D04E3"/>
    <w:rsid w:val="00A37B2C"/>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4081A"/>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89CEF5D902745D18E948A2400C27802">
    <w:name w:val="D89CEF5D902745D18E948A2400C27802"/>
    <w:rsid w:val="005408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EC_Portal_SM_Pages xmlns="a41a97bf-0494-41d8-ba3d-259bd7771890" xsi:nil="true"/>
    <_DCDateModified xmlns="http://schemas.microsoft.com/sharepoint/v3/fields" xsi:nil="true"/>
    <EC_Portal_SM_Audiences xmlns="1929b814-5a78-4bdc-9841-d8b9ef424f65">COM A EACEA A EACI A EAHC A ERCEA A HADEA A REA A TENEA A</EC_Portal_SM_Audiences>
    <EC_Portal_SM_DocumentGroupID xmlns="a41a97bf-0494-41d8-ba3d-259bd7771890" xsi:nil="true"/>
    <EC_Common_Keyword xmlns="http://schemas.microsoft.com/sharepoint/v3/fields"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5AE27226-6298-4925-8D9D-D22375B1025E}">
  <ds:schemaRefs>
    <ds:schemaRef ds:uri="http://schemas.microsoft.com/office/infopath/2007/PartnerControls"/>
    <ds:schemaRef ds:uri="http://schemas.microsoft.com/office/2006/metadata/properties"/>
    <ds:schemaRef ds:uri="http://schemas.microsoft.com/sharepoint/v3/fields"/>
    <ds:schemaRef ds:uri="http://purl.org/dc/elements/1.1/"/>
    <ds:schemaRef ds:uri="http://www.w3.org/XML/1998/namespace"/>
    <ds:schemaRef ds:uri="http://purl.org/dc/dcmitype/"/>
    <ds:schemaRef ds:uri="http://purl.org/dc/terms/"/>
    <ds:schemaRef ds:uri="http://schemas.microsoft.com/office/2006/documentManagement/types"/>
    <ds:schemaRef ds:uri="a41a97bf-0494-41d8-ba3d-259bd7771890"/>
    <ds:schemaRef ds:uri="http://schemas.openxmlformats.org/package/2006/metadata/core-properties"/>
    <ds:schemaRef ds:uri="08927195-b699-4be0-9ee2-6c66dc215b5a"/>
    <ds:schemaRef ds:uri="1929b814-5a78-4bdc-9841-d8b9ef424f65"/>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4BF219D8-EF75-4C35-BB09-F73237DDA38B}">
  <ds:schemaRefs>
    <ds:schemaRef ds:uri="http://schemas.microsoft.com/sharepoint/v3/contenttype/forms"/>
  </ds:schemaRefs>
</ds:datastoreItem>
</file>

<file path=customXml/itemProps7.xml><?xml version="1.0" encoding="utf-8"?>
<ds:datastoreItem xmlns:ds="http://schemas.openxmlformats.org/officeDocument/2006/customXml" ds:itemID="{20D003D2-DC7D-4813-AC91-98540E0E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1646</Words>
  <Characters>9550</Characters>
  <Application>Microsoft Office Word</Application>
  <DocSecurity>4</DocSecurity>
  <PresentationFormat>Microsoft Word 14.0</PresentationFormat>
  <Lines>222</Lines>
  <Paragraphs>104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dcterms:created xsi:type="dcterms:W3CDTF">2023-09-13T11:25:00Z</dcterms:created>
  <dcterms:modified xsi:type="dcterms:W3CDTF">2023-09-13T11:25:00Z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