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D14E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D14E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D14E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D14E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D14E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D14E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169AE63" w:rsidR="00546DB1" w:rsidRPr="00546DB1" w:rsidRDefault="003645F5" w:rsidP="005F6927">
                <w:pPr>
                  <w:tabs>
                    <w:tab w:val="left" w:pos="426"/>
                  </w:tabs>
                  <w:rPr>
                    <w:bCs/>
                    <w:lang w:val="en-IE" w:eastAsia="en-GB"/>
                  </w:rPr>
                </w:pPr>
                <w:r>
                  <w:rPr>
                    <w:bCs/>
                    <w:lang w:eastAsia="en-GB"/>
                  </w:rPr>
                  <w:t>INTPA.F.2</w:t>
                </w:r>
              </w:p>
            </w:tc>
          </w:sdtContent>
        </w:sdt>
      </w:tr>
      <w:tr w:rsidR="00546DB1" w:rsidRPr="003645F5"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37DE59D" w:rsidR="00546DB1" w:rsidRPr="003645F5" w:rsidRDefault="003645F5" w:rsidP="005F6927">
                <w:pPr>
                  <w:tabs>
                    <w:tab w:val="left" w:pos="426"/>
                  </w:tabs>
                  <w:rPr>
                    <w:bCs/>
                    <w:lang w:val="en-IE" w:eastAsia="en-GB"/>
                  </w:rPr>
                </w:pPr>
                <w:r>
                  <w:rPr>
                    <w:bCs/>
                    <w:lang w:eastAsia="en-GB"/>
                  </w:rPr>
                  <w:t>4345</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FF5EDA9" w:rsidR="00546DB1" w:rsidRPr="003645F5" w:rsidRDefault="003645F5" w:rsidP="005F6927">
                <w:pPr>
                  <w:tabs>
                    <w:tab w:val="left" w:pos="426"/>
                  </w:tabs>
                  <w:rPr>
                    <w:bCs/>
                    <w:lang w:eastAsia="en-GB"/>
                  </w:rPr>
                </w:pPr>
                <w:r>
                  <w:rPr>
                    <w:bCs/>
                    <w:lang w:eastAsia="en-GB"/>
                  </w:rPr>
                  <w:t>Chantal Marijnissen</w:t>
                </w:r>
              </w:p>
            </w:sdtContent>
          </w:sdt>
          <w:p w14:paraId="227D6F6E" w14:textId="4DDA07AD" w:rsidR="00546DB1" w:rsidRPr="009F216F" w:rsidRDefault="00FD14E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645F5">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3645F5">
                  <w:rPr>
                    <w:bCs/>
                    <w:lang w:eastAsia="en-GB"/>
                  </w:rPr>
                  <w:t>4</w:t>
                </w:r>
              </w:sdtContent>
            </w:sdt>
          </w:p>
          <w:p w14:paraId="4128A55A" w14:textId="3C27B20C" w:rsidR="00546DB1" w:rsidRPr="00546DB1" w:rsidRDefault="00FD14E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645F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645F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1E559104" w:rsidR="00546DB1" w:rsidRPr="00546DB1" w:rsidRDefault="00FD14EE"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3645F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1699D957" w:rsidR="00546DB1" w:rsidRPr="00546DB1" w:rsidRDefault="00FD14EE"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3645F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FD14EE"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FD14EE"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FD14EE"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FD14EE"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1BFB290" w:rsidR="00546DB1" w:rsidRPr="00546DB1" w:rsidRDefault="00FD14EE"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3645F5">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561DF431" w14:textId="77777777" w:rsidR="003645F5" w:rsidRPr="00D277B6" w:rsidRDefault="003645F5" w:rsidP="003645F5">
          <w:pPr>
            <w:ind w:right="423"/>
            <w:rPr>
              <w:sz w:val="22"/>
              <w:szCs w:val="22"/>
            </w:rPr>
          </w:pPr>
          <w:r w:rsidRPr="00D277B6">
            <w:rPr>
              <w:sz w:val="22"/>
              <w:szCs w:val="22"/>
            </w:rPr>
            <w:t xml:space="preserve">Das Referat INTPA.F.2 – Umwelt, nachhaltige natürliche Ressourcen bietet eine Stelle für einen Abgeordneten nationalen Sachverständigen unter der Verantwortung des Referatsleiters an. </w:t>
          </w:r>
        </w:p>
        <w:p w14:paraId="38893951" w14:textId="77777777" w:rsidR="003645F5" w:rsidRPr="00D277B6" w:rsidRDefault="003645F5" w:rsidP="003645F5">
          <w:pPr>
            <w:ind w:right="423"/>
            <w:rPr>
              <w:sz w:val="22"/>
              <w:szCs w:val="22"/>
            </w:rPr>
          </w:pPr>
          <w:r w:rsidRPr="00D277B6">
            <w:rPr>
              <w:sz w:val="22"/>
              <w:szCs w:val="22"/>
            </w:rPr>
            <w:t xml:space="preserve">Die EU befindet sich an einem entscheidenden Punkt mit einer neuen Kommission, einem neuen und ehrgeizigen europäischen Grünen Deal, einem neuen mehrjährigen Finanzrahmen, sowie der Programmplanung und Umsetzung des neuen mehrjährigen Finanzrahmens der EU im Bereich der Zusammenarbeit für die Jahre 2021 bis 2027. </w:t>
          </w:r>
        </w:p>
        <w:p w14:paraId="63F5DC14" w14:textId="77777777" w:rsidR="003645F5" w:rsidRPr="00D277B6" w:rsidRDefault="003645F5" w:rsidP="003645F5">
          <w:pPr>
            <w:ind w:right="423"/>
            <w:rPr>
              <w:sz w:val="22"/>
              <w:szCs w:val="22"/>
            </w:rPr>
          </w:pPr>
          <w:r w:rsidRPr="00D277B6">
            <w:rPr>
              <w:sz w:val="22"/>
              <w:szCs w:val="22"/>
            </w:rPr>
            <w:lastRenderedPageBreak/>
            <w:t xml:space="preserve">Das Mandat von INTPA.F.2 besteht darin, Entwicklungsländer bei der Bewältigung von Herausforderungen in den Bereichen Umwelt, Forstwirtschaft (biologische Vielfalt, Klimawandel, nachhaltige Bewirtschaftung und Nutzung), Wasser sowie beim Übergang zu einer grünen Wirtschaft zu unterstützen. </w:t>
          </w:r>
        </w:p>
        <w:p w14:paraId="6A08D67C" w14:textId="77777777" w:rsidR="003645F5" w:rsidRPr="006C29A8" w:rsidRDefault="003645F5" w:rsidP="003645F5">
          <w:pPr>
            <w:ind w:right="423"/>
            <w:rPr>
              <w:sz w:val="22"/>
              <w:szCs w:val="22"/>
            </w:rPr>
          </w:pPr>
          <w:r w:rsidRPr="00D277B6">
            <w:rPr>
              <w:sz w:val="22"/>
              <w:szCs w:val="22"/>
            </w:rPr>
            <w:t>Zu diesem Zweck entwickelt INTPA.F.2 drei Hauptarbeitsbereiche: Politikentwicklung; thematische und methodische Unterstützung der EU-Delegationen und -Partner; Programmierung und Durchführung. Dies umfasst auch Vernetzung, Zusammenarbeit, politischen Dialog und Austausch von Erfahrungen und Informationen.</w:t>
          </w:r>
          <w:r w:rsidRPr="006C29A8">
            <w:rPr>
              <w:sz w:val="22"/>
              <w:szCs w:val="22"/>
            </w:rPr>
            <w:t xml:space="preserve"> </w:t>
          </w:r>
        </w:p>
        <w:p w14:paraId="163134B6" w14:textId="77777777" w:rsidR="003645F5" w:rsidRPr="006C29A8" w:rsidRDefault="003645F5" w:rsidP="003645F5">
          <w:pPr>
            <w:ind w:right="423"/>
            <w:rPr>
              <w:sz w:val="22"/>
              <w:szCs w:val="22"/>
            </w:rPr>
          </w:pPr>
          <w:r>
            <w:rPr>
              <w:sz w:val="22"/>
              <w:szCs w:val="22"/>
            </w:rPr>
            <w:t xml:space="preserve">Das </w:t>
          </w:r>
          <w:r w:rsidRPr="006C29A8">
            <w:rPr>
              <w:sz w:val="22"/>
              <w:szCs w:val="22"/>
            </w:rPr>
            <w:t xml:space="preserve">Referat </w:t>
          </w:r>
          <w:r>
            <w:rPr>
              <w:sz w:val="22"/>
              <w:szCs w:val="22"/>
            </w:rPr>
            <w:t>INTPA.</w:t>
          </w:r>
          <w:r w:rsidRPr="006C29A8">
            <w:rPr>
              <w:sz w:val="22"/>
              <w:szCs w:val="22"/>
            </w:rPr>
            <w:t xml:space="preserve">F.2 fördert die Gestaltung und Umsetzung der externen Dimension des europäischen Grünen Deals. Um die Wirkung </w:t>
          </w:r>
          <w:r>
            <w:rPr>
              <w:sz w:val="22"/>
              <w:szCs w:val="22"/>
            </w:rPr>
            <w:t xml:space="preserve">seiner </w:t>
          </w:r>
          <w:r w:rsidRPr="006C29A8">
            <w:rPr>
              <w:sz w:val="22"/>
              <w:szCs w:val="22"/>
            </w:rPr>
            <w:t>Unterstützung für den Wald zu verbessern und einen wirksamen Beitrag zur Umsetzung des Grünen Deals zu leisten, schlägt das Referat F.2 vor, im Rahmen eines „Team Europe“-Konzepts EU-</w:t>
          </w:r>
          <w:r>
            <w:rPr>
              <w:sz w:val="22"/>
              <w:szCs w:val="22"/>
            </w:rPr>
            <w:t>Wald</w:t>
          </w:r>
          <w:r w:rsidRPr="006C29A8">
            <w:rPr>
              <w:sz w:val="22"/>
              <w:szCs w:val="22"/>
            </w:rPr>
            <w:t>partnerschaften mit Partnerländern oder -regionen zu entwickeln und umzusetzen. Dieser neue, umfassende und integrierte Ansatz wird d</w:t>
          </w:r>
          <w:r>
            <w:rPr>
              <w:sz w:val="22"/>
              <w:szCs w:val="22"/>
            </w:rPr>
            <w:t xml:space="preserve">en </w:t>
          </w:r>
          <w:r w:rsidRPr="006C29A8">
            <w:rPr>
              <w:sz w:val="22"/>
              <w:szCs w:val="22"/>
            </w:rPr>
            <w:t>Verpflichtungen der EU</w:t>
          </w:r>
          <w:r>
            <w:rPr>
              <w:sz w:val="22"/>
              <w:szCs w:val="22"/>
            </w:rPr>
            <w:t xml:space="preserve"> nachkommen</w:t>
          </w:r>
          <w:r w:rsidRPr="006C29A8">
            <w:rPr>
              <w:sz w:val="22"/>
              <w:szCs w:val="22"/>
            </w:rPr>
            <w:t xml:space="preserve">, insbesondere in Bezug auf Klima und biologische Vielfalt, und </w:t>
          </w:r>
          <w:r>
            <w:rPr>
              <w:sz w:val="22"/>
              <w:szCs w:val="22"/>
            </w:rPr>
            <w:t xml:space="preserve">es den </w:t>
          </w:r>
          <w:r w:rsidRPr="006C29A8">
            <w:rPr>
              <w:sz w:val="22"/>
              <w:szCs w:val="22"/>
            </w:rPr>
            <w:t>Partner</w:t>
          </w:r>
          <w:r>
            <w:rPr>
              <w:sz w:val="22"/>
              <w:szCs w:val="22"/>
            </w:rPr>
            <w:t>n ermöglichen</w:t>
          </w:r>
          <w:r w:rsidRPr="006C29A8">
            <w:rPr>
              <w:sz w:val="22"/>
              <w:szCs w:val="22"/>
            </w:rPr>
            <w:t xml:space="preserve">, ihre sozioökonomischen Entwicklungsziele durch den Übergang zu einer </w:t>
          </w:r>
          <w:r>
            <w:rPr>
              <w:sz w:val="22"/>
              <w:szCs w:val="22"/>
            </w:rPr>
            <w:t xml:space="preserve">grüneren </w:t>
          </w:r>
          <w:r w:rsidRPr="006C29A8">
            <w:rPr>
              <w:sz w:val="22"/>
              <w:szCs w:val="22"/>
            </w:rPr>
            <w:t xml:space="preserve">Wirtschaft zu erreichen. </w:t>
          </w:r>
        </w:p>
        <w:p w14:paraId="76DD1EEA" w14:textId="7DAC45E5" w:rsidR="00803007" w:rsidRDefault="003645F5" w:rsidP="003645F5">
          <w:pPr>
            <w:ind w:right="423"/>
            <w:rPr>
              <w:lang w:val="en-US" w:eastAsia="en-GB"/>
            </w:rPr>
          </w:pPr>
          <w:r w:rsidRPr="006C29A8">
            <w:rPr>
              <w:sz w:val="22"/>
              <w:szCs w:val="22"/>
            </w:rPr>
            <w:t xml:space="preserve">Die </w:t>
          </w:r>
          <w:r>
            <w:rPr>
              <w:sz w:val="22"/>
              <w:szCs w:val="22"/>
            </w:rPr>
            <w:t>Wald</w:t>
          </w:r>
          <w:r w:rsidRPr="006C29A8">
            <w:rPr>
              <w:sz w:val="22"/>
              <w:szCs w:val="22"/>
            </w:rPr>
            <w:t>partnerschaften werden den überg</w:t>
          </w:r>
          <w:r>
            <w:rPr>
              <w:sz w:val="22"/>
              <w:szCs w:val="22"/>
            </w:rPr>
            <w:t>reifenden</w:t>
          </w:r>
          <w:r w:rsidRPr="006C29A8">
            <w:rPr>
              <w:sz w:val="22"/>
              <w:szCs w:val="22"/>
            </w:rPr>
            <w:t xml:space="preserve"> Rahmen für die Umsetzung des forstpolitischen Rahmens der EU unter der Verantwortung des Referats F2 bilden, insbesondere den Aktionsplan (Rechtsdurchsetzung, </w:t>
          </w:r>
          <w:r>
            <w:rPr>
              <w:sz w:val="22"/>
              <w:szCs w:val="22"/>
            </w:rPr>
            <w:t xml:space="preserve">Verwaltung </w:t>
          </w:r>
          <w:r w:rsidRPr="006C29A8">
            <w:rPr>
              <w:sz w:val="22"/>
              <w:szCs w:val="22"/>
            </w:rPr>
            <w:t xml:space="preserve">und Handel im Forstsektor) und die Mitteilung </w:t>
          </w:r>
          <w:r>
            <w:rPr>
              <w:sz w:val="22"/>
              <w:szCs w:val="22"/>
            </w:rPr>
            <w:t>K</w:t>
          </w:r>
          <w:r w:rsidRPr="006C29A8">
            <w:rPr>
              <w:sz w:val="22"/>
              <w:szCs w:val="22"/>
            </w:rPr>
            <w:t>OM/2019/352 „Intensivierung der EU-Maßnahmen zum Schutz und zur Wiederherstellung der Wälder in der Welt“ (Mitteilung über Entwaldung) und d</w:t>
          </w:r>
          <w:r>
            <w:rPr>
              <w:sz w:val="22"/>
              <w:szCs w:val="22"/>
            </w:rPr>
            <w:t>er</w:t>
          </w:r>
          <w:r w:rsidRPr="006C29A8">
            <w:rPr>
              <w:sz w:val="22"/>
              <w:szCs w:val="22"/>
            </w:rPr>
            <w:t xml:space="preserve"> bevorstehende</w:t>
          </w:r>
          <w:r>
            <w:rPr>
              <w:sz w:val="22"/>
              <w:szCs w:val="22"/>
            </w:rPr>
            <w:t>n</w:t>
          </w:r>
          <w:r w:rsidRPr="006C29A8">
            <w:rPr>
              <w:sz w:val="22"/>
              <w:szCs w:val="22"/>
            </w:rPr>
            <w:t xml:space="preserve"> „EU-Forststrategie“, um Investitionen des Privatsektors und nachhaltige forstbasierte Wertschöpfungsketten zu fördern. Das Referat F2 wird auch dazu beitragen, </w:t>
          </w:r>
          <w:r>
            <w:rPr>
              <w:sz w:val="22"/>
              <w:szCs w:val="22"/>
            </w:rPr>
            <w:t xml:space="preserve">die </w:t>
          </w:r>
          <w:r w:rsidRPr="006C29A8">
            <w:rPr>
              <w:sz w:val="22"/>
              <w:szCs w:val="22"/>
            </w:rPr>
            <w:t xml:space="preserve">Entwaldung und Waldschädigung in den Partnerländern zu bekämpfen, insbesondere durch </w:t>
          </w:r>
          <w:r>
            <w:rPr>
              <w:sz w:val="22"/>
              <w:szCs w:val="22"/>
            </w:rPr>
            <w:t xml:space="preserve">die </w:t>
          </w:r>
          <w:r w:rsidRPr="006C29A8">
            <w:rPr>
              <w:sz w:val="22"/>
              <w:szCs w:val="22"/>
            </w:rPr>
            <w:t xml:space="preserve">Unterstützung der REDD ± Mechanismen </w:t>
          </w:r>
          <w:r>
            <w:rPr>
              <w:sz w:val="22"/>
              <w:szCs w:val="22"/>
            </w:rPr>
            <w:t xml:space="preserve">und </w:t>
          </w:r>
          <w:r w:rsidRPr="006C29A8">
            <w:rPr>
              <w:sz w:val="22"/>
              <w:szCs w:val="22"/>
            </w:rPr>
            <w:t>der Programme zur Bekämpfung der Entwaldung sowie d</w:t>
          </w:r>
          <w:r>
            <w:rPr>
              <w:sz w:val="22"/>
              <w:szCs w:val="22"/>
            </w:rPr>
            <w:t xml:space="preserve">urch die </w:t>
          </w:r>
          <w:r w:rsidRPr="006C29A8">
            <w:rPr>
              <w:sz w:val="22"/>
              <w:szCs w:val="22"/>
            </w:rPr>
            <w:t>Konzeption und Durchführung von Programmen zur biologischen Vielfalt.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0CFC88A" w14:textId="77777777" w:rsidR="003645F5" w:rsidRPr="006C29A8" w:rsidRDefault="003645F5" w:rsidP="003645F5">
          <w:pPr>
            <w:ind w:right="423"/>
            <w:rPr>
              <w:sz w:val="22"/>
              <w:szCs w:val="22"/>
            </w:rPr>
          </w:pPr>
          <w:r w:rsidRPr="006C29A8">
            <w:rPr>
              <w:sz w:val="22"/>
              <w:szCs w:val="22"/>
            </w:rPr>
            <w:t>Unter der Verantwortung des Referatsleiters und der direkten Aufsicht</w:t>
          </w:r>
          <w:r>
            <w:rPr>
              <w:sz w:val="22"/>
              <w:szCs w:val="22"/>
            </w:rPr>
            <w:t xml:space="preserve"> des </w:t>
          </w:r>
          <w:r w:rsidRPr="006C29A8">
            <w:rPr>
              <w:sz w:val="22"/>
              <w:szCs w:val="22"/>
            </w:rPr>
            <w:t>Leiter</w:t>
          </w:r>
          <w:r>
            <w:rPr>
              <w:sz w:val="22"/>
              <w:szCs w:val="22"/>
            </w:rPr>
            <w:t>s</w:t>
          </w:r>
          <w:r w:rsidRPr="006C29A8">
            <w:rPr>
              <w:sz w:val="22"/>
              <w:szCs w:val="22"/>
            </w:rPr>
            <w:t xml:space="preserve"> des Forstsektors wird der erfolgreiche Bewerber die Arbeit </w:t>
          </w:r>
          <w:r>
            <w:rPr>
              <w:sz w:val="22"/>
              <w:szCs w:val="22"/>
            </w:rPr>
            <w:t xml:space="preserve">von </w:t>
          </w:r>
          <w:r w:rsidRPr="006C29A8">
            <w:rPr>
              <w:sz w:val="22"/>
              <w:szCs w:val="22"/>
            </w:rPr>
            <w:t xml:space="preserve">INTPA im Bereich der nachhaltigen Waldbewirtschaftung unterstützen, wobei ein besonderer Schwerpunkt auf dem FLEGT-Aktionsplan und der Mitteilung </w:t>
          </w:r>
          <w:r>
            <w:rPr>
              <w:sz w:val="22"/>
              <w:szCs w:val="22"/>
            </w:rPr>
            <w:t xml:space="preserve">zur </w:t>
          </w:r>
          <w:r w:rsidRPr="006C29A8">
            <w:rPr>
              <w:sz w:val="22"/>
              <w:szCs w:val="22"/>
            </w:rPr>
            <w:t xml:space="preserve">Entwaldung liegt. </w:t>
          </w:r>
        </w:p>
        <w:p w14:paraId="03052BD2" w14:textId="77777777" w:rsidR="003645F5" w:rsidRPr="006C29A8" w:rsidRDefault="003645F5" w:rsidP="003645F5">
          <w:pPr>
            <w:ind w:right="423"/>
            <w:rPr>
              <w:sz w:val="22"/>
              <w:szCs w:val="22"/>
            </w:rPr>
          </w:pPr>
          <w:r w:rsidRPr="006C29A8">
            <w:rPr>
              <w:sz w:val="22"/>
              <w:szCs w:val="22"/>
            </w:rPr>
            <w:t>Hierbei hat d</w:t>
          </w:r>
          <w:r>
            <w:rPr>
              <w:sz w:val="22"/>
              <w:szCs w:val="22"/>
            </w:rPr>
            <w:t>er</w:t>
          </w:r>
          <w:r w:rsidRPr="006C29A8">
            <w:rPr>
              <w:sz w:val="22"/>
              <w:szCs w:val="22"/>
            </w:rPr>
            <w:t>/</w:t>
          </w:r>
          <w:proofErr w:type="gramStart"/>
          <w:r w:rsidRPr="006C29A8">
            <w:rPr>
              <w:sz w:val="22"/>
              <w:szCs w:val="22"/>
            </w:rPr>
            <w:t xml:space="preserve">die </w:t>
          </w:r>
          <w:r>
            <w:rPr>
              <w:sz w:val="22"/>
              <w:szCs w:val="22"/>
            </w:rPr>
            <w:t>erf</w:t>
          </w:r>
          <w:r w:rsidRPr="006C29A8">
            <w:rPr>
              <w:sz w:val="22"/>
              <w:szCs w:val="22"/>
            </w:rPr>
            <w:t>olgreiche Bewerber</w:t>
          </w:r>
          <w:proofErr w:type="gramEnd"/>
          <w:r w:rsidRPr="006C29A8">
            <w:rPr>
              <w:sz w:val="22"/>
              <w:szCs w:val="22"/>
            </w:rPr>
            <w:t xml:space="preserve">/in </w:t>
          </w:r>
          <w:r>
            <w:rPr>
              <w:sz w:val="22"/>
              <w:szCs w:val="22"/>
            </w:rPr>
            <w:t>insb</w:t>
          </w:r>
          <w:r w:rsidRPr="006C29A8">
            <w:rPr>
              <w:sz w:val="22"/>
              <w:szCs w:val="22"/>
            </w:rPr>
            <w:t xml:space="preserve">esondere </w:t>
          </w:r>
          <w:r>
            <w:rPr>
              <w:sz w:val="22"/>
              <w:szCs w:val="22"/>
            </w:rPr>
            <w:t>f</w:t>
          </w:r>
          <w:r w:rsidRPr="006C29A8">
            <w:rPr>
              <w:sz w:val="22"/>
              <w:szCs w:val="22"/>
            </w:rPr>
            <w:t xml:space="preserve">olgende Aufgaben: </w:t>
          </w:r>
        </w:p>
        <w:p w14:paraId="786ED481" w14:textId="77777777" w:rsidR="003645F5" w:rsidRPr="006C29A8" w:rsidRDefault="003645F5" w:rsidP="003645F5">
          <w:pPr>
            <w:ind w:right="423"/>
            <w:rPr>
              <w:sz w:val="22"/>
              <w:szCs w:val="22"/>
            </w:rPr>
          </w:pPr>
        </w:p>
        <w:p w14:paraId="4EDB4210" w14:textId="77777777" w:rsidR="003645F5" w:rsidRPr="006C29A8" w:rsidRDefault="003645F5" w:rsidP="003645F5">
          <w:pPr>
            <w:ind w:left="708" w:right="423" w:hanging="708"/>
            <w:rPr>
              <w:sz w:val="22"/>
              <w:szCs w:val="22"/>
            </w:rPr>
          </w:pPr>
          <w:r>
            <w:rPr>
              <w:sz w:val="22"/>
              <w:szCs w:val="22"/>
            </w:rPr>
            <w:t>1.</w:t>
          </w:r>
          <w:r>
            <w:rPr>
              <w:sz w:val="22"/>
              <w:szCs w:val="22"/>
            </w:rPr>
            <w:tab/>
          </w:r>
          <w:r w:rsidRPr="006C29A8">
            <w:rPr>
              <w:sz w:val="22"/>
              <w:szCs w:val="22"/>
            </w:rPr>
            <w:t>Funktion als Anlaufstelle der EU für die Aushandlung und Umsetzung freiwilliger FLEGT-Partnerschaftsabkommen mit einigen Entwicklungsländern in Afrika und/oder Zentralamerika; Unterstützung der Kollegen i</w:t>
          </w:r>
          <w:r>
            <w:rPr>
              <w:sz w:val="22"/>
              <w:szCs w:val="22"/>
            </w:rPr>
            <w:t>n</w:t>
          </w:r>
          <w:r w:rsidRPr="006C29A8">
            <w:rPr>
              <w:sz w:val="22"/>
              <w:szCs w:val="22"/>
            </w:rPr>
            <w:t xml:space="preserve"> INTPA/in den Delegationen für andere VPA-Prozesse; </w:t>
          </w:r>
        </w:p>
        <w:p w14:paraId="4C8251A1" w14:textId="77777777" w:rsidR="003645F5" w:rsidRPr="006C29A8" w:rsidRDefault="003645F5" w:rsidP="003645F5">
          <w:pPr>
            <w:ind w:left="708" w:right="423" w:hanging="708"/>
            <w:rPr>
              <w:sz w:val="22"/>
              <w:szCs w:val="22"/>
            </w:rPr>
          </w:pPr>
          <w:r w:rsidRPr="006C29A8">
            <w:rPr>
              <w:sz w:val="22"/>
              <w:szCs w:val="22"/>
            </w:rPr>
            <w:t>2.</w:t>
          </w:r>
          <w:r>
            <w:rPr>
              <w:sz w:val="22"/>
              <w:szCs w:val="22"/>
            </w:rPr>
            <w:tab/>
          </w:r>
          <w:r w:rsidRPr="006C29A8">
            <w:rPr>
              <w:sz w:val="22"/>
              <w:szCs w:val="22"/>
            </w:rPr>
            <w:t xml:space="preserve">Koordinierung der Arbeit mit den Mitgliedstaaten und Pflege von Kontakten mit anderen Kommissionsdienststellen, dem Rat und dem Europäischen Parlament zur Umsetzung des FLEGT-Aktionsplans; </w:t>
          </w:r>
        </w:p>
        <w:p w14:paraId="3E8263F5" w14:textId="77777777" w:rsidR="003645F5" w:rsidRPr="006C29A8" w:rsidRDefault="003645F5" w:rsidP="003645F5">
          <w:pPr>
            <w:ind w:left="708" w:right="423" w:hanging="708"/>
            <w:rPr>
              <w:sz w:val="22"/>
              <w:szCs w:val="22"/>
            </w:rPr>
          </w:pPr>
          <w:r>
            <w:rPr>
              <w:sz w:val="22"/>
              <w:szCs w:val="22"/>
            </w:rPr>
            <w:t>3.</w:t>
          </w:r>
          <w:r>
            <w:rPr>
              <w:sz w:val="22"/>
              <w:szCs w:val="22"/>
            </w:rPr>
            <w:tab/>
          </w:r>
          <w:r w:rsidRPr="006C29A8">
            <w:rPr>
              <w:sz w:val="22"/>
              <w:szCs w:val="22"/>
            </w:rPr>
            <w:t xml:space="preserve">Beratung in Fragen der Entwicklungshilfe zur Unterstützung der Umsetzung des FLEGT-Aktionsplans; </w:t>
          </w:r>
        </w:p>
        <w:p w14:paraId="2B417902" w14:textId="77777777" w:rsidR="003645F5" w:rsidRPr="006C29A8" w:rsidRDefault="003645F5" w:rsidP="003645F5">
          <w:pPr>
            <w:ind w:left="708" w:right="423" w:hanging="708"/>
            <w:rPr>
              <w:sz w:val="22"/>
              <w:szCs w:val="22"/>
            </w:rPr>
          </w:pPr>
          <w:r w:rsidRPr="006C29A8">
            <w:rPr>
              <w:sz w:val="22"/>
              <w:szCs w:val="22"/>
            </w:rPr>
            <w:lastRenderedPageBreak/>
            <w:t>4.</w:t>
          </w:r>
          <w:r>
            <w:rPr>
              <w:sz w:val="22"/>
              <w:szCs w:val="22"/>
            </w:rPr>
            <w:tab/>
          </w:r>
          <w:r w:rsidRPr="006C29A8">
            <w:rPr>
              <w:sz w:val="22"/>
              <w:szCs w:val="22"/>
            </w:rPr>
            <w:t xml:space="preserve">Unterstützung von Multi-Stakeholder-Prozessen und Gewährleistung einer wirksamen Kommunikation über FLEGT-Aktionsplan mit Interessenträgern in der EU sowie in den Entwicklungsländern; </w:t>
          </w:r>
        </w:p>
        <w:p w14:paraId="09CC14C0" w14:textId="77777777" w:rsidR="003645F5" w:rsidRPr="006C29A8" w:rsidRDefault="003645F5" w:rsidP="003645F5">
          <w:pPr>
            <w:ind w:left="708" w:right="423" w:hanging="708"/>
            <w:rPr>
              <w:sz w:val="22"/>
              <w:szCs w:val="22"/>
            </w:rPr>
          </w:pPr>
          <w:r w:rsidRPr="006C29A8">
            <w:rPr>
              <w:sz w:val="22"/>
              <w:szCs w:val="22"/>
            </w:rPr>
            <w:t>5.</w:t>
          </w:r>
          <w:r>
            <w:rPr>
              <w:sz w:val="22"/>
              <w:szCs w:val="22"/>
            </w:rPr>
            <w:tab/>
          </w:r>
          <w:r w:rsidRPr="006C29A8">
            <w:rPr>
              <w:sz w:val="22"/>
              <w:szCs w:val="22"/>
            </w:rPr>
            <w:t xml:space="preserve">Beitrag zu analytischen Arbeiten und strategischen Überlegungen zu einer Reihe thematischer Themen im Zusammenhang mit FLEGT, der EU-Holzverordnung, der Mitteilung über Entwaldung und forstbezogene und/oder forstwirtschaftliche Wertschöpfungsketten für landwirtschaftliche Rohstoffe, insbesondere aus rechtlicher Sicht; </w:t>
          </w:r>
        </w:p>
        <w:p w14:paraId="7544C71D" w14:textId="77777777" w:rsidR="003645F5" w:rsidRPr="006C29A8" w:rsidRDefault="003645F5" w:rsidP="003645F5">
          <w:pPr>
            <w:ind w:left="708" w:right="423" w:hanging="708"/>
            <w:rPr>
              <w:sz w:val="22"/>
              <w:szCs w:val="22"/>
            </w:rPr>
          </w:pPr>
          <w:r w:rsidRPr="006C29A8">
            <w:rPr>
              <w:sz w:val="22"/>
              <w:szCs w:val="22"/>
            </w:rPr>
            <w:t>6.</w:t>
          </w:r>
          <w:r>
            <w:rPr>
              <w:sz w:val="22"/>
              <w:szCs w:val="22"/>
            </w:rPr>
            <w:tab/>
          </w:r>
          <w:r w:rsidRPr="006C29A8">
            <w:rPr>
              <w:sz w:val="22"/>
              <w:szCs w:val="22"/>
            </w:rPr>
            <w:t>In Zusammenarbeit mit den EU-Delegationen, den geografischen INTPA-Referaten und den Mitgliedstaaten die Entwicklung und Umsetzung der EU-</w:t>
          </w:r>
          <w:r>
            <w:rPr>
              <w:sz w:val="22"/>
              <w:szCs w:val="22"/>
            </w:rPr>
            <w:t>Wald</w:t>
          </w:r>
          <w:r w:rsidRPr="006C29A8">
            <w:rPr>
              <w:sz w:val="22"/>
              <w:szCs w:val="22"/>
            </w:rPr>
            <w:t xml:space="preserve">partnerschaften vom politischen Dialog bis zu Programmen zu unterstützen; </w:t>
          </w:r>
        </w:p>
        <w:p w14:paraId="6A979AAB" w14:textId="77777777" w:rsidR="003645F5" w:rsidRPr="006C29A8" w:rsidRDefault="003645F5" w:rsidP="003645F5">
          <w:pPr>
            <w:ind w:left="708" w:right="423" w:hanging="708"/>
            <w:rPr>
              <w:sz w:val="22"/>
              <w:szCs w:val="22"/>
            </w:rPr>
          </w:pPr>
          <w:r w:rsidRPr="006C29A8">
            <w:rPr>
              <w:sz w:val="22"/>
              <w:szCs w:val="22"/>
            </w:rPr>
            <w:t>7.</w:t>
          </w:r>
          <w:r>
            <w:rPr>
              <w:sz w:val="22"/>
              <w:szCs w:val="22"/>
            </w:rPr>
            <w:tab/>
          </w:r>
          <w:r w:rsidRPr="006C29A8">
            <w:rPr>
              <w:sz w:val="22"/>
              <w:szCs w:val="22"/>
            </w:rPr>
            <w:t xml:space="preserve">Unterstützung von Investitionsvorhaben (Mischfinanzierung, Garantien), öffentlich-privaten Partnerschaften und der Beteiligung des Privatsektors an der nachhaltigen Waldbewirtschaftung und Wiederaufforstung, einschließlich Aufforstung und Wiederherstellung von Waldökosystemen; </w:t>
          </w:r>
        </w:p>
        <w:p w14:paraId="55158B21" w14:textId="77777777" w:rsidR="003645F5" w:rsidRPr="006C29A8" w:rsidRDefault="003645F5" w:rsidP="003645F5">
          <w:pPr>
            <w:ind w:left="708" w:right="423" w:hanging="708"/>
            <w:rPr>
              <w:sz w:val="22"/>
              <w:szCs w:val="22"/>
            </w:rPr>
          </w:pPr>
          <w:r w:rsidRPr="006C29A8">
            <w:rPr>
              <w:sz w:val="22"/>
              <w:szCs w:val="22"/>
            </w:rPr>
            <w:t>8.</w:t>
          </w:r>
          <w:r>
            <w:rPr>
              <w:sz w:val="22"/>
              <w:szCs w:val="22"/>
            </w:rPr>
            <w:tab/>
          </w:r>
          <w:r w:rsidRPr="006C29A8">
            <w:rPr>
              <w:sz w:val="22"/>
              <w:szCs w:val="22"/>
            </w:rPr>
            <w:t xml:space="preserve">Die durchgängige Berücksichtigung des Klimawandels im gesamten Forstbestand im Einklang mit der finanziellen Verpflichtung des NDICI (2021-2027) zu 30 % klimarelevanten Maßnahmen zu unterstützen; </w:t>
          </w:r>
        </w:p>
        <w:p w14:paraId="3687583E" w14:textId="77777777" w:rsidR="003645F5" w:rsidRDefault="003645F5" w:rsidP="003645F5">
          <w:pPr>
            <w:ind w:left="708" w:right="423" w:hanging="708"/>
            <w:rPr>
              <w:sz w:val="22"/>
              <w:szCs w:val="22"/>
            </w:rPr>
          </w:pPr>
          <w:r w:rsidRPr="006C29A8">
            <w:rPr>
              <w:sz w:val="22"/>
              <w:szCs w:val="22"/>
            </w:rPr>
            <w:t>9.</w:t>
          </w:r>
          <w:r>
            <w:rPr>
              <w:sz w:val="22"/>
              <w:szCs w:val="22"/>
            </w:rPr>
            <w:tab/>
          </w:r>
          <w:r w:rsidRPr="006C29A8">
            <w:rPr>
              <w:sz w:val="22"/>
              <w:szCs w:val="22"/>
            </w:rPr>
            <w:t xml:space="preserve">Durchführung von Unterstützungsmissionen in Partnerländern zur Bereitstellung politischer und technischer Unterstützung in den Bereichen grüne/kreislauforientierte Wirtschaft, Umwelt und </w:t>
          </w:r>
          <w:proofErr w:type="spellStart"/>
          <w:r w:rsidRPr="006C29A8">
            <w:rPr>
              <w:sz w:val="22"/>
              <w:szCs w:val="22"/>
            </w:rPr>
            <w:t>Ökologisierung</w:t>
          </w:r>
          <w:r>
            <w:rPr>
              <w:sz w:val="22"/>
              <w:szCs w:val="22"/>
            </w:rPr>
            <w:t>se</w:t>
          </w:r>
          <w:r w:rsidRPr="006C29A8">
            <w:rPr>
              <w:sz w:val="22"/>
              <w:szCs w:val="22"/>
            </w:rPr>
            <w:t>ntwicklungs</w:t>
          </w:r>
          <w:r>
            <w:rPr>
              <w:sz w:val="22"/>
              <w:szCs w:val="22"/>
            </w:rPr>
            <w:t>politik</w:t>
          </w:r>
          <w:proofErr w:type="spellEnd"/>
          <w:r w:rsidRPr="006C29A8">
            <w:rPr>
              <w:sz w:val="22"/>
              <w:szCs w:val="22"/>
            </w:rPr>
            <w:t xml:space="preserve">, -programme und -investitionen; </w:t>
          </w:r>
        </w:p>
        <w:p w14:paraId="0151018B" w14:textId="77777777" w:rsidR="003645F5" w:rsidRDefault="003645F5" w:rsidP="003645F5">
          <w:pPr>
            <w:ind w:left="708" w:right="423" w:hanging="708"/>
            <w:rPr>
              <w:sz w:val="22"/>
              <w:szCs w:val="22"/>
            </w:rPr>
          </w:pPr>
          <w:r w:rsidRPr="006C29A8">
            <w:rPr>
              <w:sz w:val="22"/>
              <w:szCs w:val="22"/>
            </w:rPr>
            <w:t>10.</w:t>
          </w:r>
          <w:r>
            <w:rPr>
              <w:sz w:val="22"/>
              <w:szCs w:val="22"/>
            </w:rPr>
            <w:tab/>
          </w:r>
          <w:r w:rsidRPr="006C29A8">
            <w:rPr>
              <w:sz w:val="22"/>
              <w:szCs w:val="22"/>
            </w:rPr>
            <w:t xml:space="preserve">Technische Unterstützung der Kollegen </w:t>
          </w:r>
          <w:r>
            <w:rPr>
              <w:sz w:val="22"/>
              <w:szCs w:val="22"/>
            </w:rPr>
            <w:t>in</w:t>
          </w:r>
          <w:r w:rsidRPr="006C29A8">
            <w:rPr>
              <w:sz w:val="22"/>
              <w:szCs w:val="22"/>
            </w:rPr>
            <w:t xml:space="preserve"> INTPA und der EU-Delegationen im Bereich der nachhaltigen Waldbewirtschaftung und möglicherweise in umfassenderen Umweltfragen.</w:t>
          </w:r>
        </w:p>
        <w:p w14:paraId="1BB4DBC2" w14:textId="77777777" w:rsidR="003645F5" w:rsidRPr="00E343AB" w:rsidRDefault="003645F5" w:rsidP="003645F5">
          <w:pPr>
            <w:ind w:left="708" w:right="423" w:hanging="708"/>
          </w:pPr>
          <w:r>
            <w:t>11.</w:t>
          </w:r>
          <w:r>
            <w:tab/>
          </w:r>
          <w:r w:rsidRPr="00E343AB">
            <w:t xml:space="preserve">Sektorale und thematische Beziehungen innerhalb der Kommission und anderer EU-Organe, der Mitgliedstaaten und anderer Interessenträger zu pflegen und zu fördern; </w:t>
          </w:r>
        </w:p>
        <w:p w14:paraId="045F660B" w14:textId="77777777" w:rsidR="003645F5" w:rsidRPr="00E343AB" w:rsidRDefault="003645F5" w:rsidP="003645F5">
          <w:pPr>
            <w:ind w:left="708" w:right="423" w:hanging="708"/>
            <w:rPr>
              <w:sz w:val="22"/>
              <w:szCs w:val="22"/>
            </w:rPr>
          </w:pPr>
          <w:r>
            <w:rPr>
              <w:sz w:val="22"/>
              <w:szCs w:val="22"/>
            </w:rPr>
            <w:t>1</w:t>
          </w:r>
          <w:r w:rsidRPr="00E343AB">
            <w:rPr>
              <w:sz w:val="22"/>
              <w:szCs w:val="22"/>
            </w:rPr>
            <w:t>2.</w:t>
          </w:r>
          <w:r>
            <w:rPr>
              <w:sz w:val="22"/>
              <w:szCs w:val="22"/>
            </w:rPr>
            <w:tab/>
          </w:r>
          <w:r w:rsidRPr="00E343AB">
            <w:rPr>
              <w:sz w:val="22"/>
              <w:szCs w:val="22"/>
            </w:rPr>
            <w:t xml:space="preserve">Mitwirkung an der Ermittlung und Formulierung von Programmen für den Forstsektor und Durchführung entsprechender Analysen, Bereitstellung thematischer Leitlinien sowie Schulung und Wissensaustausch. </w:t>
          </w:r>
        </w:p>
        <w:p w14:paraId="12B9C59B" w14:textId="0D274880" w:rsidR="00803007" w:rsidRPr="009F216F" w:rsidRDefault="003645F5" w:rsidP="003645F5">
          <w:pPr>
            <w:ind w:right="423"/>
            <w:rPr>
              <w:lang w:eastAsia="en-GB"/>
            </w:rPr>
          </w:pPr>
          <w:r w:rsidRPr="00E343AB">
            <w:rPr>
              <w:sz w:val="22"/>
              <w:szCs w:val="22"/>
            </w:rPr>
            <w:t>Der/die Abgeordnete nationale Sachvers</w:t>
          </w:r>
          <w:r>
            <w:rPr>
              <w:sz w:val="22"/>
              <w:szCs w:val="22"/>
            </w:rPr>
            <w:t>tändige</w:t>
          </w:r>
          <w:r w:rsidRPr="00E343AB">
            <w:rPr>
              <w:sz w:val="22"/>
              <w:szCs w:val="22"/>
            </w:rPr>
            <w:t xml:space="preserve"> </w:t>
          </w:r>
          <w:r>
            <w:rPr>
              <w:sz w:val="22"/>
              <w:szCs w:val="22"/>
            </w:rPr>
            <w:t>wird auch alle anderen vom Referatsleiter übertragenen relevanten Auf</w:t>
          </w:r>
          <w:r w:rsidRPr="00E343AB">
            <w:rPr>
              <w:sz w:val="22"/>
              <w:szCs w:val="22"/>
            </w:rPr>
            <w:t>gaben</w:t>
          </w:r>
          <w:r>
            <w:rPr>
              <w:sz w:val="22"/>
              <w:szCs w:val="22"/>
            </w:rPr>
            <w:t xml:space="preserve"> übernehmen und könnte aufgefordert werden, sich an </w:t>
          </w:r>
          <w:r w:rsidRPr="00E343AB">
            <w:rPr>
              <w:sz w:val="22"/>
              <w:szCs w:val="22"/>
            </w:rPr>
            <w:t xml:space="preserve">anderen Arbeitsbereichen </w:t>
          </w:r>
          <w:r>
            <w:rPr>
              <w:sz w:val="22"/>
              <w:szCs w:val="22"/>
            </w:rPr>
            <w:t>zu beteiligen</w:t>
          </w:r>
          <w:r w:rsidRPr="00E343AB">
            <w:rPr>
              <w:sz w:val="22"/>
              <w:szCs w:val="22"/>
            </w:rPr>
            <w:t xml:space="preserve">, wie z. B. </w:t>
          </w:r>
          <w:r>
            <w:rPr>
              <w:sz w:val="22"/>
              <w:szCs w:val="22"/>
            </w:rPr>
            <w:t xml:space="preserve">der </w:t>
          </w:r>
          <w:r w:rsidRPr="00E343AB">
            <w:rPr>
              <w:sz w:val="22"/>
              <w:szCs w:val="22"/>
            </w:rPr>
            <w:t>Forst</w:t>
          </w:r>
          <w:r>
            <w:rPr>
              <w:sz w:val="22"/>
              <w:szCs w:val="22"/>
            </w:rPr>
            <w:t>- un</w:t>
          </w:r>
          <w:r w:rsidRPr="00E343AB">
            <w:rPr>
              <w:sz w:val="22"/>
              <w:szCs w:val="22"/>
            </w:rPr>
            <w:t>d Agrarpolitik</w:t>
          </w:r>
          <w:r>
            <w:rPr>
              <w:sz w:val="22"/>
              <w:szCs w:val="22"/>
            </w:rPr>
            <w:t xml:space="preserve"> ein einem landgestützten Ansatz und nachhaltigen</w:t>
          </w:r>
          <w:r w:rsidRPr="00E343AB">
            <w:rPr>
              <w:sz w:val="22"/>
              <w:szCs w:val="22"/>
            </w:rPr>
            <w:t xml:space="preserve"> Finanzierungsmechanismen für Waldökosysteme, einschließlich REDD+</w:t>
          </w:r>
          <w:r>
            <w:rPr>
              <w:sz w:val="22"/>
              <w:szCs w:val="22"/>
            </w:rPr>
            <w:t xml:space="preserve">, </w:t>
          </w:r>
          <w:r w:rsidRPr="00E343AB">
            <w:rPr>
              <w:sz w:val="22"/>
              <w:szCs w:val="22"/>
            </w:rPr>
            <w:t>LULUCF</w:t>
          </w:r>
          <w:r>
            <w:rPr>
              <w:sz w:val="22"/>
              <w:szCs w:val="22"/>
            </w:rPr>
            <w:t xml:space="preserve"> und, allgemeiner</w:t>
          </w:r>
          <w:r w:rsidRPr="00E343AB">
            <w:rPr>
              <w:sz w:val="22"/>
              <w:szCs w:val="22"/>
            </w:rPr>
            <w:t xml:space="preserve">, </w:t>
          </w:r>
          <w:r>
            <w:rPr>
              <w:sz w:val="22"/>
              <w:szCs w:val="22"/>
            </w:rPr>
            <w:t xml:space="preserve">um zur </w:t>
          </w:r>
          <w:r w:rsidRPr="00E343AB">
            <w:rPr>
              <w:sz w:val="22"/>
              <w:szCs w:val="22"/>
            </w:rPr>
            <w:t>Umwelt</w:t>
          </w:r>
          <w:r>
            <w:rPr>
              <w:sz w:val="22"/>
              <w:szCs w:val="22"/>
            </w:rPr>
            <w:t>dimension der Arbeit von INTPA beizutragen.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1E933BD2" w14:textId="77777777" w:rsidR="003645F5" w:rsidRPr="005F324D" w:rsidRDefault="003645F5" w:rsidP="003645F5">
          <w:pPr>
            <w:tabs>
              <w:tab w:val="left" w:pos="709"/>
            </w:tabs>
            <w:ind w:left="709" w:right="60"/>
            <w:rPr>
              <w:sz w:val="22"/>
              <w:szCs w:val="22"/>
            </w:rPr>
          </w:pPr>
          <w:r w:rsidRPr="005F324D">
            <w:rPr>
              <w:sz w:val="22"/>
              <w:szCs w:val="22"/>
              <w:u w:val="single"/>
            </w:rPr>
            <w:t>Bildungsabschluss</w:t>
          </w:r>
          <w:r w:rsidRPr="005F324D">
            <w:rPr>
              <w:sz w:val="22"/>
              <w:szCs w:val="22"/>
            </w:rPr>
            <w:t xml:space="preserve"> </w:t>
          </w:r>
        </w:p>
        <w:p w14:paraId="116AA4E2" w14:textId="77777777" w:rsidR="003645F5" w:rsidRPr="005F324D" w:rsidRDefault="003645F5" w:rsidP="003645F5">
          <w:pPr>
            <w:tabs>
              <w:tab w:val="left" w:pos="709"/>
            </w:tabs>
            <w:ind w:left="709" w:right="1317"/>
            <w:rPr>
              <w:sz w:val="22"/>
              <w:szCs w:val="22"/>
            </w:rPr>
          </w:pPr>
          <w:r w:rsidRPr="005F324D">
            <w:rPr>
              <w:sz w:val="22"/>
              <w:szCs w:val="22"/>
            </w:rPr>
            <w:t>- ein Universitätsabschluss oder</w:t>
          </w:r>
        </w:p>
        <w:p w14:paraId="4344316B" w14:textId="77777777" w:rsidR="003645F5" w:rsidRPr="005F324D" w:rsidRDefault="003645F5" w:rsidP="003645F5">
          <w:pPr>
            <w:tabs>
              <w:tab w:val="left" w:pos="709"/>
            </w:tabs>
            <w:ind w:left="709" w:right="1317"/>
            <w:rPr>
              <w:sz w:val="22"/>
              <w:szCs w:val="22"/>
            </w:rPr>
          </w:pPr>
          <w:r w:rsidRPr="005F324D">
            <w:rPr>
              <w:sz w:val="22"/>
              <w:szCs w:val="22"/>
            </w:rPr>
            <w:t>- eine gleichwertige Berufsausbildung oder Berufserfahrung</w:t>
          </w:r>
        </w:p>
        <w:p w14:paraId="2A289C01" w14:textId="77777777" w:rsidR="003645F5" w:rsidRPr="005F324D" w:rsidRDefault="003645F5" w:rsidP="003645F5">
          <w:pPr>
            <w:tabs>
              <w:tab w:val="left" w:pos="709"/>
            </w:tabs>
            <w:ind w:left="709" w:right="1317"/>
            <w:rPr>
              <w:sz w:val="22"/>
              <w:szCs w:val="22"/>
            </w:rPr>
          </w:pPr>
        </w:p>
        <w:p w14:paraId="72F5ACCD" w14:textId="77777777" w:rsidR="003645F5" w:rsidRPr="005F324D" w:rsidRDefault="003645F5" w:rsidP="003645F5">
          <w:pPr>
            <w:tabs>
              <w:tab w:val="left" w:pos="709"/>
            </w:tabs>
            <w:ind w:left="709" w:right="60"/>
            <w:rPr>
              <w:sz w:val="22"/>
              <w:szCs w:val="22"/>
            </w:rPr>
          </w:pPr>
          <w:r w:rsidRPr="005F324D">
            <w:rPr>
              <w:sz w:val="22"/>
              <w:szCs w:val="22"/>
            </w:rPr>
            <w:t xml:space="preserve">  im Bereich:</w:t>
          </w:r>
        </w:p>
        <w:p w14:paraId="55F31787" w14:textId="77777777" w:rsidR="003645F5" w:rsidRDefault="003645F5" w:rsidP="003645F5">
          <w:pPr>
            <w:tabs>
              <w:tab w:val="left" w:pos="709"/>
            </w:tabs>
            <w:ind w:left="709" w:right="60"/>
            <w:rPr>
              <w:sz w:val="22"/>
              <w:szCs w:val="22"/>
            </w:rPr>
          </w:pPr>
          <w:r w:rsidRPr="00E343AB">
            <w:rPr>
              <w:sz w:val="22"/>
              <w:szCs w:val="22"/>
            </w:rPr>
            <w:t>Masterabschluss oder gleichwertige Qualifikation vorzugsweise in Umwelt- oder Forststudien, Rechtswissenschaften, Agrarökonomie oder Ähnlichem</w:t>
          </w:r>
          <w:r>
            <w:rPr>
              <w:sz w:val="22"/>
              <w:szCs w:val="22"/>
            </w:rPr>
            <w:t>.</w:t>
          </w:r>
        </w:p>
        <w:p w14:paraId="7CC679FA" w14:textId="77777777" w:rsidR="003645F5" w:rsidRPr="005F324D" w:rsidRDefault="003645F5" w:rsidP="003645F5">
          <w:pPr>
            <w:tabs>
              <w:tab w:val="left" w:pos="709"/>
            </w:tabs>
            <w:ind w:left="709" w:right="60"/>
            <w:rPr>
              <w:sz w:val="22"/>
              <w:szCs w:val="22"/>
              <w:u w:val="single"/>
            </w:rPr>
          </w:pPr>
          <w:r w:rsidRPr="005F324D">
            <w:rPr>
              <w:sz w:val="22"/>
              <w:szCs w:val="22"/>
              <w:u w:val="single"/>
            </w:rPr>
            <w:t>Berufserfahrung</w:t>
          </w:r>
        </w:p>
        <w:p w14:paraId="3E6548E1" w14:textId="77777777" w:rsidR="003645F5" w:rsidRPr="00433868" w:rsidRDefault="003645F5" w:rsidP="003645F5">
          <w:pPr>
            <w:ind w:left="709" w:right="174"/>
            <w:rPr>
              <w:sz w:val="22"/>
              <w:szCs w:val="22"/>
            </w:rPr>
          </w:pPr>
          <w:r>
            <w:rPr>
              <w:sz w:val="22"/>
              <w:szCs w:val="22"/>
            </w:rPr>
            <w:t>M</w:t>
          </w:r>
          <w:r w:rsidRPr="00433868">
            <w:rPr>
              <w:sz w:val="22"/>
              <w:szCs w:val="22"/>
            </w:rPr>
            <w:t xml:space="preserve">indestens 5 Jahre nachgewiesene Vollzeitberufserfahrung in Bereichen, die für eine nachhaltige Waldbewirtschaftung relevant sind: insbesondere bei der Gestaltung von </w:t>
          </w:r>
          <w:proofErr w:type="spellStart"/>
          <w:r w:rsidRPr="00433868">
            <w:rPr>
              <w:sz w:val="22"/>
              <w:szCs w:val="22"/>
            </w:rPr>
            <w:t>Sektorstrategien</w:t>
          </w:r>
          <w:proofErr w:type="spellEnd"/>
          <w:r w:rsidRPr="00433868">
            <w:rPr>
              <w:sz w:val="22"/>
              <w:szCs w:val="22"/>
            </w:rPr>
            <w:t xml:space="preserve"> / -politiken und / oder -projekten / -programmen;</w:t>
          </w:r>
        </w:p>
        <w:p w14:paraId="5DCBB0C2" w14:textId="77777777" w:rsidR="003645F5" w:rsidRDefault="003645F5" w:rsidP="003645F5">
          <w:pPr>
            <w:ind w:left="709" w:right="174"/>
            <w:rPr>
              <w:sz w:val="22"/>
              <w:szCs w:val="22"/>
            </w:rPr>
          </w:pPr>
          <w:r w:rsidRPr="00E343AB">
            <w:rPr>
              <w:sz w:val="22"/>
              <w:szCs w:val="22"/>
            </w:rPr>
            <w:t>Erfahrungen im Bereich nachhaltige</w:t>
          </w:r>
          <w:r>
            <w:rPr>
              <w:sz w:val="22"/>
              <w:szCs w:val="22"/>
            </w:rPr>
            <w:t>r</w:t>
          </w:r>
          <w:r w:rsidRPr="00E343AB">
            <w:rPr>
              <w:sz w:val="22"/>
              <w:szCs w:val="22"/>
            </w:rPr>
            <w:t xml:space="preserve"> Finanzierungsmechanismen für Wälder </w:t>
          </w:r>
          <w:r>
            <w:rPr>
              <w:sz w:val="22"/>
              <w:szCs w:val="22"/>
            </w:rPr>
            <w:t xml:space="preserve">sind willkommen </w:t>
          </w:r>
          <w:r w:rsidRPr="00E343AB">
            <w:rPr>
              <w:sz w:val="22"/>
              <w:szCs w:val="22"/>
            </w:rPr>
            <w:t xml:space="preserve">(Mischfinanzierung, Treuhandfonds, Zahlungen für Ökosystemdienstleistungen); </w:t>
          </w:r>
        </w:p>
        <w:p w14:paraId="0B2CDF17" w14:textId="77777777" w:rsidR="003645F5" w:rsidRPr="00E343AB" w:rsidRDefault="003645F5" w:rsidP="003645F5">
          <w:pPr>
            <w:ind w:left="709" w:right="174"/>
            <w:rPr>
              <w:sz w:val="22"/>
              <w:szCs w:val="22"/>
            </w:rPr>
          </w:pPr>
          <w:r w:rsidRPr="00E343AB">
            <w:rPr>
              <w:sz w:val="22"/>
              <w:szCs w:val="22"/>
            </w:rPr>
            <w:t xml:space="preserve">Erfahrung mit der Analyse und Entwicklung sektoraler Wertschöpfungsketten, einschließlich der Einbeziehung des Privatsektors; </w:t>
          </w:r>
        </w:p>
        <w:p w14:paraId="1BE23683" w14:textId="77777777" w:rsidR="003645F5" w:rsidRPr="00E343AB" w:rsidRDefault="003645F5" w:rsidP="003645F5">
          <w:pPr>
            <w:ind w:left="709" w:right="174"/>
            <w:rPr>
              <w:sz w:val="22"/>
              <w:szCs w:val="22"/>
            </w:rPr>
          </w:pPr>
          <w:r w:rsidRPr="00E343AB">
            <w:rPr>
              <w:sz w:val="22"/>
              <w:szCs w:val="22"/>
            </w:rPr>
            <w:t xml:space="preserve">Erfahrungen vor Ort in der afrikanischen und/oder südamerikanischen Region sind von Vorteil. </w:t>
          </w:r>
        </w:p>
        <w:p w14:paraId="75B82462" w14:textId="77777777" w:rsidR="003645F5" w:rsidRDefault="003645F5" w:rsidP="003645F5">
          <w:pPr>
            <w:ind w:left="709" w:right="174"/>
            <w:rPr>
              <w:sz w:val="22"/>
              <w:szCs w:val="22"/>
            </w:rPr>
          </w:pPr>
          <w:r w:rsidRPr="00E343AB">
            <w:rPr>
              <w:sz w:val="22"/>
              <w:szCs w:val="22"/>
            </w:rPr>
            <w:t xml:space="preserve">Erfahrungen mit internationalen Übereinkommen über biologische Vielfalt, Klima und Wälder </w:t>
          </w:r>
          <w:r>
            <w:rPr>
              <w:sz w:val="22"/>
              <w:szCs w:val="22"/>
            </w:rPr>
            <w:t>sind v</w:t>
          </w:r>
          <w:r w:rsidRPr="00E343AB">
            <w:rPr>
              <w:sz w:val="22"/>
              <w:szCs w:val="22"/>
            </w:rPr>
            <w:t xml:space="preserve">on Vorteil. Kenntnisse </w:t>
          </w:r>
          <w:r>
            <w:rPr>
              <w:sz w:val="22"/>
              <w:szCs w:val="22"/>
            </w:rPr>
            <w:t>der</w:t>
          </w:r>
          <w:r w:rsidRPr="00E343AB">
            <w:rPr>
              <w:sz w:val="22"/>
              <w:szCs w:val="22"/>
            </w:rPr>
            <w:t xml:space="preserve"> Entwicklungspolitik der EU und die Biodiversitäts-/Forststrategie wären zu begrüßen. </w:t>
          </w:r>
        </w:p>
        <w:p w14:paraId="4C81E5D3" w14:textId="77777777" w:rsidR="003645F5" w:rsidRPr="00E966B5" w:rsidRDefault="003645F5" w:rsidP="003645F5">
          <w:pPr>
            <w:ind w:left="709" w:right="174"/>
            <w:rPr>
              <w:sz w:val="22"/>
              <w:szCs w:val="22"/>
            </w:rPr>
          </w:pPr>
          <w:r w:rsidRPr="00E343AB">
            <w:rPr>
              <w:sz w:val="22"/>
              <w:szCs w:val="22"/>
            </w:rPr>
            <w:t>Fähigkeit zur Bearbeitung komplexer Dossiers; Teamarbeiterin mit ausgeprägtem Initiativgeist und</w:t>
          </w:r>
          <w:r>
            <w:rPr>
              <w:sz w:val="22"/>
              <w:szCs w:val="22"/>
            </w:rPr>
            <w:t xml:space="preserve"> der</w:t>
          </w:r>
          <w:r w:rsidRPr="00E343AB">
            <w:rPr>
              <w:sz w:val="22"/>
              <w:szCs w:val="22"/>
            </w:rPr>
            <w:t xml:space="preserve"> Fähigkeit, in einem multidisziplinären Umfeld zu arbeiten. Die nachgewiesene Fähigkeit, Berichte und Empfehlungsentwürfe zu analysieren, zusammenzufassen, wäre von Vorteil.</w:t>
          </w:r>
          <w:r>
            <w:rPr>
              <w:sz w:val="22"/>
              <w:szCs w:val="22"/>
            </w:rPr>
            <w:t>, ebenso</w:t>
          </w:r>
          <w:r w:rsidRPr="00E343AB">
            <w:rPr>
              <w:sz w:val="22"/>
              <w:szCs w:val="22"/>
            </w:rPr>
            <w:t xml:space="preserve"> Verhandlungs</w:t>
          </w:r>
          <w:r>
            <w:rPr>
              <w:sz w:val="22"/>
              <w:szCs w:val="22"/>
            </w:rPr>
            <w:t>geschick</w:t>
          </w:r>
          <w:r w:rsidRPr="00E343AB">
            <w:rPr>
              <w:sz w:val="22"/>
              <w:szCs w:val="22"/>
            </w:rPr>
            <w:t>/</w:t>
          </w:r>
          <w:r>
            <w:rPr>
              <w:sz w:val="22"/>
              <w:szCs w:val="22"/>
            </w:rPr>
            <w:t>-</w:t>
          </w:r>
          <w:r w:rsidRPr="00E343AB">
            <w:rPr>
              <w:sz w:val="22"/>
              <w:szCs w:val="22"/>
            </w:rPr>
            <w:t>erfahrung</w:t>
          </w:r>
          <w:r>
            <w:rPr>
              <w:sz w:val="22"/>
              <w:szCs w:val="22"/>
            </w:rPr>
            <w:t>.</w:t>
          </w:r>
        </w:p>
        <w:p w14:paraId="6A8C1142" w14:textId="77777777" w:rsidR="003645F5" w:rsidRPr="005F324D" w:rsidRDefault="003645F5" w:rsidP="003645F5">
          <w:pPr>
            <w:tabs>
              <w:tab w:val="left" w:pos="709"/>
            </w:tabs>
            <w:ind w:left="709" w:right="60"/>
            <w:rPr>
              <w:sz w:val="22"/>
              <w:szCs w:val="22"/>
              <w:u w:val="single"/>
            </w:rPr>
          </w:pPr>
          <w:r w:rsidRPr="005F324D">
            <w:rPr>
              <w:sz w:val="22"/>
              <w:szCs w:val="22"/>
              <w:u w:val="single"/>
            </w:rPr>
            <w:t>Zur Ausübung der Tätigkeit erforderliche Sprachkenntnisse</w:t>
          </w:r>
        </w:p>
        <w:p w14:paraId="2387419D" w14:textId="31BDE8CA" w:rsidR="00803007" w:rsidRPr="009F216F" w:rsidRDefault="003645F5" w:rsidP="003645F5">
          <w:pPr>
            <w:tabs>
              <w:tab w:val="left" w:pos="709"/>
            </w:tabs>
            <w:ind w:left="709" w:right="60"/>
            <w:rPr>
              <w:b/>
              <w:bCs/>
              <w:lang w:eastAsia="en-GB"/>
            </w:rPr>
          </w:pPr>
          <w:r w:rsidRPr="00E343AB">
            <w:rPr>
              <w:sz w:val="22"/>
              <w:szCs w:val="22"/>
            </w:rPr>
            <w:t>Ausgezeichnete schriftliche und mündliche Kommunikationsfähigkeit in Englisch und/oder Französisch. Spanisch wäre von Vorteil.</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lastRenderedPageBreak/>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 xml:space="preserve">Die Kommission trägt dafür Sorge, dass die personenbezogenen Daten der Bewerber/innen gemäß den Anforderungen der Verordnung (EU) 2018/1725 des Europäischen Parlaments </w:t>
      </w:r>
      <w:r w:rsidRPr="007716E4">
        <w:rPr>
          <w:lang w:eastAsia="en-GB"/>
        </w:rPr>
        <w:lastRenderedPageBreak/>
        <w:t>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228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F7504"/>
    <w:rsid w:val="0035094A"/>
    <w:rsid w:val="003645F5"/>
    <w:rsid w:val="003874E2"/>
    <w:rsid w:val="00546DB1"/>
    <w:rsid w:val="006F44C9"/>
    <w:rsid w:val="007716E4"/>
    <w:rsid w:val="007C07D8"/>
    <w:rsid w:val="007D0EC6"/>
    <w:rsid w:val="00803007"/>
    <w:rsid w:val="0089735C"/>
    <w:rsid w:val="008D52CF"/>
    <w:rsid w:val="009442BE"/>
    <w:rsid w:val="009F216F"/>
    <w:rsid w:val="00EC5C6B"/>
    <w:rsid w:val="00FD14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CD1073"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CD1073"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CD1073"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CD1073"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63DFC"/>
    <w:multiLevelType w:val="multilevel"/>
    <w:tmpl w:val="48BEED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972807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CD107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64</TotalTime>
  <Pages>6</Pages>
  <Words>1505</Words>
  <Characters>11137</Characters>
  <Application>Microsoft Office Word</Application>
  <DocSecurity>0</DocSecurity>
  <PresentationFormat>Microsoft Word 14.0</PresentationFormat>
  <Lines>222</Lines>
  <Paragraphs>89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BANNEUX Dominique (INTPA)</cp:lastModifiedBy>
  <cp:revision>4</cp:revision>
  <dcterms:created xsi:type="dcterms:W3CDTF">2023-04-18T16:50:00Z</dcterms:created>
  <dcterms:modified xsi:type="dcterms:W3CDTF">2023-07-31T10:24:00Z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