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45CE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45CE5">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45CE5">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45CE5">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45CE5">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45CE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D3F72CB" w:rsidR="00377580" w:rsidRPr="00080A71" w:rsidRDefault="001E667E" w:rsidP="005F6927">
                <w:pPr>
                  <w:tabs>
                    <w:tab w:val="left" w:pos="426"/>
                  </w:tabs>
                  <w:rPr>
                    <w:bCs/>
                    <w:lang w:val="en-IE" w:eastAsia="en-GB"/>
                  </w:rPr>
                </w:pPr>
                <w:r>
                  <w:rPr>
                    <w:bCs/>
                    <w:lang w:val="fr-BE" w:eastAsia="en-GB"/>
                  </w:rPr>
                  <w:t>ENV-F-1</w:t>
                </w:r>
              </w:p>
            </w:tc>
          </w:sdtContent>
        </w:sdt>
      </w:tr>
      <w:tr w:rsidR="00377580" w:rsidRPr="001E667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4E23F583" w:rsidR="00377580" w:rsidRPr="00080A71" w:rsidRDefault="001E667E" w:rsidP="005F6927">
                <w:pPr>
                  <w:tabs>
                    <w:tab w:val="left" w:pos="426"/>
                  </w:tabs>
                  <w:rPr>
                    <w:bCs/>
                    <w:lang w:val="en-IE" w:eastAsia="en-GB"/>
                  </w:rPr>
                </w:pPr>
                <w:r>
                  <w:rPr>
                    <w:bCs/>
                    <w:lang w:val="fr-BE" w:eastAsia="en-GB"/>
                  </w:rPr>
                  <w:t>413989</w:t>
                </w:r>
              </w:p>
            </w:tc>
          </w:sdtContent>
        </w:sdt>
      </w:tr>
      <w:tr w:rsidR="00377580" w:rsidRPr="001E667E"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7419C7B3" w:rsidR="00377580" w:rsidRPr="00080A71" w:rsidRDefault="001E667E" w:rsidP="005F6927">
                <w:pPr>
                  <w:tabs>
                    <w:tab w:val="left" w:pos="426"/>
                  </w:tabs>
                  <w:rPr>
                    <w:bCs/>
                    <w:lang w:val="en-IE" w:eastAsia="en-GB"/>
                  </w:rPr>
                </w:pPr>
                <w:r w:rsidRPr="001E667E">
                  <w:rPr>
                    <w:bCs/>
                    <w:lang w:val="en-IE" w:eastAsia="en-GB"/>
                  </w:rPr>
                  <w:t>Astrid LADEFOGED</w:t>
                </w:r>
              </w:p>
            </w:sdtContent>
          </w:sdt>
          <w:p w14:paraId="32DD8032" w14:textId="46BFE2B6" w:rsidR="00377580" w:rsidRPr="001E667E" w:rsidRDefault="00645CE5"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1E667E" w:rsidRPr="001E667E">
                  <w:rPr>
                    <w:bCs/>
                    <w:lang w:val="en-IE" w:eastAsia="en-GB"/>
                  </w:rPr>
                  <w:t>3</w:t>
                </w:r>
                <w:proofErr w:type="spellStart"/>
                <w:r w:rsidR="001E667E">
                  <w:rPr>
                    <w:b/>
                    <w:vertAlign w:val="superscript"/>
                  </w:rPr>
                  <w:t>ème</w:t>
                </w:r>
                <w:proofErr w:type="spellEnd"/>
              </w:sdtContent>
            </w:sdt>
            <w:r w:rsidR="00377580" w:rsidRPr="001E667E">
              <w:rPr>
                <w:bCs/>
                <w:lang w:val="en-IE" w:eastAsia="en-GB"/>
              </w:rPr>
              <w:t xml:space="preserve"> trimestre </w:t>
            </w:r>
            <w:sdt>
              <w:sdtPr>
                <w:rPr>
                  <w:bCs/>
                  <w:lang w:val="fr-BE" w:eastAsia="en-GB"/>
                </w:rPr>
                <w:id w:val="1115250968"/>
                <w:placeholder>
                  <w:docPart w:val="DefaultPlaceholder_-1854013440"/>
                </w:placeholder>
              </w:sdtPr>
              <w:sdtEndPr/>
              <w:sdtContent>
                <w:r w:rsidR="00F65CC2" w:rsidRPr="001E667E">
                  <w:rPr>
                    <w:bCs/>
                    <w:lang w:val="en-IE" w:eastAsia="en-GB"/>
                  </w:rPr>
                  <w:t>202</w:t>
                </w:r>
              </w:sdtContent>
            </w:sdt>
          </w:p>
          <w:p w14:paraId="768BBE26" w14:textId="4925D56F" w:rsidR="00377580" w:rsidRPr="001E667E" w:rsidRDefault="00645CE5"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1E667E">
                  <w:rPr>
                    <w:bCs/>
                    <w:lang w:val="en-IE" w:eastAsia="en-GB"/>
                  </w:rPr>
                  <w:t>2</w:t>
                </w:r>
              </w:sdtContent>
            </w:sdt>
            <w:r w:rsidR="00377580" w:rsidRPr="001E667E">
              <w:rPr>
                <w:bCs/>
                <w:lang w:val="en-IE" w:eastAsia="en-GB"/>
              </w:rPr>
              <w:t xml:space="preserve"> années</w:t>
            </w:r>
            <w:r w:rsidR="00377580" w:rsidRPr="001E667E">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1E667E">
                  <w:rPr>
                    <w:rFonts w:ascii="MS Gothic" w:eastAsia="MS Gothic" w:hAnsi="MS Gothic" w:hint="eastAsia"/>
                    <w:bCs/>
                    <w:szCs w:val="24"/>
                    <w:lang w:val="en-IE" w:eastAsia="en-GB"/>
                  </w:rPr>
                  <w:t>☒</w:t>
                </w:r>
              </w:sdtContent>
            </w:sdt>
            <w:r w:rsidR="00377580" w:rsidRPr="001E667E">
              <w:rPr>
                <w:bCs/>
                <w:lang w:val="en-IE" w:eastAsia="en-GB"/>
              </w:rPr>
              <w:t xml:space="preserve"> Bruxelles </w:t>
            </w:r>
            <w:r w:rsidR="0092295D" w:rsidRPr="001E667E">
              <w:rPr>
                <w:bCs/>
                <w:lang w:val="en-IE" w:eastAsia="en-GB"/>
              </w:rPr>
              <w:t xml:space="preserve"> </w:t>
            </w:r>
            <w:r w:rsidR="00377580" w:rsidRPr="001E667E">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1E667E">
                  <w:rPr>
                    <w:rFonts w:ascii="MS Gothic" w:eastAsia="MS Gothic" w:hAnsi="MS Gothic"/>
                    <w:bCs/>
                    <w:szCs w:val="24"/>
                    <w:lang w:val="en-IE" w:eastAsia="en-GB"/>
                  </w:rPr>
                  <w:t>☐</w:t>
                </w:r>
              </w:sdtContent>
            </w:sdt>
            <w:r w:rsidR="00377580" w:rsidRPr="001E667E">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1E667E">
                  <w:rPr>
                    <w:rFonts w:ascii="MS Gothic" w:eastAsia="MS Gothic" w:hAnsi="MS Gothic"/>
                    <w:bCs/>
                    <w:szCs w:val="24"/>
                    <w:lang w:val="en-IE" w:eastAsia="en-GB"/>
                  </w:rPr>
                  <w:t>☐</w:t>
                </w:r>
              </w:sdtContent>
            </w:sdt>
            <w:r w:rsidR="00377580" w:rsidRPr="001E667E">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E667E">
                  <w:rPr>
                    <w:rStyle w:val="PlaceholderText"/>
                    <w:lang w:val="en-IE"/>
                  </w:rPr>
                  <w:t>Click or tap here to enter text.</w:t>
                </w:r>
              </w:sdtContent>
            </w:sdt>
          </w:p>
          <w:p w14:paraId="6A0ABCA6" w14:textId="77777777" w:rsidR="00377580" w:rsidRPr="001E667E" w:rsidRDefault="00377580" w:rsidP="005F6927">
            <w:pPr>
              <w:tabs>
                <w:tab w:val="left" w:pos="426"/>
              </w:tabs>
              <w:spacing w:after="0"/>
              <w:contextualSpacing/>
              <w:rPr>
                <w:bCs/>
                <w:lang w:val="en-IE" w:eastAsia="en-GB"/>
              </w:rPr>
            </w:pPr>
          </w:p>
        </w:tc>
      </w:tr>
      <w:tr w:rsidR="00377580" w:rsidRPr="001D3EEC" w14:paraId="529DCF69" w14:textId="77777777" w:rsidTr="005F6927">
        <w:tc>
          <w:tcPr>
            <w:tcW w:w="3111" w:type="dxa"/>
          </w:tcPr>
          <w:p w14:paraId="0AA7058A" w14:textId="77777777" w:rsidR="00377580" w:rsidRPr="001E667E" w:rsidRDefault="00377580" w:rsidP="005F6927">
            <w:pPr>
              <w:tabs>
                <w:tab w:val="left" w:pos="426"/>
              </w:tabs>
              <w:spacing w:after="0"/>
              <w:rPr>
                <w:bCs/>
                <w:lang w:val="en-IE" w:eastAsia="en-GB"/>
              </w:rPr>
            </w:pPr>
          </w:p>
        </w:tc>
        <w:tc>
          <w:tcPr>
            <w:tcW w:w="5491" w:type="dxa"/>
          </w:tcPr>
          <w:p w14:paraId="448C3A1A" w14:textId="6A2A1189" w:rsidR="00377580" w:rsidRPr="001D3EEC" w:rsidRDefault="00645CE5" w:rsidP="005F6927">
            <w:pPr>
              <w:tabs>
                <w:tab w:val="left" w:pos="426"/>
              </w:tabs>
              <w:rPr>
                <w:bCs/>
                <w:lang w:val="fr-BE" w:eastAsia="en-GB"/>
              </w:rPr>
            </w:pPr>
            <w:sdt>
              <w:sdtPr>
                <w:rPr>
                  <w:bCs/>
                  <w:szCs w:val="24"/>
                  <w:lang w:val="fr-BE" w:eastAsia="en-GB"/>
                </w:rPr>
                <w:id w:val="269588133"/>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1"/>
                  <w14:checkedState w14:val="2612" w14:font="MS Gothic"/>
                  <w14:uncheckedState w14:val="2610" w14:font="MS Gothic"/>
                </w14:checkbox>
              </w:sdtPr>
              <w:sdtEndPr/>
              <w:sdtContent>
                <w:r w:rsidR="00B22E19">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B40611"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55EE539D" w:rsidR="00377580" w:rsidRPr="001D3EEC" w:rsidRDefault="00645CE5"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1E667E">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5A9DEC14" w:rsidR="00377580" w:rsidRPr="00B40611" w:rsidRDefault="00645CE5" w:rsidP="005F6927">
            <w:pPr>
              <w:tabs>
                <w:tab w:val="left" w:pos="426"/>
              </w:tabs>
              <w:rPr>
                <w:bCs/>
                <w:lang w:val="de-DE" w:eastAsia="en-GB"/>
              </w:rPr>
            </w:pPr>
            <w:sdt>
              <w:sdtPr>
                <w:rPr>
                  <w:bCs/>
                  <w:szCs w:val="24"/>
                  <w:lang w:val="de-DE" w:eastAsia="en-GB"/>
                </w:rPr>
                <w:id w:val="2041318910"/>
                <w14:checkbox>
                  <w14:checked w14:val="0"/>
                  <w14:checkedState w14:val="2612" w14:font="MS Gothic"/>
                  <w14:uncheckedState w14:val="2610" w14:font="MS Gothic"/>
                </w14:checkbox>
              </w:sdtPr>
              <w:sdtEndPr/>
              <w:sdtContent>
                <w:r w:rsidR="00B40611" w:rsidRPr="00B40611">
                  <w:rPr>
                    <w:rFonts w:ascii="MS Gothic" w:eastAsia="MS Gothic" w:hAnsi="MS Gothic" w:hint="eastAsia"/>
                    <w:bCs/>
                    <w:szCs w:val="24"/>
                    <w:lang w:val="de-DE" w:eastAsia="en-GB"/>
                  </w:rPr>
                  <w:t>☐</w:t>
                </w:r>
              </w:sdtContent>
            </w:sdt>
            <w:r w:rsidR="00377580" w:rsidRPr="00B40611">
              <w:rPr>
                <w:bCs/>
                <w:szCs w:val="24"/>
                <w:lang w:val="de-DE" w:eastAsia="en-GB"/>
              </w:rPr>
              <w:t xml:space="preserve"> Accord AELE-EE</w:t>
            </w:r>
            <w:r w:rsidR="001A0074" w:rsidRPr="00B40611">
              <w:rPr>
                <w:bCs/>
                <w:szCs w:val="24"/>
                <w:lang w:val="de-DE" w:eastAsia="en-GB"/>
              </w:rPr>
              <w:t>E</w:t>
            </w:r>
            <w:r w:rsidR="00377580" w:rsidRPr="00B40611">
              <w:rPr>
                <w:bCs/>
                <w:szCs w:val="24"/>
                <w:lang w:val="de-DE" w:eastAsia="en-GB"/>
              </w:rPr>
              <w:t xml:space="preserve"> In-Kind (I</w:t>
            </w:r>
            <w:r w:rsidR="001A0074" w:rsidRPr="00B40611">
              <w:rPr>
                <w:bCs/>
                <w:szCs w:val="24"/>
                <w:lang w:val="de-DE" w:eastAsia="en-GB"/>
              </w:rPr>
              <w:t>s</w:t>
            </w:r>
            <w:r w:rsidR="00377580" w:rsidRPr="00B40611">
              <w:rPr>
                <w:bCs/>
                <w:szCs w:val="24"/>
                <w:lang w:val="de-DE" w:eastAsia="en-GB"/>
              </w:rPr>
              <w:t>land</w:t>
            </w:r>
            <w:r w:rsidR="001A0074" w:rsidRPr="00B40611">
              <w:rPr>
                <w:bCs/>
                <w:szCs w:val="24"/>
                <w:lang w:val="de-DE" w:eastAsia="en-GB"/>
              </w:rPr>
              <w:t>e</w:t>
            </w:r>
            <w:r w:rsidR="00377580" w:rsidRPr="00B40611">
              <w:rPr>
                <w:bCs/>
                <w:szCs w:val="24"/>
                <w:lang w:val="de-DE" w:eastAsia="en-GB"/>
              </w:rPr>
              <w:t>, Liechtenstein, Nor</w:t>
            </w:r>
            <w:r w:rsidR="001A0074" w:rsidRPr="00B40611">
              <w:rPr>
                <w:bCs/>
                <w:szCs w:val="24"/>
                <w:lang w:val="de-DE" w:eastAsia="en-GB"/>
              </w:rPr>
              <w:t>vège</w:t>
            </w:r>
            <w:r w:rsidR="00377580" w:rsidRPr="00B40611">
              <w:rPr>
                <w:bCs/>
                <w:szCs w:val="24"/>
                <w:lang w:val="de-D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23B62F4" w:rsidR="00377580" w:rsidRPr="001D3EEC" w:rsidRDefault="00645CE5"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B40611">
                  <w:rPr>
                    <w:rFonts w:ascii="MS Gothic" w:eastAsia="MS Gothic" w:hAnsi="MS Gothic" w:hint="eastAsia"/>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90EA2F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B40611">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B40611">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B40611">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B40611">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645CE5"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645CE5"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638CEEAA" w:rsidR="00377580" w:rsidRPr="001D3EEC" w:rsidRDefault="00645CE5"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A4303D">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4BA5E4F" w14:textId="77777777" w:rsidR="00F21CB5" w:rsidRPr="00F21CB5" w:rsidRDefault="00F21CB5" w:rsidP="00F21CB5">
          <w:pPr>
            <w:rPr>
              <w:lang w:val="fr-BE" w:eastAsia="en-GB"/>
            </w:rPr>
          </w:pPr>
          <w:r w:rsidRPr="00F21CB5">
            <w:rPr>
              <w:lang w:val="fr-BE" w:eastAsia="en-GB"/>
            </w:rPr>
            <w:t>L’unité</w:t>
          </w:r>
          <w:proofErr w:type="gramStart"/>
          <w:r w:rsidRPr="00F21CB5">
            <w:rPr>
              <w:lang w:val="fr-BE" w:eastAsia="en-GB"/>
            </w:rPr>
            <w:t xml:space="preserve"> «Biens</w:t>
          </w:r>
          <w:proofErr w:type="gramEnd"/>
          <w:r w:rsidRPr="00F21CB5">
            <w:rPr>
              <w:lang w:val="fr-BE" w:eastAsia="en-GB"/>
            </w:rPr>
            <w:t xml:space="preserve"> communs planétaires, valeurs universelles et sécurité environnementale» de la DG Environnement (ENV.F.1), située au sein de la direction internationale de la DG, traite une série de dossiers très pertinents et politiquement visibles concernant la gestion durable des ressources naturelles clés à l’échelle mondiale (forêts, eau), le lien entre les politiques environnementales et le climat et l’énergie, ainsi que le lien entre l’environnement et la paix. </w:t>
          </w:r>
        </w:p>
        <w:p w14:paraId="3CC0E320" w14:textId="77777777" w:rsidR="00F21CB5" w:rsidRPr="00F21CB5" w:rsidRDefault="00F21CB5" w:rsidP="00F21CB5">
          <w:pPr>
            <w:rPr>
              <w:lang w:val="fr-BE" w:eastAsia="en-GB"/>
            </w:rPr>
          </w:pPr>
          <w:r w:rsidRPr="00F21CB5">
            <w:rPr>
              <w:lang w:val="fr-BE" w:eastAsia="en-GB"/>
            </w:rPr>
            <w:t xml:space="preserve">L’unité vise à améliorer la compréhension de ce lien et de son lien avec la gestion des ressources, et cherche à mieux intégrer l’importance de protéger la base de ressources naturelles dans les réponses politiques européennes et mondiales en matière de climat, d’énergie, de développement, de commerce et de politique étrangère et de sécurité.  </w:t>
          </w:r>
        </w:p>
        <w:p w14:paraId="18140A21" w14:textId="39FF265D" w:rsidR="001A0074" w:rsidRPr="00F21CB5" w:rsidRDefault="00F21CB5" w:rsidP="00F21CB5">
          <w:pPr>
            <w:rPr>
              <w:lang w:val="fr-BE" w:eastAsia="en-GB"/>
            </w:rPr>
          </w:pPr>
          <w:r w:rsidRPr="00F21CB5">
            <w:rPr>
              <w:lang w:val="fr-BE" w:eastAsia="en-GB"/>
            </w:rPr>
            <w:lastRenderedPageBreak/>
            <w:t>L’unité se compose actuellement de 1</w:t>
          </w:r>
          <w:r w:rsidR="000B2113">
            <w:rPr>
              <w:lang w:val="fr-BE" w:eastAsia="en-GB"/>
            </w:rPr>
            <w:t>5</w:t>
          </w:r>
          <w:r w:rsidRPr="00F21CB5">
            <w:rPr>
              <w:lang w:val="fr-BE" w:eastAsia="en-GB"/>
            </w:rPr>
            <w:t xml:space="preserve"> membres du personnel amicaux et hautement motivés.</w:t>
          </w:r>
        </w:p>
      </w:sdtContent>
    </w:sdt>
    <w:p w14:paraId="30B422AA" w14:textId="77777777" w:rsidR="00301CA3" w:rsidRPr="00F21CB5"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90B4A54" w14:textId="77777777" w:rsidR="00F21CB5" w:rsidRDefault="00F21CB5" w:rsidP="00F21CB5">
          <w:pPr>
            <w:spacing w:after="0"/>
            <w:contextualSpacing/>
          </w:pPr>
          <w:r>
            <w:t xml:space="preserve">Nous proposons une position intéressante sur un dossier dynamique d’importance politique croissante en vue d’accélérer les défis liés à la résilience de l’eau, tant dans l’UE que dans le monde. Le candidat retenu fera partie d’une petite équipe chargée des questions de politique internationale de l’eau (multilatérale, régionale et — en coopération avec l’unité voisine — bilatérale avec des partenaires clés). L’expert contribuera en particulier </w:t>
          </w:r>
          <w:proofErr w:type="gramStart"/>
          <w:r>
            <w:t>à:</w:t>
          </w:r>
          <w:proofErr w:type="gramEnd"/>
          <w:r>
            <w:t xml:space="preserve"> </w:t>
          </w:r>
        </w:p>
        <w:p w14:paraId="512F4850" w14:textId="77777777" w:rsidR="00F21CB5" w:rsidRDefault="00F21CB5" w:rsidP="00F21CB5">
          <w:pPr>
            <w:spacing w:after="0"/>
            <w:contextualSpacing/>
          </w:pPr>
        </w:p>
        <w:p w14:paraId="1DF61010" w14:textId="3C81E290" w:rsidR="00F21CB5" w:rsidRDefault="00F21CB5" w:rsidP="00F21CB5">
          <w:pPr>
            <w:pStyle w:val="ListParagraph"/>
            <w:numPr>
              <w:ilvl w:val="0"/>
              <w:numId w:val="27"/>
            </w:numPr>
            <w:spacing w:after="0"/>
          </w:pPr>
          <w:r>
            <w:t>Promouvoir les priorités de l’UE en matière d’eau et une meilleure intégration de l’eau dans les processus mondiaux (notamment en matière de climat, d’alimentation, de santé, de consommation et de production durables, de biodiversité, de paix et de sécurité)</w:t>
          </w:r>
        </w:p>
        <w:p w14:paraId="03D2F7FA" w14:textId="3AC9FC11" w:rsidR="00F21CB5" w:rsidRDefault="00F21CB5" w:rsidP="00F21CB5">
          <w:pPr>
            <w:pStyle w:val="ListParagraph"/>
            <w:numPr>
              <w:ilvl w:val="0"/>
              <w:numId w:val="27"/>
            </w:numPr>
            <w:spacing w:after="0"/>
          </w:pPr>
          <w:r>
            <w:t>Assurer un suivi efficace des résultats de la conférence des Nations unies sur l’eau de 2023</w:t>
          </w:r>
        </w:p>
        <w:p w14:paraId="4F7FF435" w14:textId="3C49677A" w:rsidR="00F21CB5" w:rsidRDefault="00F21CB5" w:rsidP="00F21CB5">
          <w:pPr>
            <w:pStyle w:val="ListParagraph"/>
            <w:numPr>
              <w:ilvl w:val="0"/>
              <w:numId w:val="27"/>
            </w:numPr>
            <w:spacing w:after="0"/>
          </w:pPr>
          <w:r>
            <w:t>Participer aux travaux relatifs à la convention de la CEE-ONU sur l’eau</w:t>
          </w:r>
        </w:p>
        <w:p w14:paraId="7AC86C8B" w14:textId="6ECBCA80" w:rsidR="00F21CB5" w:rsidRDefault="00F21CB5" w:rsidP="00F21CB5">
          <w:pPr>
            <w:pStyle w:val="ListParagraph"/>
            <w:numPr>
              <w:ilvl w:val="0"/>
              <w:numId w:val="27"/>
            </w:numPr>
            <w:spacing w:after="0"/>
          </w:pPr>
          <w:r>
            <w:t>Sensibiliser et comprendre les liens entre la résilience dans le domaine de l’eau et les conflits mondiaux, l’instabilité, les migrations et les catastrophes humanitaires</w:t>
          </w:r>
        </w:p>
        <w:p w14:paraId="75F901C9" w14:textId="2D4C539C" w:rsidR="00F21CB5" w:rsidRDefault="00F21CB5" w:rsidP="00F21CB5">
          <w:pPr>
            <w:pStyle w:val="ListParagraph"/>
            <w:numPr>
              <w:ilvl w:val="0"/>
              <w:numId w:val="27"/>
            </w:numPr>
            <w:spacing w:after="0"/>
          </w:pPr>
          <w:r>
            <w:t>Définir les priorités de la coopération dans le domaine de l’eau avec les principaux partenaires bilatéraux</w:t>
          </w:r>
        </w:p>
        <w:p w14:paraId="6CC66E6F" w14:textId="54FDFC98" w:rsidR="00F21CB5" w:rsidRDefault="00F21CB5" w:rsidP="00F21CB5">
          <w:pPr>
            <w:pStyle w:val="ListParagraph"/>
            <w:numPr>
              <w:ilvl w:val="0"/>
              <w:numId w:val="27"/>
            </w:numPr>
            <w:spacing w:after="0"/>
          </w:pPr>
          <w:r>
            <w:t xml:space="preserve">Travailler sur l’interdépendance entre l’eau et l’énergie dans le contexte de la transition énergétique mondiale. </w:t>
          </w:r>
        </w:p>
        <w:p w14:paraId="13878041" w14:textId="77777777" w:rsidR="00F21CB5" w:rsidRDefault="00F21CB5" w:rsidP="00F21CB5">
          <w:pPr>
            <w:spacing w:after="0"/>
            <w:contextualSpacing/>
          </w:pPr>
        </w:p>
        <w:p w14:paraId="3B1D2FA2" w14:textId="504FEEB1" w:rsidR="001A0074" w:rsidRPr="001E667E" w:rsidRDefault="00F21CB5" w:rsidP="00F21CB5">
          <w:pPr>
            <w:spacing w:after="0"/>
            <w:contextualSpacing/>
            <w:rPr>
              <w:lang w:val="fr-BE" w:eastAsia="en-GB"/>
            </w:rPr>
          </w:pPr>
          <w:r>
            <w:t>Dans l’exercice de ses fonctions, le collègue participera à la rédaction des documents politiques et interagira fréquemment avec les parties prenantes internes et externes. Il participera aux réunions pertinentes du groupe de travail du Conseil et de la coordination interservices, aux négociations internationales bilatérales et multilatérales et aux dialogues avec les parties prenantes, y compris des représentants de pays tiers et d’organisations internationales, des groupes de réflexion, le secteur privé et la société civile, le cas échéant. Il accomplira d’autres tâches pertinentes, telles qu’assignées par le chef d’unité. Ce poste implique des contacts fréquents avec d’autres services de la Commission (en particulier la DG INTPA, la DG ECHO, la DG ENER, la DG AGRI, la DG GROW, la DG CLIMA et le SEAE).</w:t>
          </w:r>
        </w:p>
      </w:sdtContent>
    </w:sdt>
    <w:p w14:paraId="3D69C09B" w14:textId="77777777" w:rsidR="00301CA3" w:rsidRPr="001E667E"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630E21AA" w14:textId="77777777" w:rsidR="00E315A6" w:rsidRDefault="00E315A6" w:rsidP="00E315A6">
          <w:pPr>
            <w:tabs>
              <w:tab w:val="left" w:pos="709"/>
            </w:tabs>
            <w:spacing w:after="0"/>
            <w:ind w:right="60"/>
            <w:rPr>
              <w:lang w:eastAsia="en-GB"/>
            </w:rPr>
          </w:pPr>
          <w:r>
            <w:rPr>
              <w:u w:val="single"/>
              <w:lang w:eastAsia="en-GB"/>
            </w:rPr>
            <w:t>Diplôme</w:t>
          </w:r>
          <w:r>
            <w:rPr>
              <w:lang w:eastAsia="en-GB"/>
            </w:rPr>
            <w:t xml:space="preserve"> </w:t>
          </w:r>
        </w:p>
        <w:p w14:paraId="302E656E" w14:textId="77777777" w:rsidR="00E315A6" w:rsidRDefault="00E315A6" w:rsidP="00E315A6">
          <w:pPr>
            <w:tabs>
              <w:tab w:val="left" w:pos="709"/>
            </w:tabs>
            <w:spacing w:after="0"/>
            <w:ind w:left="709" w:right="1317"/>
            <w:rPr>
              <w:lang w:eastAsia="en-GB"/>
            </w:rPr>
          </w:pPr>
          <w:r>
            <w:rPr>
              <w:lang w:eastAsia="en-GB"/>
            </w:rPr>
            <w:t xml:space="preserve">- diplôme universitaire </w:t>
          </w:r>
          <w:proofErr w:type="gramStart"/>
          <w:r>
            <w:rPr>
              <w:lang w:eastAsia="en-GB"/>
            </w:rPr>
            <w:t>ou</w:t>
          </w:r>
          <w:proofErr w:type="gramEnd"/>
          <w:r>
            <w:rPr>
              <w:lang w:eastAsia="en-GB"/>
            </w:rPr>
            <w:t xml:space="preserve"> </w:t>
          </w:r>
        </w:p>
        <w:p w14:paraId="7EF5EB4C" w14:textId="77777777" w:rsidR="00E315A6" w:rsidRDefault="00E315A6" w:rsidP="00E315A6">
          <w:pPr>
            <w:tabs>
              <w:tab w:val="left" w:pos="709"/>
            </w:tabs>
            <w:spacing w:after="0"/>
            <w:ind w:left="709" w:right="1317"/>
            <w:rPr>
              <w:lang w:eastAsia="en-GB"/>
            </w:rPr>
          </w:pPr>
          <w:r>
            <w:rPr>
              <w:lang w:eastAsia="en-GB"/>
            </w:rPr>
            <w:t>- formation professionnelle ou expérience professionnelle de niveau équivalent</w:t>
          </w:r>
        </w:p>
        <w:p w14:paraId="3B50C79C" w14:textId="77777777" w:rsidR="00E315A6" w:rsidRDefault="00E315A6" w:rsidP="00E315A6">
          <w:pPr>
            <w:tabs>
              <w:tab w:val="left" w:pos="709"/>
            </w:tabs>
            <w:spacing w:after="0"/>
            <w:ind w:left="709" w:right="1317"/>
            <w:rPr>
              <w:lang w:eastAsia="en-GB"/>
            </w:rPr>
          </w:pPr>
        </w:p>
        <w:p w14:paraId="25066F09" w14:textId="77777777" w:rsidR="00E315A6" w:rsidRDefault="00E315A6" w:rsidP="00E315A6">
          <w:pPr>
            <w:tabs>
              <w:tab w:val="left" w:pos="993"/>
            </w:tabs>
            <w:spacing w:after="0"/>
            <w:ind w:left="851" w:right="60" w:hanging="142"/>
            <w:rPr>
              <w:lang w:eastAsia="en-GB"/>
            </w:rPr>
          </w:pPr>
          <w:r>
            <w:rPr>
              <w:lang w:eastAsia="en-GB"/>
            </w:rPr>
            <w:t xml:space="preserve">  </w:t>
          </w:r>
          <w:proofErr w:type="gramStart"/>
          <w:r>
            <w:rPr>
              <w:lang w:eastAsia="en-GB"/>
            </w:rPr>
            <w:t>dans</w:t>
          </w:r>
          <w:proofErr w:type="gramEnd"/>
          <w:r>
            <w:rPr>
              <w:lang w:eastAsia="en-GB"/>
            </w:rPr>
            <w:t xml:space="preserve"> le(s) domaine(s) :</w:t>
          </w:r>
          <w:r>
            <w:t xml:space="preserve"> droit, relations internationales, sciences environnementales/politiques, économie, sylviculture ou disciplines connexes.</w:t>
          </w:r>
        </w:p>
        <w:p w14:paraId="02DE6B10" w14:textId="77777777" w:rsidR="00E315A6" w:rsidRDefault="00E315A6" w:rsidP="00E315A6">
          <w:pPr>
            <w:tabs>
              <w:tab w:val="left" w:pos="709"/>
            </w:tabs>
            <w:spacing w:after="0"/>
            <w:ind w:left="709" w:right="60"/>
            <w:rPr>
              <w:lang w:eastAsia="en-GB"/>
            </w:rPr>
          </w:pPr>
        </w:p>
        <w:p w14:paraId="29BE0088" w14:textId="77777777" w:rsidR="00E315A6" w:rsidRDefault="00E315A6" w:rsidP="00E315A6">
          <w:pPr>
            <w:tabs>
              <w:tab w:val="left" w:pos="709"/>
            </w:tabs>
            <w:spacing w:after="0"/>
            <w:ind w:right="60"/>
            <w:rPr>
              <w:u w:val="single"/>
              <w:lang w:eastAsia="en-GB"/>
            </w:rPr>
          </w:pPr>
          <w:r>
            <w:rPr>
              <w:u w:val="single"/>
              <w:lang w:eastAsia="en-GB"/>
            </w:rPr>
            <w:t>Expérience professionnelle</w:t>
          </w:r>
        </w:p>
        <w:p w14:paraId="79273254" w14:textId="77777777" w:rsidR="00E315A6" w:rsidRDefault="00E315A6" w:rsidP="00E315A6">
          <w:pPr>
            <w:tabs>
              <w:tab w:val="left" w:pos="709"/>
            </w:tabs>
            <w:spacing w:after="0"/>
            <w:ind w:left="709" w:right="60"/>
            <w:rPr>
              <w:u w:val="single"/>
              <w:lang w:eastAsia="en-GB"/>
            </w:rPr>
          </w:pPr>
        </w:p>
        <w:p w14:paraId="443832F0" w14:textId="77777777" w:rsidR="00A4303D" w:rsidRDefault="00A4303D" w:rsidP="00A4303D">
          <w:pPr>
            <w:tabs>
              <w:tab w:val="left" w:pos="709"/>
            </w:tabs>
            <w:spacing w:after="0"/>
            <w:ind w:left="709" w:right="60"/>
            <w:rPr>
              <w:lang w:eastAsia="en-GB"/>
            </w:rPr>
          </w:pPr>
          <w:r>
            <w:rPr>
              <w:lang w:eastAsia="en-GB"/>
            </w:rPr>
            <w:lastRenderedPageBreak/>
            <w:t xml:space="preserve">Une expérience de l’élaboration et de la mise en œuvre des politiques et/ou des processus internationaux serait un atout. </w:t>
          </w:r>
        </w:p>
        <w:p w14:paraId="3B06F987" w14:textId="77777777" w:rsidR="00A4303D" w:rsidRDefault="00A4303D" w:rsidP="00A4303D">
          <w:pPr>
            <w:tabs>
              <w:tab w:val="left" w:pos="709"/>
            </w:tabs>
            <w:spacing w:after="0"/>
            <w:ind w:left="709" w:right="60"/>
            <w:rPr>
              <w:lang w:eastAsia="en-GB"/>
            </w:rPr>
          </w:pPr>
        </w:p>
        <w:p w14:paraId="159F8FCE" w14:textId="77777777" w:rsidR="00A4303D" w:rsidRDefault="00A4303D" w:rsidP="00A4303D">
          <w:pPr>
            <w:tabs>
              <w:tab w:val="left" w:pos="709"/>
            </w:tabs>
            <w:spacing w:after="0"/>
            <w:ind w:left="709" w:right="60"/>
            <w:rPr>
              <w:lang w:eastAsia="en-GB"/>
            </w:rPr>
          </w:pPr>
          <w:r>
            <w:rPr>
              <w:lang w:eastAsia="en-GB"/>
            </w:rPr>
            <w:t xml:space="preserve">Le demandeur doit être en mesure de faire preuve d’un haut niveau de compétence d’organisation et d’esprit d’équipe, avec le sens de l’initiative. </w:t>
          </w:r>
        </w:p>
        <w:p w14:paraId="255C8A8F" w14:textId="77777777" w:rsidR="00A4303D" w:rsidRDefault="00A4303D" w:rsidP="00A4303D">
          <w:pPr>
            <w:tabs>
              <w:tab w:val="left" w:pos="709"/>
            </w:tabs>
            <w:spacing w:after="0"/>
            <w:ind w:left="709" w:right="60"/>
            <w:rPr>
              <w:lang w:eastAsia="en-GB"/>
            </w:rPr>
          </w:pPr>
          <w:r>
            <w:rPr>
              <w:lang w:eastAsia="en-GB"/>
            </w:rPr>
            <w:t xml:space="preserve"> </w:t>
          </w:r>
        </w:p>
        <w:p w14:paraId="510EE99A" w14:textId="27D63D09" w:rsidR="00E315A6" w:rsidRDefault="00A4303D" w:rsidP="00A4303D">
          <w:pPr>
            <w:tabs>
              <w:tab w:val="left" w:pos="709"/>
            </w:tabs>
            <w:spacing w:after="0"/>
            <w:ind w:left="709" w:right="60"/>
            <w:rPr>
              <w:lang w:eastAsia="en-GB"/>
            </w:rPr>
          </w:pPr>
          <w:r>
            <w:rPr>
              <w:lang w:eastAsia="en-GB"/>
            </w:rPr>
            <w:t>La personne que nous recherchons devrait être disposée à voyager.</w:t>
          </w:r>
        </w:p>
        <w:p w14:paraId="60F0445B" w14:textId="77777777" w:rsidR="00A4303D" w:rsidRDefault="00A4303D" w:rsidP="00A4303D">
          <w:pPr>
            <w:tabs>
              <w:tab w:val="left" w:pos="709"/>
            </w:tabs>
            <w:spacing w:after="0"/>
            <w:ind w:left="709" w:right="60"/>
            <w:rPr>
              <w:lang w:eastAsia="en-GB"/>
            </w:rPr>
          </w:pPr>
        </w:p>
        <w:p w14:paraId="44249C00" w14:textId="77777777" w:rsidR="00E315A6" w:rsidRDefault="00E315A6" w:rsidP="00E315A6">
          <w:pPr>
            <w:tabs>
              <w:tab w:val="left" w:pos="709"/>
            </w:tabs>
            <w:spacing w:after="0"/>
            <w:ind w:right="60"/>
            <w:rPr>
              <w:u w:val="single"/>
              <w:lang w:eastAsia="en-GB"/>
            </w:rPr>
          </w:pPr>
          <w:r>
            <w:rPr>
              <w:u w:val="single"/>
              <w:lang w:eastAsia="en-GB"/>
            </w:rPr>
            <w:t>Langue(s) nécessaire(s) pour l'accomplissement des tâches</w:t>
          </w:r>
        </w:p>
        <w:p w14:paraId="4B818AC9" w14:textId="77777777" w:rsidR="00E315A6" w:rsidRDefault="00E315A6" w:rsidP="00E315A6">
          <w:pPr>
            <w:tabs>
              <w:tab w:val="left" w:pos="709"/>
            </w:tabs>
            <w:spacing w:after="0"/>
            <w:ind w:left="709" w:right="60"/>
            <w:rPr>
              <w:u w:val="single"/>
              <w:lang w:eastAsia="en-GB"/>
            </w:rPr>
          </w:pPr>
        </w:p>
        <w:p w14:paraId="43B6123E" w14:textId="77777777" w:rsidR="00E315A6" w:rsidRDefault="00E315A6" w:rsidP="00E315A6">
          <w:pPr>
            <w:spacing w:after="0"/>
            <w:ind w:left="709"/>
            <w:rPr>
              <w:lang w:eastAsia="en-GB"/>
            </w:rPr>
          </w:pPr>
          <w:r>
            <w:rPr>
              <w:lang w:eastAsia="en-GB"/>
            </w:rPr>
            <w:t>La maîtrise de l’anglais oral et écrit est requise, tandis qu’une bonne connaissance du français serait un atout.</w:t>
          </w:r>
        </w:p>
        <w:p w14:paraId="7E409EA7" w14:textId="3AE6AA78" w:rsidR="001A0074" w:rsidRPr="00080A71" w:rsidRDefault="00645CE5" w:rsidP="001A0074">
          <w:pPr>
            <w:pStyle w:val="ListNumber"/>
            <w:numPr>
              <w:ilvl w:val="0"/>
              <w:numId w:val="0"/>
            </w:numPr>
            <w:ind w:left="709" w:hanging="709"/>
            <w:rPr>
              <w:b/>
              <w:bCs/>
              <w:lang w:val="en-IE" w:eastAsia="en-GB"/>
            </w:rPr>
          </w:pP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lastRenderedPageBreak/>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2E2C4C"/>
    <w:multiLevelType w:val="hybridMultilevel"/>
    <w:tmpl w:val="11C28884"/>
    <w:lvl w:ilvl="0" w:tplc="E564C9B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5E134CAA"/>
    <w:multiLevelType w:val="hybridMultilevel"/>
    <w:tmpl w:val="92205556"/>
    <w:lvl w:ilvl="0" w:tplc="03CC2A56">
      <w:start w:val="3"/>
      <w:numFmt w:val="bullet"/>
      <w:lvlText w:val="-"/>
      <w:lvlJc w:val="left"/>
      <w:pPr>
        <w:ind w:left="786" w:hanging="360"/>
      </w:pPr>
      <w:rPr>
        <w:rFonts w:ascii="Times New Roman" w:eastAsiaTheme="minorHAnsi" w:hAnsi="Times New Roman" w:cs="Times New Roman" w:hint="default"/>
      </w:rPr>
    </w:lvl>
    <w:lvl w:ilvl="1" w:tplc="08090003">
      <w:start w:val="1"/>
      <w:numFmt w:val="bullet"/>
      <w:lvlText w:val="o"/>
      <w:lvlJc w:val="left"/>
      <w:pPr>
        <w:ind w:left="1506" w:hanging="360"/>
      </w:pPr>
      <w:rPr>
        <w:rFonts w:ascii="Courier New" w:hAnsi="Courier New" w:cs="Courier New" w:hint="default"/>
      </w:rPr>
    </w:lvl>
    <w:lvl w:ilvl="2" w:tplc="08090005">
      <w:start w:val="1"/>
      <w:numFmt w:val="bullet"/>
      <w:lvlText w:val=""/>
      <w:lvlJc w:val="left"/>
      <w:pPr>
        <w:ind w:left="2226" w:hanging="360"/>
      </w:pPr>
      <w:rPr>
        <w:rFonts w:ascii="Wingdings" w:hAnsi="Wingdings" w:hint="default"/>
      </w:rPr>
    </w:lvl>
    <w:lvl w:ilvl="3" w:tplc="08090001">
      <w:start w:val="1"/>
      <w:numFmt w:val="bullet"/>
      <w:lvlText w:val=""/>
      <w:lvlJc w:val="left"/>
      <w:pPr>
        <w:ind w:left="2946" w:hanging="360"/>
      </w:pPr>
      <w:rPr>
        <w:rFonts w:ascii="Symbol" w:hAnsi="Symbol" w:hint="default"/>
      </w:rPr>
    </w:lvl>
    <w:lvl w:ilvl="4" w:tplc="08090003">
      <w:start w:val="1"/>
      <w:numFmt w:val="bullet"/>
      <w:lvlText w:val="o"/>
      <w:lvlJc w:val="left"/>
      <w:pPr>
        <w:ind w:left="3666" w:hanging="360"/>
      </w:pPr>
      <w:rPr>
        <w:rFonts w:ascii="Courier New" w:hAnsi="Courier New" w:cs="Courier New" w:hint="default"/>
      </w:rPr>
    </w:lvl>
    <w:lvl w:ilvl="5" w:tplc="08090005">
      <w:start w:val="1"/>
      <w:numFmt w:val="bullet"/>
      <w:lvlText w:val=""/>
      <w:lvlJc w:val="left"/>
      <w:pPr>
        <w:ind w:left="4386" w:hanging="360"/>
      </w:pPr>
      <w:rPr>
        <w:rFonts w:ascii="Wingdings" w:hAnsi="Wingdings" w:hint="default"/>
      </w:rPr>
    </w:lvl>
    <w:lvl w:ilvl="6" w:tplc="08090001">
      <w:start w:val="1"/>
      <w:numFmt w:val="bullet"/>
      <w:lvlText w:val=""/>
      <w:lvlJc w:val="left"/>
      <w:pPr>
        <w:ind w:left="5106" w:hanging="360"/>
      </w:pPr>
      <w:rPr>
        <w:rFonts w:ascii="Symbol" w:hAnsi="Symbol" w:hint="default"/>
      </w:rPr>
    </w:lvl>
    <w:lvl w:ilvl="7" w:tplc="08090003">
      <w:start w:val="1"/>
      <w:numFmt w:val="bullet"/>
      <w:lvlText w:val="o"/>
      <w:lvlJc w:val="left"/>
      <w:pPr>
        <w:ind w:left="5826" w:hanging="360"/>
      </w:pPr>
      <w:rPr>
        <w:rFonts w:ascii="Courier New" w:hAnsi="Courier New" w:cs="Courier New" w:hint="default"/>
      </w:rPr>
    </w:lvl>
    <w:lvl w:ilvl="8" w:tplc="08090005">
      <w:start w:val="1"/>
      <w:numFmt w:val="bullet"/>
      <w:lvlText w:val=""/>
      <w:lvlJc w:val="left"/>
      <w:pPr>
        <w:ind w:left="6546" w:hanging="360"/>
      </w:pPr>
      <w:rPr>
        <w:rFonts w:ascii="Wingdings" w:hAnsi="Wingdings" w:hint="default"/>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3"/>
  </w:num>
  <w:num w:numId="5" w16cid:durableId="1682463701">
    <w:abstractNumId w:val="18"/>
  </w:num>
  <w:num w:numId="6" w16cid:durableId="181284729">
    <w:abstractNumId w:val="23"/>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4"/>
  </w:num>
  <w:num w:numId="15" w16cid:durableId="1021391429">
    <w:abstractNumId w:val="17"/>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6"/>
  </w:num>
  <w:num w:numId="26" w16cid:durableId="266550549">
    <w:abstractNumId w:val="22"/>
  </w:num>
  <w:num w:numId="27" w16cid:durableId="44704240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de-D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0B2113"/>
    <w:rsid w:val="001A0074"/>
    <w:rsid w:val="001D3EEC"/>
    <w:rsid w:val="001E667E"/>
    <w:rsid w:val="002A6E30"/>
    <w:rsid w:val="002B37EB"/>
    <w:rsid w:val="00301CA3"/>
    <w:rsid w:val="00377580"/>
    <w:rsid w:val="00443957"/>
    <w:rsid w:val="00462268"/>
    <w:rsid w:val="004D3B51"/>
    <w:rsid w:val="00645CE5"/>
    <w:rsid w:val="006A1CB2"/>
    <w:rsid w:val="006F23BA"/>
    <w:rsid w:val="0074301E"/>
    <w:rsid w:val="007A1396"/>
    <w:rsid w:val="007B5FAE"/>
    <w:rsid w:val="007E131B"/>
    <w:rsid w:val="008241B0"/>
    <w:rsid w:val="008315CD"/>
    <w:rsid w:val="0092295D"/>
    <w:rsid w:val="0092373E"/>
    <w:rsid w:val="00A4303D"/>
    <w:rsid w:val="00A917BE"/>
    <w:rsid w:val="00B22E19"/>
    <w:rsid w:val="00B31DC8"/>
    <w:rsid w:val="00B40611"/>
    <w:rsid w:val="00C518F5"/>
    <w:rsid w:val="00E0579E"/>
    <w:rsid w:val="00E315A6"/>
    <w:rsid w:val="00E5708E"/>
    <w:rsid w:val="00F21CB5"/>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ListParagraph">
    <w:name w:val="List Paragraph"/>
    <w:basedOn w:val="Normal"/>
    <w:uiPriority w:val="34"/>
    <w:qFormat/>
    <w:locked/>
    <w:rsid w:val="001E667E"/>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62372">
      <w:bodyDiv w:val="1"/>
      <w:marLeft w:val="0"/>
      <w:marRight w:val="0"/>
      <w:marTop w:val="0"/>
      <w:marBottom w:val="0"/>
      <w:divBdr>
        <w:top w:val="none" w:sz="0" w:space="0" w:color="auto"/>
        <w:left w:val="none" w:sz="0" w:space="0" w:color="auto"/>
        <w:bottom w:val="none" w:sz="0" w:space="0" w:color="auto"/>
        <w:right w:val="none" w:sz="0" w:space="0" w:color="auto"/>
      </w:divBdr>
    </w:div>
    <w:div w:id="3925847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1070</Words>
  <Characters>7591</Characters>
  <Application>Microsoft Office Word</Application>
  <DocSecurity>4</DocSecurity>
  <PresentationFormat>Microsoft Word 14.0</PresentationFormat>
  <Lines>158</Lines>
  <Paragraphs>66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2023-07-05T11:59:00Z</dcterms:created>
  <dcterms:modified xsi:type="dcterms:W3CDTF">2023-07-05T11:59:00Z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