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fr-FR"/>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C24E7">
                <w:pPr>
                  <w:pStyle w:val="ZCom"/>
                </w:pPr>
                <w:sdt>
                  <w:sdtPr>
                    <w:id w:val="1852987933"/>
                    <w:dataBinding w:xpath="/Texts/OrgaRoot" w:storeItemID="{4EF90DE6-88B6-4264-9629-4D8DFDFE87D2}"/>
                    <w:text w:multiLine="1"/>
                  </w:sdtPr>
                  <w:sdtEndPr/>
                  <w:sdtContent>
                    <w:r w:rsidR="00D33E38">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526148A6" w14:textId="77777777" w:rsidR="00850515" w:rsidRDefault="004E4669" w:rsidP="00850515">
                <w:pPr>
                  <w:tabs>
                    <w:tab w:val="left" w:pos="426"/>
                  </w:tabs>
                  <w:spacing w:before="120"/>
                  <w:rPr>
                    <w:b/>
                    <w:szCs w:val="24"/>
                  </w:rPr>
                </w:pPr>
                <w:r>
                  <w:rPr>
                    <w:b/>
                  </w:rPr>
                  <w:t>DG AGRI-H-4</w:t>
                </w:r>
              </w:p>
              <w:p w14:paraId="6ED58797" w14:textId="460BEBC9" w:rsidR="00006827" w:rsidRPr="00850515" w:rsidRDefault="00006827" w:rsidP="00850515">
                <w:pPr>
                  <w:tabs>
                    <w:tab w:val="left" w:pos="426"/>
                  </w:tabs>
                  <w:spacing w:before="120"/>
                  <w:rPr>
                    <w:b/>
                    <w:szCs w:val="24"/>
                  </w:rPr>
                </w:pPr>
                <w:r>
                  <w:rPr>
                    <w:b/>
                    <w:sz w:val="20"/>
                  </w:rPr>
                  <w:t>AGRICULTURE ET DÉVELOPPEMENT RURAL</w:t>
                </w:r>
              </w:p>
              <w:p w14:paraId="10BF986E" w14:textId="77777777" w:rsidR="00006827" w:rsidRDefault="00006827" w:rsidP="00006827">
                <w:pPr>
                  <w:spacing w:after="0"/>
                  <w:ind w:right="1317"/>
                  <w:rPr>
                    <w:b/>
                    <w:sz w:val="20"/>
                  </w:rPr>
                </w:pPr>
                <w:proofErr w:type="gramStart"/>
                <w:r>
                  <w:rPr>
                    <w:b/>
                    <w:sz w:val="20"/>
                  </w:rPr>
                  <w:t>H:</w:t>
                </w:r>
                <w:proofErr w:type="gramEnd"/>
                <w:r>
                  <w:rPr>
                    <w:b/>
                    <w:sz w:val="20"/>
                  </w:rPr>
                  <w:t xml:space="preserve"> Assurance et audit</w:t>
                </w:r>
              </w:p>
              <w:p w14:paraId="786241CD" w14:textId="4119209D" w:rsidR="00B65513" w:rsidRPr="00006827" w:rsidRDefault="00006827" w:rsidP="00006827">
                <w:pPr>
                  <w:spacing w:after="0"/>
                  <w:ind w:right="1317"/>
                  <w:rPr>
                    <w:b/>
                    <w:sz w:val="20"/>
                  </w:rPr>
                </w:pPr>
                <w:r>
                  <w:rPr>
                    <w:b/>
                    <w:sz w:val="20"/>
                  </w:rPr>
                  <w:t>H.4. Assurance et audit financier</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 xml:space="preserve">Numéro de poste dans </w:t>
            </w:r>
            <w:proofErr w:type="gramStart"/>
            <w:r>
              <w:t>sysper:</w:t>
            </w:r>
            <w:proofErr w:type="gramEnd"/>
          </w:p>
        </w:tc>
        <w:sdt>
          <w:sdtPr>
            <w:rPr>
              <w:bCs/>
            </w:rPr>
            <w:id w:val="-686597872"/>
            <w:placeholder>
              <w:docPart w:val="722A130BB2FD42CB99AF58537814D26D"/>
            </w:placeholder>
          </w:sdtPr>
          <w:sdtEndPr/>
          <w:sdtContent>
            <w:tc>
              <w:tcPr>
                <w:tcW w:w="5491" w:type="dxa"/>
              </w:tcPr>
              <w:p w14:paraId="26B6BD75" w14:textId="3325A7F1" w:rsidR="00D96984" w:rsidRPr="0007110E" w:rsidRDefault="00C03627" w:rsidP="00C03627">
                <w:pPr>
                  <w:tabs>
                    <w:tab w:val="left" w:pos="426"/>
                  </w:tabs>
                  <w:spacing w:before="120"/>
                  <w:rPr>
                    <w:bCs/>
                  </w:rPr>
                </w:pPr>
                <w:r>
                  <w:t>424772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 xml:space="preserve">Personne de </w:t>
            </w:r>
            <w:proofErr w:type="gramStart"/>
            <w:r>
              <w:t>contact:</w:t>
            </w:r>
            <w:proofErr w:type="gramEnd"/>
          </w:p>
          <w:p w14:paraId="1BD76B84" w14:textId="2ED3769A" w:rsidR="00E21DBD" w:rsidRPr="0007110E" w:rsidRDefault="00C75BA4" w:rsidP="00E82667">
            <w:pPr>
              <w:tabs>
                <w:tab w:val="left" w:pos="1697"/>
              </w:tabs>
              <w:ind w:right="-1739"/>
              <w:contextualSpacing/>
              <w:rPr>
                <w:bCs/>
                <w:szCs w:val="24"/>
              </w:rPr>
            </w:pPr>
            <w:r>
              <w:t xml:space="preserve">Date de début </w:t>
            </w:r>
            <w:proofErr w:type="gramStart"/>
            <w:r>
              <w:t>prévisionnelle:</w:t>
            </w:r>
            <w:proofErr w:type="gramEnd"/>
          </w:p>
          <w:p w14:paraId="324479C0" w14:textId="6E052826" w:rsidR="00E21DBD" w:rsidRPr="0007110E" w:rsidRDefault="00C75BA4" w:rsidP="00E82667">
            <w:pPr>
              <w:tabs>
                <w:tab w:val="left" w:pos="1697"/>
              </w:tabs>
              <w:ind w:right="-1739"/>
              <w:contextualSpacing/>
              <w:rPr>
                <w:bCs/>
                <w:szCs w:val="24"/>
              </w:rPr>
            </w:pPr>
            <w:r>
              <w:t xml:space="preserve">Durée </w:t>
            </w:r>
            <w:proofErr w:type="gramStart"/>
            <w:r>
              <w:t>initiale:</w:t>
            </w:r>
            <w:proofErr w:type="gramEnd"/>
          </w:p>
          <w:p w14:paraId="07FF8994" w14:textId="77777777" w:rsidR="00E21DBD" w:rsidRPr="0007110E" w:rsidRDefault="00E21DBD" w:rsidP="00E82667">
            <w:pPr>
              <w:tabs>
                <w:tab w:val="left" w:pos="426"/>
              </w:tabs>
              <w:spacing w:after="0"/>
              <w:contextualSpacing/>
              <w:rPr>
                <w:bCs/>
              </w:rPr>
            </w:pPr>
            <w:r>
              <w:t xml:space="preserve">Lieu du </w:t>
            </w:r>
            <w:proofErr w:type="gramStart"/>
            <w:r>
              <w:t>détachement:</w:t>
            </w:r>
            <w:proofErr w:type="gramEnd"/>
          </w:p>
        </w:tc>
        <w:tc>
          <w:tcPr>
            <w:tcW w:w="5491" w:type="dxa"/>
          </w:tcPr>
          <w:sdt>
            <w:sdtPr>
              <w:rPr>
                <w:bCs/>
              </w:rPr>
              <w:id w:val="226507670"/>
              <w:placeholder>
                <w:docPart w:val="E4139A8A81AD41B0A456F71CC855670B"/>
              </w:placeholder>
            </w:sdtPr>
            <w:sdtEndPr/>
            <w:sdtContent>
              <w:p w14:paraId="714DA989" w14:textId="0CC13C9F" w:rsidR="00E21DBD" w:rsidRPr="0007110E" w:rsidRDefault="00C52CC8" w:rsidP="00E82667">
                <w:pPr>
                  <w:tabs>
                    <w:tab w:val="left" w:pos="426"/>
                  </w:tabs>
                  <w:spacing w:before="120"/>
                  <w:rPr>
                    <w:bCs/>
                  </w:rPr>
                </w:pPr>
                <w:r>
                  <w:t xml:space="preserve">Katia PHILANIOTOU </w:t>
                </w:r>
              </w:p>
            </w:sdtContent>
          </w:sdt>
          <w:p w14:paraId="34CF737A" w14:textId="1DB78B49" w:rsidR="00E21DBD" w:rsidRPr="0007110E" w:rsidRDefault="003C24E7" w:rsidP="00E82667">
            <w:pPr>
              <w:tabs>
                <w:tab w:val="left" w:pos="426"/>
              </w:tabs>
              <w:contextualSpacing/>
              <w:rPr>
                <w:bCs/>
              </w:rPr>
            </w:pPr>
            <w:sdt>
              <w:sdtPr>
                <w:rPr>
                  <w:bCs/>
                </w:rPr>
                <w:id w:val="1175461244"/>
                <w:placeholder>
                  <w:docPart w:val="DefaultPlaceholder_-1854013440"/>
                </w:placeholder>
              </w:sdtPr>
              <w:sdtEndPr/>
              <w:sdtContent>
                <w:r w:rsidR="00D33E38">
                  <w:t>3</w:t>
                </w:r>
                <w:r w:rsidR="00D33E38">
                  <w:rPr>
                    <w:vertAlign w:val="superscript"/>
                  </w:rPr>
                  <w:t>e</w:t>
                </w:r>
              </w:sdtContent>
            </w:sdt>
            <w:r w:rsidR="00D33E38">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33E38">
                  <w:t>2023</w:t>
                </w:r>
              </w:sdtContent>
            </w:sdt>
          </w:p>
          <w:p w14:paraId="158DD156" w14:textId="523BF598" w:rsidR="00E21DBD" w:rsidRPr="0007110E" w:rsidRDefault="003C24E7" w:rsidP="00E82667">
            <w:pPr>
              <w:tabs>
                <w:tab w:val="left" w:pos="426"/>
              </w:tabs>
              <w:contextualSpacing/>
              <w:jc w:val="left"/>
              <w:rPr>
                <w:bCs/>
                <w:szCs w:val="24"/>
              </w:rPr>
            </w:pPr>
            <w:sdt>
              <w:sdtPr>
                <w:rPr>
                  <w:bCs/>
                </w:rPr>
                <w:id w:val="202528730"/>
                <w:placeholder>
                  <w:docPart w:val="DefaultPlaceholder_-1854013440"/>
                </w:placeholder>
              </w:sdtPr>
              <w:sdtEndPr/>
              <w:sdtContent>
                <w:r w:rsidR="00D33E38">
                  <w:t>3</w:t>
                </w:r>
              </w:sdtContent>
            </w:sdt>
            <w:r w:rsidR="00D33E38">
              <w:t xml:space="preserve"> ans </w:t>
            </w:r>
            <w:r w:rsidR="00D33E38">
              <w:br/>
            </w:r>
            <w:sdt>
              <w:sdtPr>
                <w:rPr>
                  <w:bCs/>
                  <w:szCs w:val="24"/>
                </w:rPr>
                <w:id w:val="-69433268"/>
                <w14:checkbox>
                  <w14:checked w14:val="1"/>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Bruxelles </w:t>
            </w:r>
            <w:sdt>
              <w:sdtPr>
                <w:rPr>
                  <w:bCs/>
                  <w:szCs w:val="24"/>
                </w:rPr>
                <w:id w:val="1282158214"/>
                <w14:checkbox>
                  <w14:checked w14:val="0"/>
                  <w14:checkedState w14:val="2612" w14:font="MS Gothic"/>
                  <w14:uncheckedState w14:val="2610" w14:font="MS Gothic"/>
                </w14:checkbox>
              </w:sdtPr>
              <w:sdtEndPr/>
              <w:sdtContent>
                <w:r w:rsidR="00966017">
                  <w:rPr>
                    <w:rFonts w:ascii="MS Gothic" w:eastAsia="MS Gothic" w:hAnsi="MS Gothic" w:hint="eastAsia"/>
                    <w:bCs/>
                    <w:szCs w:val="24"/>
                  </w:rPr>
                  <w:t>☐</w:t>
                </w:r>
              </w:sdtContent>
            </w:sdt>
            <w:r w:rsidR="00D33E38">
              <w:t xml:space="preserve"> Luxembourg </w:t>
            </w:r>
            <w:sdt>
              <w:sdtPr>
                <w:rPr>
                  <w:bCs/>
                  <w:szCs w:val="24"/>
                </w:rPr>
                <w:id w:val="-432676822"/>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w:t>
            </w:r>
            <w:proofErr w:type="gramStart"/>
            <w:r w:rsidR="00D33E38">
              <w:t>Autre:</w:t>
            </w:r>
            <w:proofErr w:type="gramEnd"/>
            <w:r w:rsidR="00D33E38">
              <w:t xml:space="preserve"> </w:t>
            </w:r>
            <w:sdt>
              <w:sdtPr>
                <w:rPr>
                  <w:bCs/>
                  <w:szCs w:val="24"/>
                </w:rPr>
                <w:id w:val="-186994276"/>
                <w:placeholder>
                  <w:docPart w:val="42CE55A0461841A39534A5E777539A67"/>
                </w:placeholder>
                <w:showingPlcHdr/>
              </w:sdtPr>
              <w:sdtEndPr/>
              <w:sdtContent>
                <w:r w:rsidR="00D33E38">
                  <w:rPr>
                    <w:rStyle w:val="PlaceholderText"/>
                  </w:rPr>
                  <w:t>Cliquer ou toucher ici pour introduire le texte</w:t>
                </w:r>
              </w:sdtContent>
            </w:sdt>
          </w:p>
          <w:p w14:paraId="7CA484B0" w14:textId="77777777" w:rsidR="00E21DBD" w:rsidRPr="003C24E7"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Type de détachement</w:t>
            </w:r>
          </w:p>
        </w:tc>
        <w:tc>
          <w:tcPr>
            <w:tcW w:w="5491" w:type="dxa"/>
          </w:tcPr>
          <w:p w14:paraId="6B14399A" w14:textId="7319CC7A"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 xml:space="preserve">Cet avis de vacance est </w:t>
            </w:r>
            <w:proofErr w:type="gramStart"/>
            <w:r>
              <w:t>ouvert:</w:t>
            </w:r>
            <w:proofErr w:type="gramEnd"/>
          </w:p>
          <w:p w14:paraId="4446CE69" w14:textId="5EA979B8" w:rsidR="00E21DBD" w:rsidRDefault="00E82667" w:rsidP="00E21DBD">
            <w:pPr>
              <w:tabs>
                <w:tab w:val="left" w:pos="426"/>
              </w:tabs>
              <w:contextualSpacing/>
              <w:rPr>
                <w:bCs/>
                <w:szCs w:val="24"/>
              </w:rPr>
            </w:pPr>
            <w: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rPr>
            </w:pPr>
            <w:proofErr w:type="gramStart"/>
            <w:r>
              <w:t>ainsi</w:t>
            </w:r>
            <w:proofErr w:type="gramEnd"/>
            <w:r>
              <w:t xml:space="preserve"> que</w:t>
            </w:r>
          </w:p>
          <w:p w14:paraId="48418475" w14:textId="6331CDD6" w:rsidR="0040388A" w:rsidRPr="0007110E" w:rsidRDefault="003C24E7"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w:t>
            </w:r>
            <w:proofErr w:type="gramStart"/>
            <w:r w:rsidR="00D33E38">
              <w:t>aux</w:t>
            </w:r>
            <w:proofErr w:type="gramEnd"/>
            <w:r w:rsidR="00D33E38">
              <w:t xml:space="preserve"> pays AELE suivants:</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Suisse</w:t>
            </w:r>
          </w:p>
          <w:p w14:paraId="0E54D6FB" w14:textId="4EF3712C" w:rsidR="0040388A" w:rsidRPr="0007110E" w:rsidRDefault="003C24E7"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w:t>
            </w:r>
            <w:proofErr w:type="gramStart"/>
            <w:r w:rsidR="00D33E38">
              <w:t>aux</w:t>
            </w:r>
            <w:proofErr w:type="gramEnd"/>
            <w:r w:rsidR="00D33E38">
              <w:t xml:space="preserve"> pays tiers suivants: </w:t>
            </w:r>
            <w:sdt>
              <w:sdtPr>
                <w:rPr>
                  <w:bCs/>
                  <w:szCs w:val="24"/>
                </w:rPr>
                <w:id w:val="1742369941"/>
                <w:placeholder>
                  <w:docPart w:val="335C0F1576B3499F8D90CE979ABE47D4"/>
                </w:placeholder>
                <w:showingPlcHdr/>
              </w:sdtPr>
              <w:sdtEndPr/>
              <w:sdtContent>
                <w:r w:rsidR="00D33E38">
                  <w:rPr>
                    <w:rStyle w:val="PlaceholderText"/>
                  </w:rPr>
                  <w:t xml:space="preserve"> …. </w:t>
                </w:r>
              </w:sdtContent>
            </w:sdt>
          </w:p>
          <w:p w14:paraId="265CD5A1" w14:textId="0FD11D7C" w:rsidR="0040388A" w:rsidRDefault="003C24E7"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w:t>
            </w:r>
            <w:proofErr w:type="gramStart"/>
            <w:r w:rsidR="00D33E38">
              <w:t>aux</w:t>
            </w:r>
            <w:proofErr w:type="gramEnd"/>
            <w:r w:rsidR="00D33E38">
              <w:t xml:space="preserve"> organisations intergouvernementales suivantes:</w:t>
            </w:r>
            <w:r w:rsidR="00D33E38">
              <w:tab/>
            </w:r>
            <w:sdt>
              <w:sdtPr>
                <w:rPr>
                  <w:bCs/>
                  <w:szCs w:val="24"/>
                </w:rPr>
                <w:id w:val="1349070026"/>
                <w:placeholder>
                  <w:docPart w:val="42F8A5B327594E519C9F00EDCE7CD95B"/>
                </w:placeholder>
                <w:showingPlcHdr/>
              </w:sdtPr>
              <w:sdtEndPr/>
              <w:sdtContent>
                <w:r w:rsidR="00D33E38">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67158BC2" w:rsidR="00E21DBD" w:rsidRPr="0007110E" w:rsidRDefault="00E82667" w:rsidP="00252050">
            <w:pPr>
              <w:tabs>
                <w:tab w:val="left" w:pos="426"/>
              </w:tabs>
              <w:rPr>
                <w:bCs/>
              </w:rPr>
            </w:pPr>
            <w:r>
              <w:object w:dxaOrig="225" w:dyaOrig="225" w14:anchorId="624C0115">
                <v:shape id="_x0000_i1043" type="#_x0000_t75" style="width:320.4pt;height:21.6pt" o:ole="">
                  <v:imagedata r:id="rId18" o:title=""/>
                </v:shape>
                <w:control r:id="rId19"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Date limite de dépôt des candidatures</w:t>
            </w:r>
          </w:p>
        </w:tc>
        <w:tc>
          <w:tcPr>
            <w:tcW w:w="5491" w:type="dxa"/>
          </w:tcPr>
          <w:p w14:paraId="42C9AD79" w14:textId="4617B054" w:rsidR="00DF1E49" w:rsidRPr="0007110E" w:rsidRDefault="00E82667" w:rsidP="00E82667">
            <w:pPr>
              <w:tabs>
                <w:tab w:val="left" w:pos="426"/>
              </w:tabs>
              <w:spacing w:before="120" w:after="120"/>
              <w:rPr>
                <w:bCs/>
              </w:rPr>
            </w:pPr>
            <w:r>
              <w:object w:dxaOrig="225" w:dyaOrig="225" w14:anchorId="51A1B371">
                <v:shape id="_x0000_i1045" type="#_x0000_t75" style="width:108pt;height:21.6pt" o:ole="">
                  <v:imagedata r:id="rId20" o:title=""/>
                </v:shape>
                <w:control r:id="rId21" w:name="OptionButton2" w:shapeid="_x0000_i1045"/>
              </w:object>
            </w:r>
            <w: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EndPr/>
      <w:sdtContent>
        <w:p w14:paraId="49B64A57" w14:textId="77777777" w:rsidR="00C367F3" w:rsidRPr="0051018C" w:rsidRDefault="00C367F3" w:rsidP="00C367F3">
          <w:pPr>
            <w:spacing w:after="0"/>
            <w:ind w:right="-14"/>
            <w:rPr>
              <w:szCs w:val="24"/>
            </w:rPr>
          </w:pPr>
          <w:r>
            <w:t xml:space="preserve">L’unité Assurance et audit financier de la direction générale de l’agriculture et du développement rural assume les principales responsabilités </w:t>
          </w:r>
          <w:proofErr w:type="gramStart"/>
          <w:r>
            <w:t>suivantes:</w:t>
          </w:r>
          <w:proofErr w:type="gramEnd"/>
        </w:p>
        <w:p w14:paraId="714ECDAF" w14:textId="77777777" w:rsidR="00C367F3" w:rsidRPr="0051018C" w:rsidRDefault="00C367F3" w:rsidP="00C367F3">
          <w:pPr>
            <w:spacing w:after="0"/>
            <w:ind w:right="-14"/>
            <w:rPr>
              <w:szCs w:val="24"/>
              <w:lang w:eastAsia="en-GB"/>
            </w:rPr>
          </w:pPr>
        </w:p>
        <w:p w14:paraId="7735A9DB" w14:textId="77777777" w:rsidR="00C367F3" w:rsidRPr="0051018C" w:rsidRDefault="00C367F3" w:rsidP="00C367F3">
          <w:pPr>
            <w:spacing w:after="0"/>
            <w:ind w:right="-14"/>
            <w:rPr>
              <w:szCs w:val="24"/>
            </w:rPr>
          </w:pPr>
          <w:r>
            <w:lastRenderedPageBreak/>
            <w:t xml:space="preserve">• Exercice annuel d’apurement des comptes. Cet exercice vise à fournir à la Commission l’assurance raisonnable que les dépenses déclarées par les organismes payeurs des États membres et des pays candidats, telles qu’exposées dans leurs comptes annuels, sont vraies, complètes et exactes et que les systèmes internes de gestion et de contrôle de ces organismes ont fonctionné correctement. L’exercice porte sur un montant annuel de dépenses agricoles de près de 55 milliards d’euros. </w:t>
          </w:r>
        </w:p>
        <w:p w14:paraId="60C23D5A" w14:textId="77777777" w:rsidR="00C367F3" w:rsidRPr="0051018C" w:rsidRDefault="00C367F3" w:rsidP="00C367F3">
          <w:pPr>
            <w:spacing w:after="0"/>
            <w:ind w:right="-14"/>
            <w:rPr>
              <w:szCs w:val="24"/>
              <w:lang w:eastAsia="en-GB"/>
            </w:rPr>
          </w:pPr>
        </w:p>
        <w:p w14:paraId="16B89D35" w14:textId="77777777" w:rsidR="00C367F3" w:rsidRDefault="00C367F3" w:rsidP="00C367F3">
          <w:pPr>
            <w:spacing w:after="0"/>
            <w:ind w:right="-14"/>
            <w:rPr>
              <w:szCs w:val="24"/>
            </w:rPr>
          </w:pPr>
          <w:r>
            <w:t xml:space="preserve">• Évaluation continue des systèmes de contrôle interne des organismes payeurs du FEAGA, du </w:t>
          </w:r>
          <w:proofErr w:type="spellStart"/>
          <w:r>
            <w:t>Feader</w:t>
          </w:r>
          <w:proofErr w:type="spellEnd"/>
          <w:r>
            <w:t xml:space="preserve"> et d’IPARD au moyen d'audits visant à assurer que les systèmes de gestion et de contrôle sont en place et fonctionnent correctement, et en particulier à vérifier leur efficacité et leur conformité avec les règlements et les lignes directrices sur l’apurement des comptes.</w:t>
          </w:r>
        </w:p>
        <w:p w14:paraId="4373C93A" w14:textId="77777777" w:rsidR="00C367F3" w:rsidRDefault="00C367F3" w:rsidP="00C367F3">
          <w:pPr>
            <w:spacing w:after="0"/>
            <w:ind w:right="-14"/>
            <w:rPr>
              <w:szCs w:val="24"/>
              <w:lang w:eastAsia="en-GB"/>
            </w:rPr>
          </w:pPr>
        </w:p>
        <w:p w14:paraId="4BFBA124" w14:textId="77777777" w:rsidR="00C367F3" w:rsidRPr="0051018C" w:rsidRDefault="00C367F3" w:rsidP="00C367F3">
          <w:pPr>
            <w:spacing w:after="0"/>
            <w:ind w:right="-14"/>
            <w:rPr>
              <w:szCs w:val="24"/>
            </w:rPr>
          </w:pPr>
          <w:r>
            <w:t>• Fourniture continue d’une assistance et de conseils pour contribuer à l’amélioration des systèmes de gestion et de contrôle en proposant des modifications de la législation de l’UE et en présentant des recommandations et des lignes directrices aux États membres et aux pays candidats.</w:t>
          </w:r>
        </w:p>
        <w:p w14:paraId="0F61D193" w14:textId="77777777" w:rsidR="00C367F3" w:rsidRPr="0051018C" w:rsidRDefault="00C367F3" w:rsidP="00C367F3">
          <w:pPr>
            <w:spacing w:after="0"/>
            <w:ind w:right="-14"/>
            <w:rPr>
              <w:szCs w:val="24"/>
              <w:lang w:eastAsia="en-GB"/>
            </w:rPr>
          </w:pPr>
        </w:p>
        <w:p w14:paraId="36B1B2AB" w14:textId="77777777" w:rsidR="00C367F3" w:rsidRPr="0051018C" w:rsidRDefault="00C367F3" w:rsidP="00C367F3">
          <w:pPr>
            <w:spacing w:after="0"/>
            <w:ind w:right="-14"/>
            <w:rPr>
              <w:szCs w:val="24"/>
            </w:rPr>
          </w:pPr>
          <w:r>
            <w:t xml:space="preserve">L’unité emploie actuellement 26 personnes et se distingue par son atmosphère de travail positive et son solide esprit de corps. La plupart des États membres sont représentés.  </w:t>
          </w:r>
        </w:p>
        <w:p w14:paraId="59DD0438" w14:textId="2062BE14" w:rsidR="00E21DBD" w:rsidRDefault="003C24E7"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Présentation du poste (Nous proposons)</w:t>
      </w:r>
    </w:p>
    <w:sdt>
      <w:sdtPr>
        <w:id w:val="-723136291"/>
        <w:placeholder>
          <w:docPart w:val="84FB87486BC94E5EB76E972E1BD8265B"/>
        </w:placeholder>
      </w:sdtPr>
      <w:sdtEndPr/>
      <w:sdtContent>
        <w:p w14:paraId="37452E77" w14:textId="77777777" w:rsidR="00C367F3" w:rsidRPr="00B1475E" w:rsidRDefault="00C367F3" w:rsidP="00C367F3">
          <w:pPr>
            <w:spacing w:after="0"/>
            <w:ind w:right="-14"/>
            <w:rPr>
              <w:szCs w:val="24"/>
            </w:rPr>
          </w:pPr>
          <w:r>
            <w:t xml:space="preserve">L’END sera invité à effectuer les tâches </w:t>
          </w:r>
          <w:proofErr w:type="gramStart"/>
          <w:r>
            <w:t>suivantes:</w:t>
          </w:r>
          <w:proofErr w:type="gramEnd"/>
        </w:p>
        <w:p w14:paraId="74145329" w14:textId="77777777" w:rsidR="00C367F3" w:rsidRPr="00B1475E" w:rsidRDefault="00C367F3" w:rsidP="00C367F3">
          <w:pPr>
            <w:spacing w:after="0"/>
            <w:ind w:right="-14"/>
            <w:rPr>
              <w:szCs w:val="24"/>
            </w:rPr>
          </w:pPr>
          <w:r>
            <w:t xml:space="preserve"> </w:t>
          </w:r>
        </w:p>
        <w:p w14:paraId="4AC7341F" w14:textId="7584BF73" w:rsidR="00C367F3" w:rsidRPr="00B1475E" w:rsidRDefault="00C367F3" w:rsidP="00C367F3">
          <w:pPr>
            <w:spacing w:after="0"/>
            <w:ind w:left="473" w:right="161" w:hanging="473"/>
            <w:rPr>
              <w:szCs w:val="24"/>
            </w:rPr>
          </w:pPr>
          <w:r>
            <w:t>•</w:t>
          </w:r>
          <w:r>
            <w:tab/>
            <w:t xml:space="preserve">Analyser les comptes annuels des organismes payeurs et procéder à un rapprochement avec les déclarations intermédiaires de dépenses de la </w:t>
          </w:r>
          <w:proofErr w:type="gramStart"/>
          <w:r>
            <w:t>PAC;</w:t>
          </w:r>
          <w:proofErr w:type="gramEnd"/>
          <w:r>
            <w:t xml:space="preserve"> </w:t>
          </w:r>
        </w:p>
        <w:p w14:paraId="57275636" w14:textId="77777777" w:rsidR="00C367F3" w:rsidRPr="00B1475E" w:rsidRDefault="00C367F3" w:rsidP="00C367F3">
          <w:pPr>
            <w:spacing w:after="0"/>
            <w:ind w:left="473" w:right="161" w:hanging="473"/>
            <w:rPr>
              <w:szCs w:val="24"/>
            </w:rPr>
          </w:pPr>
          <w:r>
            <w:t>•</w:t>
          </w:r>
          <w:r>
            <w:tab/>
            <w:t>Effectuer le suivi des rapports des organismes de certification et l’évaluation de l’efficacité des systèmes de contrôle dans les États membres en ce qui concerne la gestion des ressources de l’Union dans le domaine des dépenses agricoles et de développement rural, et la prévention des fraudes.</w:t>
          </w:r>
        </w:p>
        <w:p w14:paraId="1B23445D" w14:textId="77777777" w:rsidR="00C367F3" w:rsidRPr="00B1475E" w:rsidRDefault="00C367F3" w:rsidP="00C367F3">
          <w:pPr>
            <w:spacing w:after="0"/>
            <w:ind w:left="473" w:right="161" w:hanging="473"/>
            <w:rPr>
              <w:szCs w:val="24"/>
            </w:rPr>
          </w:pPr>
          <w:r>
            <w:t>•</w:t>
          </w:r>
          <w:r>
            <w:tab/>
            <w:t>Accomplir environ deux missions par an, y compris avec un départ le dimanche.</w:t>
          </w:r>
        </w:p>
        <w:p w14:paraId="33026918" w14:textId="77777777" w:rsidR="00C367F3" w:rsidRPr="00B1475E" w:rsidRDefault="00C367F3" w:rsidP="00C367F3">
          <w:pPr>
            <w:spacing w:after="0"/>
            <w:ind w:left="473" w:right="161" w:hanging="473"/>
            <w:rPr>
              <w:szCs w:val="24"/>
              <w:lang w:eastAsia="en-GB"/>
            </w:rPr>
          </w:pPr>
        </w:p>
        <w:p w14:paraId="7E86983B" w14:textId="77777777" w:rsidR="00C367F3" w:rsidRPr="00B1475E" w:rsidRDefault="00C367F3" w:rsidP="00C367F3">
          <w:pPr>
            <w:spacing w:after="0"/>
            <w:ind w:right="-14"/>
            <w:rPr>
              <w:szCs w:val="24"/>
            </w:rPr>
          </w:pPr>
          <w:r>
            <w:t>L’END travaillera sous la supervision du chef de l’équipe responsable de l’apurement financier. Sans préjudice du principe de coopération loyale entre les administrations nationales, régionales et européennes, l’END ne travaillera pas sur des cas individuels ayant des incidences sur des dossiers qu’il/elle aurait été amené(e) à traiter dans son administration nationale au cours des deux années qui ont précédé l’entrée à la Commission ou sur des dossiers directement liés. En aucun cas, il/elle ne représentera la Commission afin de prendre des engagements financiers ou autres, ou de négocier au nom de la Commission.</w:t>
          </w:r>
        </w:p>
        <w:p w14:paraId="46EE3E07" w14:textId="10AE495A" w:rsidR="00E21DBD" w:rsidRPr="00C367F3" w:rsidRDefault="003C24E7" w:rsidP="00C367F3">
          <w:pPr>
            <w:spacing w:after="0"/>
            <w:ind w:right="-14"/>
            <w:rPr>
              <w:sz w:val="20"/>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Profil du titulaire (Nous recherchons)</w:t>
      </w:r>
    </w:p>
    <w:sdt>
      <w:sdtPr>
        <w:id w:val="-209197804"/>
        <w:placeholder>
          <w:docPart w:val="D53C757808094631B3D30FCCF370CC97"/>
        </w:placeholder>
      </w:sdtPr>
      <w:sdtEndPr/>
      <w:sdtContent>
        <w:p w14:paraId="3E34C93B" w14:textId="77777777" w:rsidR="00006827" w:rsidRPr="001D7972" w:rsidRDefault="00006827" w:rsidP="00006827">
          <w:pPr>
            <w:rPr>
              <w:szCs w:val="24"/>
            </w:rPr>
          </w:pPr>
          <w:proofErr w:type="gramStart"/>
          <w:r>
            <w:t>Diplôme:</w:t>
          </w:r>
          <w:proofErr w:type="gramEnd"/>
        </w:p>
        <w:p w14:paraId="0A18C26A" w14:textId="77777777" w:rsidR="00006827" w:rsidRPr="001D7972" w:rsidRDefault="00006827" w:rsidP="00006827">
          <w:pPr>
            <w:rPr>
              <w:szCs w:val="24"/>
            </w:rPr>
          </w:pPr>
          <w:r>
            <w:tab/>
            <w:t xml:space="preserve">- diplôme universitaire </w:t>
          </w:r>
          <w:proofErr w:type="gramStart"/>
          <w:r>
            <w:t>ou</w:t>
          </w:r>
          <w:proofErr w:type="gramEnd"/>
        </w:p>
        <w:p w14:paraId="26965A20" w14:textId="5844C21C" w:rsidR="00006827" w:rsidRPr="001D7972" w:rsidRDefault="00006827" w:rsidP="00006827">
          <w:pPr>
            <w:rPr>
              <w:szCs w:val="24"/>
            </w:rPr>
          </w:pPr>
          <w:r>
            <w:lastRenderedPageBreak/>
            <w:tab/>
            <w:t>- formation professionnelle ou expérience professionnelle de niveau équivalent</w:t>
          </w:r>
        </w:p>
        <w:p w14:paraId="710C3BE3" w14:textId="77777777" w:rsidR="00006827" w:rsidRPr="001D7972" w:rsidRDefault="00006827" w:rsidP="00006827">
          <w:pPr>
            <w:rPr>
              <w:szCs w:val="24"/>
            </w:rPr>
          </w:pPr>
          <w:proofErr w:type="gramStart"/>
          <w:r>
            <w:t>dans</w:t>
          </w:r>
          <w:proofErr w:type="gramEnd"/>
          <w:r>
            <w:t xml:space="preserve"> le ou les domaines suivants: comptabilité, audit, finance, statistiques, économie, gestion de projets, administration, droit.                     </w:t>
          </w:r>
        </w:p>
        <w:p w14:paraId="092AFCC3" w14:textId="241AAD8F" w:rsidR="00006827" w:rsidRPr="00F06465" w:rsidRDefault="00006827" w:rsidP="00006827">
          <w:pPr>
            <w:rPr>
              <w:szCs w:val="24"/>
            </w:rPr>
          </w:pPr>
          <w:r>
            <w:t xml:space="preserve">Expérience </w:t>
          </w:r>
          <w:proofErr w:type="gramStart"/>
          <w:r>
            <w:t>professionnelle:</w:t>
          </w:r>
          <w:proofErr w:type="gramEnd"/>
          <w:r>
            <w:t xml:space="preserve"> outre une expérience en matière de comptabilité et d’audit, une expérience en statistiques, mathématiques générales, budget, finance ou apurement financier et accréditation constituerait un atout. Une connaissance de la PAC, de la politique de développement rural et des fonds structurels et régionaux européens, des normes, méthodes et procédures générales d’audit, et des instruments classiques de la Commission serait également appréciée.</w:t>
          </w:r>
        </w:p>
        <w:p w14:paraId="512F752B" w14:textId="77777777" w:rsidR="00006827" w:rsidRPr="00F06465" w:rsidRDefault="00006827" w:rsidP="00006827">
          <w:pPr>
            <w:rPr>
              <w:szCs w:val="24"/>
            </w:rPr>
          </w:pPr>
          <w:r>
            <w:t xml:space="preserve">Langue(s) nécessaire(s) à l’exécution des </w:t>
          </w:r>
          <w:proofErr w:type="gramStart"/>
          <w:r>
            <w:t>tâches:</w:t>
          </w:r>
          <w:proofErr w:type="gramEnd"/>
          <w:r>
            <w:t xml:space="preserve"> très bonnes capacités de communication en anglais. Une connaissance pratique du français ou d’autres langues de l’Union serait un atout.</w:t>
          </w:r>
        </w:p>
        <w:p w14:paraId="51994EDB" w14:textId="02820639" w:rsidR="002E40A9" w:rsidRPr="00DF7163" w:rsidRDefault="003C24E7" w:rsidP="00DF7163">
          <w:pPr>
            <w:spacing w:after="0"/>
            <w:ind w:right="-14"/>
            <w:rPr>
              <w:sz w:val="20"/>
              <w:lang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d’admissibilité</w:t>
      </w:r>
    </w:p>
    <w:p w14:paraId="4351CD9B" w14:textId="329965A0" w:rsidR="00E21DBD" w:rsidRPr="00F67B35" w:rsidRDefault="00E21DBD" w:rsidP="00252050">
      <w:pPr>
        <w:keepNext/>
        <w:rPr>
          <w:szCs w:val="24"/>
        </w:rPr>
      </w:pPr>
      <w:r>
        <w:t xml:space="preserve">Les détachements sont régis par la </w:t>
      </w:r>
      <w:r>
        <w:rPr>
          <w:b/>
          <w:bCs/>
        </w:rPr>
        <w:t xml:space="preserve">décision </w:t>
      </w:r>
      <w:proofErr w:type="gramStart"/>
      <w:r>
        <w:rPr>
          <w:b/>
          <w:bCs/>
        </w:rPr>
        <w:t>C(</w:t>
      </w:r>
      <w:proofErr w:type="gramEnd"/>
      <w:r>
        <w:rPr>
          <w:b/>
          <w:bCs/>
        </w:rPr>
        <w:t>2008) 6866 de la Commission</w:t>
      </w:r>
      <w:r>
        <w:t xml:space="preserve"> du 12 novembre 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Aux termes de la décision END, vous devez remplir les critères d’admission suivants à la </w:t>
      </w:r>
      <w:r>
        <w:rPr>
          <w:b/>
          <w:bCs/>
        </w:rPr>
        <w:t xml:space="preserve">date de début </w:t>
      </w:r>
      <w:r>
        <w:t xml:space="preserve">du </w:t>
      </w:r>
      <w:proofErr w:type="gramStart"/>
      <w:r>
        <w:t>détachement:</w:t>
      </w:r>
      <w:proofErr w:type="gramEnd"/>
    </w:p>
    <w:p w14:paraId="2A82F38A" w14:textId="4F2D910B" w:rsidR="00E21DBD" w:rsidRPr="00902D72" w:rsidRDefault="00E21DBD" w:rsidP="00B73F08">
      <w:pPr>
        <w:pStyle w:val="ListBullet"/>
      </w:pPr>
      <w:r>
        <w:rPr>
          <w:u w:val="single"/>
        </w:rPr>
        <w:t xml:space="preserve">Expérience </w:t>
      </w:r>
      <w:proofErr w:type="gramStart"/>
      <w:r>
        <w:rPr>
          <w:u w:val="single"/>
        </w:rPr>
        <w:t>professionnelle:</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E21DBD" w:rsidRPr="00902D72" w:rsidRDefault="00E21DBD" w:rsidP="00B73F08">
      <w:pPr>
        <w:pStyle w:val="ListBullet"/>
      </w:pPr>
      <w:proofErr w:type="gramStart"/>
      <w:r>
        <w:rPr>
          <w:u w:val="single"/>
        </w:rPr>
        <w:t>Ancienneté:</w:t>
      </w:r>
      <w:proofErr w:type="gramEnd"/>
      <w:r>
        <w:t xml:space="preserve"> avoir travaillé pendant au moins une année complète (12 mois) auprès de votre employeur actuel dans un cadre statutaire ou contractuel.</w:t>
      </w:r>
    </w:p>
    <w:p w14:paraId="52986B8D" w14:textId="511D026E" w:rsidR="00E21DBD" w:rsidRPr="00AF417C" w:rsidRDefault="00E21DBD" w:rsidP="00B73F08">
      <w:pPr>
        <w:pStyle w:val="ListBullet"/>
      </w:pPr>
      <w:proofErr w:type="gramStart"/>
      <w:r>
        <w:rPr>
          <w:u w:val="single"/>
        </w:rPr>
        <w:t>Employeur:</w:t>
      </w:r>
      <w:proofErr w:type="gramEnd"/>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E21DBD" w:rsidRPr="00902D72" w:rsidRDefault="00E21DBD" w:rsidP="00B73F08">
      <w:pPr>
        <w:pStyle w:val="ListBullet"/>
      </w:pPr>
      <w:r>
        <w:rPr>
          <w:u w:val="single"/>
        </w:rPr>
        <w:t xml:space="preserve">Compétences </w:t>
      </w:r>
      <w:proofErr w:type="gramStart"/>
      <w:r>
        <w:rPr>
          <w:u w:val="single"/>
        </w:rPr>
        <w:t>linguistiques:</w:t>
      </w:r>
      <w:proofErr w:type="gramEnd"/>
      <w:r>
        <w:t xml:space="preserve"> avoir une connaissance approfondie d’une des langues de l’Union européenne et une connaissance satisfaisante d’une autre langue de l’Union, dans la mesure nécessaire aux fonctions qu’il ou elle est appelé(e) à exercer. L’END d’un pays tiers doit justifier posséder une connaissance approfondie d’une langue de l’Union nécessaire à l’accomplissement des tâches qui lui seront confiées.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lastRenderedPageBreak/>
        <w:t>Conditions relatives au détachement</w:t>
      </w:r>
    </w:p>
    <w:p w14:paraId="42ECB69D" w14:textId="49CFA327" w:rsidR="00E21DBD" w:rsidRPr="00F67B35" w:rsidRDefault="00D96984" w:rsidP="00252050">
      <w:pPr>
        <w:keepNext/>
      </w:pPr>
      <w:r>
        <w:t xml:space="preserve">Pendant toute la durée de votre détachement, vous devez rester employé et rémunéré par votre employeur et être couvert par votre système de sécurité sociale (national). </w:t>
      </w:r>
    </w:p>
    <w:p w14:paraId="0A5C5740" w14:textId="54FC005C" w:rsidR="009A2F00" w:rsidRDefault="00B73F08" w:rsidP="009A2F00">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9A2F00" w:rsidRDefault="00B73F08" w:rsidP="009A2F00">
      <w:r>
        <w:t xml:space="preserve">Si le poste est publié avec des indemnités, celles-ci ne peuvent être accordées que si vous remplissez les conditions prévues à l’article 17 de la décision END. </w:t>
      </w:r>
    </w:p>
    <w:p w14:paraId="58EAEF9C" w14:textId="2137133C" w:rsidR="00E21DBD" w:rsidRPr="009A2F00" w:rsidRDefault="009A2F00" w:rsidP="009A2F00">
      <w:r>
        <w:t xml:space="preserve">Toute personne en poste dans une délégation de l’Union européenne doit avoir une habilitation de sécurité [jusqu’au niveau SECRET UE/EU SECRET conformément à la </w:t>
      </w:r>
      <w:hyperlink r:id="rId24" w:history="1">
        <w:r>
          <w:rPr>
            <w:rStyle w:val="Hyperlink"/>
          </w:rPr>
          <w:t>décision (UE, Euratom) 2015/444 de la Commission du 13 mars 2015</w:t>
        </w:r>
      </w:hyperlink>
      <w:r>
        <w:t>].  Il vous appartient de lancer la procédure d’habilitation de sécurité avant d’obtenir la confirmation du détachement.</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sur la manière de postuler. </w:t>
      </w:r>
    </w:p>
    <w:p w14:paraId="01FE2616" w14:textId="3EE6DFF7" w:rsidR="00693BC6" w:rsidRPr="00693BC6" w:rsidRDefault="00693BC6" w:rsidP="00252050">
      <w:pPr>
        <w:keepNext/>
      </w:pPr>
      <w:r>
        <w:t xml:space="preserve">La Commission européenne </w:t>
      </w:r>
      <w:r>
        <w:rPr>
          <w:b/>
          <w:bCs/>
        </w:rPr>
        <w:t>n’accepte que les candidatures soumises par l’intermédiaire de la représentation permanente/mission diplomatique auprès de l’UE de votre pays, du secrétariat de l’AELE ou du ou des canaux auxquels elle a expressément consenti</w:t>
      </w:r>
      <w:r>
        <w:t>. Les demandes reçues directement de votre part ou de votre employeur ne seront pas prises en considération.</w:t>
      </w:r>
    </w:p>
    <w:p w14:paraId="0F7E0F3E" w14:textId="42443FEA" w:rsidR="00B73F08" w:rsidRDefault="00693BC6" w:rsidP="00252050">
      <w:pPr>
        <w:keepNext/>
      </w:pPr>
      <w:r>
        <w:t xml:space="preserve">Vous devez rédiger votre CV en anglais, français ou allemand en utilisant le </w:t>
      </w:r>
      <w:r>
        <w:rPr>
          <w:b/>
          <w:bCs/>
        </w:rPr>
        <w:t>format de CV Europass</w:t>
      </w:r>
      <w:r>
        <w:t xml:space="preserve"> (</w:t>
      </w:r>
      <w:hyperlink r:id="rId25" w:history="1">
        <w:hyperlink r:id="rId26" w:history="1">
          <w:r>
            <w:rPr>
              <w:rStyle w:val="Hyperlink"/>
            </w:rPr>
            <w:t>Créer votre CV Europass | Europass</w:t>
          </w:r>
        </w:hyperlink>
      </w:hyperlink>
      <w:r>
        <w:t>). Il doit mentionner votre nationalité.</w:t>
      </w:r>
    </w:p>
    <w:p w14:paraId="5D1B7045" w14:textId="53BEFD6E" w:rsidR="00E21DBD" w:rsidRPr="00F67B35" w:rsidRDefault="00665583" w:rsidP="009A2F00">
      <w:r>
        <w:t>Veuillez ne pas joindre à votre candidature d’autres documents (tels que copie de carte d’identité, copie des diplômes et attestations d’expérience professionnelle, etc.). Si nécessaire, ces documents vous seront demandés à un stade ultérieur de la procédure de sélection.</w:t>
      </w:r>
    </w:p>
    <w:p w14:paraId="00AF0134" w14:textId="77777777" w:rsidR="00E21DBD" w:rsidRPr="003C24E7" w:rsidRDefault="00E21DBD" w:rsidP="009A2F00">
      <w:pPr>
        <w:rPr>
          <w:lang w:val="fr-BE"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1B120317" w:rsidR="00F93413" w:rsidRDefault="00C75BA4" w:rsidP="007F02AC">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et à la sécurité de ces données. </w:t>
      </w:r>
      <w:bookmarkStart w:id="3" w:name="_Hlk132131276"/>
      <w:r>
        <w:t>Avant de postuler, veuillez lire la déclaration de confidentialité ci-jointe.</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B867406" w:rsidR="00F6462F" w:rsidRDefault="00F4683D">
    <w:pPr>
      <w:pStyle w:val="FooterLine"/>
      <w:jc w:val="center"/>
    </w:pPr>
    <w:r>
      <w:fldChar w:fldCharType="begin"/>
    </w:r>
    <w:r>
      <w:instrText>PAGE   \* MERGEFORMAT</w:instrText>
    </w:r>
    <w:r>
      <w:fldChar w:fldCharType="separate"/>
    </w:r>
    <w:r w:rsidR="0096601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023937584">
    <w:abstractNumId w:val="1"/>
  </w:num>
  <w:num w:numId="2" w16cid:durableId="1382172573">
    <w:abstractNumId w:val="14"/>
  </w:num>
  <w:num w:numId="3" w16cid:durableId="883103387">
    <w:abstractNumId w:val="9"/>
  </w:num>
  <w:num w:numId="4" w16cid:durableId="466702763">
    <w:abstractNumId w:val="15"/>
  </w:num>
  <w:num w:numId="5" w16cid:durableId="2136438766">
    <w:abstractNumId w:val="20"/>
  </w:num>
  <w:num w:numId="6" w16cid:durableId="1181966189">
    <w:abstractNumId w:val="22"/>
  </w:num>
  <w:num w:numId="7" w16cid:durableId="1840387339">
    <w:abstractNumId w:val="2"/>
  </w:num>
  <w:num w:numId="8" w16cid:durableId="788015396">
    <w:abstractNumId w:val="8"/>
  </w:num>
  <w:num w:numId="9" w16cid:durableId="292105057">
    <w:abstractNumId w:val="17"/>
  </w:num>
  <w:num w:numId="10" w16cid:durableId="1181161003">
    <w:abstractNumId w:val="3"/>
  </w:num>
  <w:num w:numId="11" w16cid:durableId="1122501924">
    <w:abstractNumId w:val="5"/>
  </w:num>
  <w:num w:numId="12" w16cid:durableId="1371031220">
    <w:abstractNumId w:val="6"/>
  </w:num>
  <w:num w:numId="13" w16cid:durableId="681518992">
    <w:abstractNumId w:val="10"/>
  </w:num>
  <w:num w:numId="14" w16cid:durableId="1991057380">
    <w:abstractNumId w:val="16"/>
  </w:num>
  <w:num w:numId="15" w16cid:durableId="471141293">
    <w:abstractNumId w:val="19"/>
  </w:num>
  <w:num w:numId="16" w16cid:durableId="1100834306">
    <w:abstractNumId w:val="23"/>
  </w:num>
  <w:num w:numId="17" w16cid:durableId="689643764">
    <w:abstractNumId w:val="11"/>
  </w:num>
  <w:num w:numId="18" w16cid:durableId="1750078083">
    <w:abstractNumId w:val="12"/>
  </w:num>
  <w:num w:numId="19" w16cid:durableId="260065112">
    <w:abstractNumId w:val="24"/>
  </w:num>
  <w:num w:numId="20" w16cid:durableId="1558589010">
    <w:abstractNumId w:val="18"/>
  </w:num>
  <w:num w:numId="21" w16cid:durableId="1238662350">
    <w:abstractNumId w:val="21"/>
  </w:num>
  <w:num w:numId="22" w16cid:durableId="646514961">
    <w:abstractNumId w:val="4"/>
  </w:num>
  <w:num w:numId="23" w16cid:durableId="1503624372">
    <w:abstractNumId w:val="7"/>
  </w:num>
  <w:num w:numId="24" w16cid:durableId="1340697506">
    <w:abstractNumId w:val="13"/>
  </w:num>
  <w:num w:numId="25" w16cid:durableId="1779836437">
    <w:abstractNumId w:val="3"/>
  </w:num>
  <w:num w:numId="26" w16cid:durableId="801537954">
    <w:abstractNumId w:val="3"/>
  </w:num>
  <w:num w:numId="27" w16cid:durableId="84543855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994838618">
    <w:abstractNumId w:val="3"/>
  </w:num>
  <w:num w:numId="29" w16cid:durableId="1003701159">
    <w:abstractNumId w:val="3"/>
  </w:num>
  <w:num w:numId="30" w16cid:durableId="1192837468">
    <w:abstractNumId w:val="3"/>
  </w:num>
  <w:num w:numId="31" w16cid:durableId="357588856">
    <w:abstractNumId w:val="3"/>
  </w:num>
  <w:num w:numId="32" w16cid:durableId="499279007">
    <w:abstractNumId w:val="3"/>
  </w:num>
  <w:num w:numId="33" w16cid:durableId="850022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06827"/>
    <w:rsid w:val="00012665"/>
    <w:rsid w:val="0007110E"/>
    <w:rsid w:val="0007544E"/>
    <w:rsid w:val="00092BCA"/>
    <w:rsid w:val="000A4668"/>
    <w:rsid w:val="000D129C"/>
    <w:rsid w:val="000F371B"/>
    <w:rsid w:val="000F4167"/>
    <w:rsid w:val="000F4CD5"/>
    <w:rsid w:val="00111AB6"/>
    <w:rsid w:val="001C1B0A"/>
    <w:rsid w:val="001D0A81"/>
    <w:rsid w:val="002109E6"/>
    <w:rsid w:val="00252050"/>
    <w:rsid w:val="002B3CBF"/>
    <w:rsid w:val="002C49D0"/>
    <w:rsid w:val="002E40A9"/>
    <w:rsid w:val="00394447"/>
    <w:rsid w:val="003C24E7"/>
    <w:rsid w:val="003E50A4"/>
    <w:rsid w:val="0040388A"/>
    <w:rsid w:val="00431778"/>
    <w:rsid w:val="00454CC7"/>
    <w:rsid w:val="00476034"/>
    <w:rsid w:val="004E4669"/>
    <w:rsid w:val="005168AD"/>
    <w:rsid w:val="0058240F"/>
    <w:rsid w:val="00592CD5"/>
    <w:rsid w:val="005D1B85"/>
    <w:rsid w:val="00665583"/>
    <w:rsid w:val="00693BC6"/>
    <w:rsid w:val="00696070"/>
    <w:rsid w:val="007E531E"/>
    <w:rsid w:val="007F02AC"/>
    <w:rsid w:val="007F7012"/>
    <w:rsid w:val="00850515"/>
    <w:rsid w:val="008D02B7"/>
    <w:rsid w:val="008F0B52"/>
    <w:rsid w:val="008F4BA9"/>
    <w:rsid w:val="009302B3"/>
    <w:rsid w:val="00966017"/>
    <w:rsid w:val="00994062"/>
    <w:rsid w:val="00996CC6"/>
    <w:rsid w:val="009A1EA0"/>
    <w:rsid w:val="009A2F00"/>
    <w:rsid w:val="009C5E27"/>
    <w:rsid w:val="00A033AD"/>
    <w:rsid w:val="00AB2CEA"/>
    <w:rsid w:val="00AB4751"/>
    <w:rsid w:val="00AF6424"/>
    <w:rsid w:val="00B24CC5"/>
    <w:rsid w:val="00B3644B"/>
    <w:rsid w:val="00B65513"/>
    <w:rsid w:val="00B73F08"/>
    <w:rsid w:val="00B8014C"/>
    <w:rsid w:val="00C03627"/>
    <w:rsid w:val="00C06724"/>
    <w:rsid w:val="00C3254D"/>
    <w:rsid w:val="00C367F3"/>
    <w:rsid w:val="00C504C7"/>
    <w:rsid w:val="00C52CC8"/>
    <w:rsid w:val="00C75BA4"/>
    <w:rsid w:val="00CB5B61"/>
    <w:rsid w:val="00CD2C5A"/>
    <w:rsid w:val="00D03CF4"/>
    <w:rsid w:val="00D33E38"/>
    <w:rsid w:val="00D7090C"/>
    <w:rsid w:val="00D84D53"/>
    <w:rsid w:val="00D96984"/>
    <w:rsid w:val="00DD41ED"/>
    <w:rsid w:val="00DF1E49"/>
    <w:rsid w:val="00DF7163"/>
    <w:rsid w:val="00E21DBD"/>
    <w:rsid w:val="00E342CB"/>
    <w:rsid w:val="00E41704"/>
    <w:rsid w:val="00E44D7F"/>
    <w:rsid w:val="00E82667"/>
    <w:rsid w:val="00EB3147"/>
    <w:rsid w:val="00ED2128"/>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fr/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FR/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46613984">
    <w:abstractNumId w:val="0"/>
  </w:num>
  <w:num w:numId="2" w16cid:durableId="22245271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97BCCA7B-EF28-43D4-AD77-5943AB631113}">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1230</Words>
  <Characters>7679</Characters>
  <Application>Microsoft Office Word</Application>
  <DocSecurity>4</DocSecurity>
  <PresentationFormat>Microsoft Word 14.0</PresentationFormat>
  <Lines>319</Lines>
  <Paragraphs>141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2023-07-05T11:33:00Z</dcterms:created>
  <dcterms:modified xsi:type="dcterms:W3CDTF">2023-07-05T11:33:00Z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