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B1F58" w14:textId="77777777" w:rsidR="006B1C4C" w:rsidRPr="000D7C5A" w:rsidRDefault="00FB4762">
      <w:pPr>
        <w:spacing w:after="0" w:line="259" w:lineRule="auto"/>
        <w:ind w:left="0" w:firstLine="0"/>
        <w:jc w:val="center"/>
        <w:rPr>
          <w:lang w:val="fr-BE"/>
        </w:rPr>
      </w:pPr>
      <w:r>
        <w:rPr>
          <w:noProof/>
        </w:rPr>
        <w:drawing>
          <wp:anchor distT="0" distB="0" distL="114300" distR="114300" simplePos="0" relativeHeight="251658240" behindDoc="0" locked="0" layoutInCell="1" allowOverlap="0" wp14:anchorId="4609BF8B" wp14:editId="7F060A83">
            <wp:simplePos x="0" y="0"/>
            <wp:positionH relativeFrom="column">
              <wp:posOffset>76</wp:posOffset>
            </wp:positionH>
            <wp:positionV relativeFrom="paragraph">
              <wp:posOffset>-59282</wp:posOffset>
            </wp:positionV>
            <wp:extent cx="1370584" cy="676275"/>
            <wp:effectExtent l="0" t="0" r="0" b="0"/>
            <wp:wrapSquare wrapText="bothSides"/>
            <wp:docPr id="243" name="Picture 243"/>
            <wp:cNvGraphicFramePr/>
            <a:graphic xmlns:a="http://schemas.openxmlformats.org/drawingml/2006/main">
              <a:graphicData uri="http://schemas.openxmlformats.org/drawingml/2006/picture">
                <pic:pic xmlns:pic="http://schemas.openxmlformats.org/drawingml/2006/picture">
                  <pic:nvPicPr>
                    <pic:cNvPr id="243" name="Picture 243"/>
                    <pic:cNvPicPr/>
                  </pic:nvPicPr>
                  <pic:blipFill>
                    <a:blip r:embed="rId7"/>
                    <a:stretch>
                      <a:fillRect/>
                    </a:stretch>
                  </pic:blipFill>
                  <pic:spPr>
                    <a:xfrm>
                      <a:off x="0" y="0"/>
                      <a:ext cx="1370584" cy="676275"/>
                    </a:xfrm>
                    <a:prstGeom prst="rect">
                      <a:avLst/>
                    </a:prstGeom>
                  </pic:spPr>
                </pic:pic>
              </a:graphicData>
            </a:graphic>
          </wp:anchor>
        </w:drawing>
      </w:r>
      <w:r w:rsidRPr="000D7C5A">
        <w:rPr>
          <w:lang w:val="fr-BE"/>
        </w:rPr>
        <w:t xml:space="preserve">COMMISSION EUROPÉENNE </w:t>
      </w:r>
    </w:p>
    <w:p w14:paraId="06EE4AB7" w14:textId="77777777" w:rsidR="006B1C4C" w:rsidRPr="000D7C5A" w:rsidRDefault="00FB4762">
      <w:pPr>
        <w:spacing w:after="0" w:line="259" w:lineRule="auto"/>
        <w:ind w:left="0" w:right="0" w:firstLine="0"/>
        <w:jc w:val="left"/>
        <w:rPr>
          <w:lang w:val="fr-BE"/>
        </w:rPr>
      </w:pPr>
      <w:r w:rsidRPr="000D7C5A">
        <w:rPr>
          <w:sz w:val="16"/>
          <w:lang w:val="fr-BE"/>
        </w:rPr>
        <w:t xml:space="preserve">      </w:t>
      </w:r>
    </w:p>
    <w:p w14:paraId="7EB4F67D" w14:textId="77777777" w:rsidR="006B1C4C" w:rsidRPr="000D7C5A" w:rsidRDefault="00FB4762">
      <w:pPr>
        <w:spacing w:after="0" w:line="259" w:lineRule="auto"/>
        <w:ind w:left="0" w:right="0" w:firstLine="0"/>
        <w:jc w:val="left"/>
        <w:rPr>
          <w:lang w:val="fr-BE"/>
        </w:rPr>
      </w:pPr>
      <w:r w:rsidRPr="000D7C5A">
        <w:rPr>
          <w:sz w:val="16"/>
          <w:lang w:val="fr-BE"/>
        </w:rPr>
        <w:t xml:space="preserve">      </w:t>
      </w:r>
    </w:p>
    <w:p w14:paraId="7F611976" w14:textId="77777777" w:rsidR="006B1C4C" w:rsidRPr="000D7C5A" w:rsidRDefault="00FB4762">
      <w:pPr>
        <w:spacing w:after="973" w:line="216" w:lineRule="auto"/>
        <w:ind w:left="0" w:right="5983" w:firstLine="0"/>
        <w:jc w:val="left"/>
        <w:rPr>
          <w:lang w:val="fr-BE"/>
        </w:rPr>
      </w:pPr>
      <w:r w:rsidRPr="000D7C5A">
        <w:rPr>
          <w:sz w:val="16"/>
          <w:lang w:val="fr-BE"/>
        </w:rPr>
        <w:t xml:space="preserve">      </w:t>
      </w:r>
      <w:r w:rsidRPr="000D7C5A">
        <w:rPr>
          <w:lang w:val="fr-BE"/>
        </w:rPr>
        <w:t xml:space="preserve"> </w:t>
      </w:r>
      <w:r w:rsidRPr="000D7C5A">
        <w:rPr>
          <w:lang w:val="fr-BE"/>
        </w:rPr>
        <w:tab/>
      </w:r>
      <w:r w:rsidRPr="000D7C5A">
        <w:rPr>
          <w:b/>
          <w:sz w:val="16"/>
          <w:lang w:val="fr-BE"/>
        </w:rPr>
        <w:t xml:space="preserve">      </w:t>
      </w:r>
    </w:p>
    <w:p w14:paraId="4B1AAE0A" w14:textId="77777777" w:rsidR="006B1C4C" w:rsidRPr="000D7C5A" w:rsidRDefault="00FB4762">
      <w:pPr>
        <w:spacing w:after="308" w:line="259" w:lineRule="auto"/>
        <w:ind w:left="0" w:right="6" w:firstLine="0"/>
        <w:jc w:val="center"/>
        <w:rPr>
          <w:lang w:val="fr-BE"/>
        </w:rPr>
      </w:pPr>
      <w:r w:rsidRPr="000D7C5A">
        <w:rPr>
          <w:b/>
          <w:lang w:val="fr-BE"/>
        </w:rPr>
        <w:t>AVIS</w:t>
      </w:r>
      <w:r w:rsidRPr="000D7C5A">
        <w:rPr>
          <w:b/>
          <w:sz w:val="19"/>
          <w:lang w:val="fr-BE"/>
        </w:rPr>
        <w:t xml:space="preserve"> </w:t>
      </w:r>
      <w:r w:rsidRPr="000D7C5A">
        <w:rPr>
          <w:b/>
          <w:lang w:val="fr-BE"/>
        </w:rPr>
        <w:t>DE</w:t>
      </w:r>
      <w:r w:rsidRPr="000D7C5A">
        <w:rPr>
          <w:b/>
          <w:sz w:val="19"/>
          <w:lang w:val="fr-BE"/>
        </w:rPr>
        <w:t xml:space="preserve"> </w:t>
      </w:r>
      <w:r w:rsidRPr="000D7C5A">
        <w:rPr>
          <w:b/>
          <w:lang w:val="fr-BE"/>
        </w:rPr>
        <w:t>VACANCE</w:t>
      </w:r>
      <w:r w:rsidRPr="000D7C5A">
        <w:rPr>
          <w:b/>
          <w:sz w:val="19"/>
          <w:lang w:val="fr-BE"/>
        </w:rPr>
        <w:t xml:space="preserve"> </w:t>
      </w:r>
      <w:r w:rsidRPr="000D7C5A">
        <w:rPr>
          <w:b/>
          <w:lang w:val="fr-BE"/>
        </w:rPr>
        <w:t>POUR</w:t>
      </w:r>
      <w:r w:rsidRPr="000D7C5A">
        <w:rPr>
          <w:b/>
          <w:sz w:val="19"/>
          <w:lang w:val="fr-BE"/>
        </w:rPr>
        <w:t xml:space="preserve"> </w:t>
      </w:r>
      <w:r w:rsidRPr="000D7C5A">
        <w:rPr>
          <w:b/>
          <w:lang w:val="fr-BE"/>
        </w:rPr>
        <w:t>UN</w:t>
      </w:r>
      <w:r w:rsidRPr="000D7C5A">
        <w:rPr>
          <w:b/>
          <w:sz w:val="19"/>
          <w:lang w:val="fr-BE"/>
        </w:rPr>
        <w:t xml:space="preserve"> </w:t>
      </w:r>
      <w:r w:rsidRPr="000D7C5A">
        <w:rPr>
          <w:b/>
          <w:lang w:val="fr-BE"/>
        </w:rPr>
        <w:t>POSTE</w:t>
      </w:r>
      <w:r w:rsidRPr="000D7C5A">
        <w:rPr>
          <w:b/>
          <w:sz w:val="19"/>
          <w:lang w:val="fr-BE"/>
        </w:rPr>
        <w:t xml:space="preserve"> </w:t>
      </w:r>
      <w:r w:rsidRPr="000D7C5A">
        <w:rPr>
          <w:b/>
          <w:lang w:val="fr-BE"/>
        </w:rPr>
        <w:t>D’EXPERT</w:t>
      </w:r>
      <w:r w:rsidRPr="000D7C5A">
        <w:rPr>
          <w:b/>
          <w:sz w:val="19"/>
          <w:lang w:val="fr-BE"/>
        </w:rPr>
        <w:t xml:space="preserve"> </w:t>
      </w:r>
      <w:r w:rsidRPr="000D7C5A">
        <w:rPr>
          <w:b/>
          <w:lang w:val="fr-BE"/>
        </w:rPr>
        <w:t>NATIONAL</w:t>
      </w:r>
      <w:r w:rsidRPr="000D7C5A">
        <w:rPr>
          <w:b/>
          <w:sz w:val="19"/>
          <w:lang w:val="fr-BE"/>
        </w:rPr>
        <w:t xml:space="preserve"> </w:t>
      </w:r>
      <w:r w:rsidRPr="000D7C5A">
        <w:rPr>
          <w:b/>
          <w:lang w:val="fr-BE"/>
        </w:rPr>
        <w:t xml:space="preserve">DÉTACHÉ </w:t>
      </w:r>
    </w:p>
    <w:tbl>
      <w:tblPr>
        <w:tblStyle w:val="TableGrid"/>
        <w:tblW w:w="8606" w:type="dxa"/>
        <w:tblInd w:w="7" w:type="dxa"/>
        <w:tblCellMar>
          <w:bottom w:w="13" w:type="dxa"/>
        </w:tblCellMar>
        <w:tblLook w:val="04A0" w:firstRow="1" w:lastRow="0" w:firstColumn="1" w:lastColumn="0" w:noHBand="0" w:noVBand="1"/>
      </w:tblPr>
      <w:tblGrid>
        <w:gridCol w:w="3540"/>
        <w:gridCol w:w="5440"/>
      </w:tblGrid>
      <w:tr w:rsidR="006B1C4C" w:rsidRPr="009C741A" w14:paraId="4E596E3A" w14:textId="77777777">
        <w:trPr>
          <w:trHeight w:val="806"/>
        </w:trPr>
        <w:tc>
          <w:tcPr>
            <w:tcW w:w="3113" w:type="dxa"/>
            <w:tcBorders>
              <w:top w:val="single" w:sz="6" w:space="0" w:color="000000"/>
              <w:left w:val="single" w:sz="6" w:space="0" w:color="000000"/>
              <w:bottom w:val="single" w:sz="6" w:space="0" w:color="000000"/>
              <w:right w:val="single" w:sz="6" w:space="0" w:color="000000"/>
            </w:tcBorders>
          </w:tcPr>
          <w:p w14:paraId="59939E4E" w14:textId="77777777" w:rsidR="006B1C4C" w:rsidRDefault="00FB4762">
            <w:pPr>
              <w:spacing w:after="0" w:line="259" w:lineRule="auto"/>
              <w:ind w:left="110" w:right="0" w:firstLine="0"/>
              <w:jc w:val="left"/>
            </w:pPr>
            <w:r>
              <w:t xml:space="preserve">DG – Direction – </w:t>
            </w:r>
            <w:proofErr w:type="spellStart"/>
            <w:r>
              <w:t>Unité</w:t>
            </w:r>
            <w:proofErr w:type="spellEnd"/>
            <w:r>
              <w:t xml:space="preserve"> </w:t>
            </w:r>
          </w:p>
        </w:tc>
        <w:tc>
          <w:tcPr>
            <w:tcW w:w="5492" w:type="dxa"/>
            <w:tcBorders>
              <w:top w:val="single" w:sz="6" w:space="0" w:color="000000"/>
              <w:left w:val="single" w:sz="6" w:space="0" w:color="000000"/>
              <w:bottom w:val="single" w:sz="6" w:space="0" w:color="000000"/>
              <w:right w:val="single" w:sz="6" w:space="0" w:color="000000"/>
            </w:tcBorders>
          </w:tcPr>
          <w:p w14:paraId="0F2D0D07" w14:textId="77777777" w:rsidR="006B1C4C" w:rsidRPr="000D7C5A" w:rsidRDefault="00FB4762">
            <w:pPr>
              <w:spacing w:after="0" w:line="259" w:lineRule="auto"/>
              <w:ind w:left="108" w:right="0" w:firstLine="0"/>
              <w:jc w:val="left"/>
              <w:rPr>
                <w:lang w:val="fr-BE"/>
              </w:rPr>
            </w:pPr>
            <w:r w:rsidRPr="000D7C5A">
              <w:rPr>
                <w:lang w:val="fr-BE"/>
              </w:rPr>
              <w:t xml:space="preserve">ENER – </w:t>
            </w:r>
            <w:proofErr w:type="spellStart"/>
            <w:r w:rsidRPr="000D7C5A">
              <w:rPr>
                <w:lang w:val="fr-BE"/>
              </w:rPr>
              <w:t>Task</w:t>
            </w:r>
            <w:proofErr w:type="spellEnd"/>
            <w:r w:rsidRPr="000D7C5A">
              <w:rPr>
                <w:lang w:val="fr-BE"/>
              </w:rPr>
              <w:t xml:space="preserve"> Force – Unité en charge des relations internationales </w:t>
            </w:r>
          </w:p>
        </w:tc>
      </w:tr>
      <w:tr w:rsidR="006B1C4C" w14:paraId="64AA637F" w14:textId="77777777">
        <w:trPr>
          <w:trHeight w:val="531"/>
        </w:trPr>
        <w:tc>
          <w:tcPr>
            <w:tcW w:w="3113" w:type="dxa"/>
            <w:tcBorders>
              <w:top w:val="single" w:sz="6" w:space="0" w:color="000000"/>
              <w:left w:val="single" w:sz="6" w:space="0" w:color="000000"/>
              <w:bottom w:val="single" w:sz="6" w:space="0" w:color="000000"/>
              <w:right w:val="single" w:sz="6" w:space="0" w:color="000000"/>
            </w:tcBorders>
          </w:tcPr>
          <w:p w14:paraId="57E6991C" w14:textId="77777777" w:rsidR="006B1C4C" w:rsidRDefault="00FB4762">
            <w:pPr>
              <w:spacing w:after="0" w:line="259" w:lineRule="auto"/>
              <w:ind w:left="110" w:right="0" w:firstLine="0"/>
              <w:jc w:val="left"/>
            </w:pPr>
            <w:proofErr w:type="spellStart"/>
            <w:r>
              <w:t>Numéro</w:t>
            </w:r>
            <w:proofErr w:type="spellEnd"/>
            <w:r>
              <w:t xml:space="preserve"> de poste Sysper: </w:t>
            </w:r>
          </w:p>
        </w:tc>
        <w:tc>
          <w:tcPr>
            <w:tcW w:w="5492" w:type="dxa"/>
            <w:tcBorders>
              <w:top w:val="single" w:sz="6" w:space="0" w:color="000000"/>
              <w:left w:val="single" w:sz="6" w:space="0" w:color="000000"/>
              <w:bottom w:val="single" w:sz="6" w:space="0" w:color="000000"/>
              <w:right w:val="single" w:sz="6" w:space="0" w:color="000000"/>
            </w:tcBorders>
          </w:tcPr>
          <w:p w14:paraId="448CB28B" w14:textId="77777777" w:rsidR="006B1C4C" w:rsidRDefault="00FB4762">
            <w:pPr>
              <w:spacing w:after="0" w:line="259" w:lineRule="auto"/>
              <w:ind w:left="108" w:right="0" w:firstLine="0"/>
              <w:jc w:val="left"/>
            </w:pPr>
            <w:r>
              <w:t xml:space="preserve">366873 </w:t>
            </w:r>
          </w:p>
        </w:tc>
      </w:tr>
      <w:tr w:rsidR="006B1C4C" w14:paraId="41043C8E" w14:textId="77777777">
        <w:trPr>
          <w:trHeight w:val="1946"/>
        </w:trPr>
        <w:tc>
          <w:tcPr>
            <w:tcW w:w="3113" w:type="dxa"/>
            <w:tcBorders>
              <w:top w:val="single" w:sz="6" w:space="0" w:color="000000"/>
              <w:left w:val="single" w:sz="6" w:space="0" w:color="000000"/>
              <w:bottom w:val="single" w:sz="6" w:space="0" w:color="000000"/>
              <w:right w:val="single" w:sz="6" w:space="0" w:color="000000"/>
            </w:tcBorders>
          </w:tcPr>
          <w:p w14:paraId="77B7F9A4" w14:textId="77777777" w:rsidR="006B1C4C" w:rsidRPr="000D7C5A" w:rsidRDefault="00FB4762">
            <w:pPr>
              <w:spacing w:after="0" w:line="259" w:lineRule="auto"/>
              <w:ind w:left="110" w:right="0" w:firstLine="0"/>
              <w:jc w:val="left"/>
              <w:rPr>
                <w:lang w:val="fr-BE"/>
              </w:rPr>
            </w:pPr>
            <w:r w:rsidRPr="000D7C5A">
              <w:rPr>
                <w:lang w:val="fr-BE"/>
              </w:rPr>
              <w:t xml:space="preserve">Personne de contact: </w:t>
            </w:r>
          </w:p>
          <w:p w14:paraId="67F1081B" w14:textId="77777777" w:rsidR="006B1C4C" w:rsidRPr="000D7C5A" w:rsidRDefault="00FB4762">
            <w:pPr>
              <w:spacing w:after="0" w:line="259" w:lineRule="auto"/>
              <w:ind w:left="110" w:right="0" w:firstLine="0"/>
              <w:jc w:val="left"/>
              <w:rPr>
                <w:lang w:val="fr-BE"/>
              </w:rPr>
            </w:pPr>
            <w:r w:rsidRPr="000D7C5A">
              <w:rPr>
                <w:lang w:val="fr-BE"/>
              </w:rPr>
              <w:t xml:space="preserve"> </w:t>
            </w:r>
          </w:p>
          <w:p w14:paraId="24D0D3A5" w14:textId="77777777" w:rsidR="006B1C4C" w:rsidRPr="000D7C5A" w:rsidRDefault="00FB4762">
            <w:pPr>
              <w:spacing w:after="0" w:line="259" w:lineRule="auto"/>
              <w:ind w:left="110" w:right="0" w:firstLine="0"/>
              <w:jc w:val="left"/>
              <w:rPr>
                <w:lang w:val="fr-BE"/>
              </w:rPr>
            </w:pPr>
            <w:r w:rsidRPr="000D7C5A">
              <w:rPr>
                <w:lang w:val="fr-BE"/>
              </w:rPr>
              <w:t xml:space="preserve">Prise de fonctions souhaitée: </w:t>
            </w:r>
          </w:p>
          <w:p w14:paraId="7A5420A1" w14:textId="77777777" w:rsidR="006B1C4C" w:rsidRPr="000D7C5A" w:rsidRDefault="00FB4762">
            <w:pPr>
              <w:spacing w:after="0" w:line="259" w:lineRule="auto"/>
              <w:ind w:left="110" w:right="0" w:firstLine="0"/>
              <w:jc w:val="left"/>
              <w:rPr>
                <w:lang w:val="fr-BE"/>
              </w:rPr>
            </w:pPr>
            <w:r w:rsidRPr="000D7C5A">
              <w:rPr>
                <w:lang w:val="fr-BE"/>
              </w:rPr>
              <w:t xml:space="preserve">Durée initiale: </w:t>
            </w:r>
          </w:p>
          <w:p w14:paraId="0874A977" w14:textId="77777777" w:rsidR="006B1C4C" w:rsidRPr="000D7C5A" w:rsidRDefault="00FB4762">
            <w:pPr>
              <w:spacing w:after="0" w:line="259" w:lineRule="auto"/>
              <w:ind w:left="110" w:right="0" w:firstLine="0"/>
              <w:jc w:val="left"/>
              <w:rPr>
                <w:lang w:val="fr-BE"/>
              </w:rPr>
            </w:pPr>
            <w:r w:rsidRPr="000D7C5A">
              <w:rPr>
                <w:lang w:val="fr-BE"/>
              </w:rPr>
              <w:t xml:space="preserve">Lieu de détachement: </w:t>
            </w:r>
          </w:p>
        </w:tc>
        <w:tc>
          <w:tcPr>
            <w:tcW w:w="5492" w:type="dxa"/>
            <w:tcBorders>
              <w:top w:val="single" w:sz="6" w:space="0" w:color="000000"/>
              <w:left w:val="single" w:sz="6" w:space="0" w:color="000000"/>
              <w:bottom w:val="single" w:sz="6" w:space="0" w:color="000000"/>
              <w:right w:val="single" w:sz="6" w:space="0" w:color="000000"/>
            </w:tcBorders>
          </w:tcPr>
          <w:p w14:paraId="7E960023" w14:textId="77777777" w:rsidR="006B1C4C" w:rsidRDefault="00FB4762">
            <w:pPr>
              <w:spacing w:after="220" w:line="259" w:lineRule="auto"/>
              <w:ind w:left="108" w:right="0" w:firstLine="0"/>
              <w:jc w:val="left"/>
            </w:pPr>
            <w:r>
              <w:t xml:space="preserve">Isaac Valero, Head of Unit TF3 </w:t>
            </w:r>
          </w:p>
          <w:p w14:paraId="5B902A9C" w14:textId="3BCE559A" w:rsidR="006B1C4C" w:rsidRDefault="00FB4762">
            <w:pPr>
              <w:spacing w:after="0" w:line="259" w:lineRule="auto"/>
              <w:ind w:left="108" w:right="0" w:firstLine="0"/>
              <w:jc w:val="left"/>
            </w:pPr>
            <w:r>
              <w:t>4</w:t>
            </w:r>
            <w:r>
              <w:rPr>
                <w:vertAlign w:val="superscript"/>
              </w:rPr>
              <w:t>ème</w:t>
            </w:r>
            <w:r>
              <w:t xml:space="preserve"> </w:t>
            </w:r>
            <w:proofErr w:type="gramStart"/>
            <w:r>
              <w:t>quart  2023</w:t>
            </w:r>
            <w:proofErr w:type="gramEnd"/>
            <w:r>
              <w:t xml:space="preserve"> </w:t>
            </w:r>
          </w:p>
          <w:p w14:paraId="44BF9217" w14:textId="77777777" w:rsidR="006B1C4C" w:rsidRDefault="00FB4762">
            <w:pPr>
              <w:spacing w:after="1" w:line="259" w:lineRule="auto"/>
              <w:ind w:left="108" w:right="0" w:firstLine="0"/>
              <w:jc w:val="left"/>
            </w:pPr>
            <w:r>
              <w:t xml:space="preserve">3 </w:t>
            </w:r>
            <w:proofErr w:type="spellStart"/>
            <w:r>
              <w:t>années</w:t>
            </w:r>
            <w:proofErr w:type="spellEnd"/>
            <w:r>
              <w:t xml:space="preserve"> </w:t>
            </w:r>
          </w:p>
          <w:p w14:paraId="04545A05" w14:textId="77777777" w:rsidR="006B1C4C" w:rsidRDefault="00FB4762">
            <w:pPr>
              <w:spacing w:after="0" w:line="251" w:lineRule="auto"/>
              <w:ind w:left="108" w:right="0" w:firstLine="0"/>
            </w:pPr>
            <w:r>
              <w:rPr>
                <w:rFonts w:ascii="MS Gothic" w:eastAsia="MS Gothic" w:hAnsi="MS Gothic" w:cs="MS Gothic"/>
              </w:rPr>
              <w:t>☒</w:t>
            </w:r>
            <w:r>
              <w:t xml:space="preserve"> </w:t>
            </w:r>
            <w:proofErr w:type="spellStart"/>
            <w:r>
              <w:t>Bruxelles</w:t>
            </w:r>
            <w:proofErr w:type="spellEnd"/>
            <w:r>
              <w:t xml:space="preserve">   </w:t>
            </w:r>
            <w:r>
              <w:rPr>
                <w:rFonts w:ascii="MS Gothic" w:eastAsia="MS Gothic" w:hAnsi="MS Gothic" w:cs="MS Gothic"/>
              </w:rPr>
              <w:t>☐</w:t>
            </w:r>
            <w:r>
              <w:t xml:space="preserve"> Luxembourg   </w:t>
            </w:r>
            <w:r>
              <w:rPr>
                <w:rFonts w:ascii="MS Gothic" w:eastAsia="MS Gothic" w:hAnsi="MS Gothic" w:cs="MS Gothic"/>
              </w:rPr>
              <w:t>☐</w:t>
            </w:r>
            <w:r>
              <w:t xml:space="preserve"> </w:t>
            </w:r>
            <w:proofErr w:type="spellStart"/>
            <w:r>
              <w:t>Autre</w:t>
            </w:r>
            <w:proofErr w:type="spellEnd"/>
            <w:r>
              <w:t xml:space="preserve">: </w:t>
            </w:r>
            <w:r>
              <w:rPr>
                <w:color w:val="288061"/>
              </w:rPr>
              <w:t>Click or tap here to enter text.</w:t>
            </w:r>
            <w:r>
              <w:t xml:space="preserve"> </w:t>
            </w:r>
          </w:p>
          <w:p w14:paraId="330E273E" w14:textId="77777777" w:rsidR="006B1C4C" w:rsidRDefault="00FB4762">
            <w:pPr>
              <w:spacing w:after="0" w:line="259" w:lineRule="auto"/>
              <w:ind w:left="108" w:right="0" w:firstLine="0"/>
              <w:jc w:val="left"/>
            </w:pPr>
            <w:r>
              <w:t xml:space="preserve"> </w:t>
            </w:r>
          </w:p>
        </w:tc>
      </w:tr>
      <w:tr w:rsidR="006B1C4C" w14:paraId="0317CD87" w14:textId="77777777">
        <w:trPr>
          <w:trHeight w:val="811"/>
        </w:trPr>
        <w:tc>
          <w:tcPr>
            <w:tcW w:w="3113" w:type="dxa"/>
            <w:tcBorders>
              <w:top w:val="single" w:sz="6" w:space="0" w:color="000000"/>
              <w:left w:val="single" w:sz="6" w:space="0" w:color="000000"/>
              <w:bottom w:val="single" w:sz="6" w:space="0" w:color="000000"/>
              <w:right w:val="single" w:sz="6" w:space="0" w:color="000000"/>
            </w:tcBorders>
          </w:tcPr>
          <w:p w14:paraId="5A93F4EB" w14:textId="77777777" w:rsidR="006B1C4C" w:rsidRDefault="00FB4762">
            <w:pPr>
              <w:spacing w:after="0" w:line="259" w:lineRule="auto"/>
              <w:ind w:left="110" w:right="0" w:firstLine="0"/>
              <w:jc w:val="left"/>
            </w:pPr>
            <w:r>
              <w:t xml:space="preserve">Type de </w:t>
            </w:r>
            <w:proofErr w:type="spellStart"/>
            <w:r>
              <w:t>détachement</w:t>
            </w:r>
            <w:proofErr w:type="spellEnd"/>
            <w:r>
              <w:t xml:space="preserve"> </w:t>
            </w:r>
          </w:p>
        </w:tc>
        <w:tc>
          <w:tcPr>
            <w:tcW w:w="5492" w:type="dxa"/>
            <w:tcBorders>
              <w:top w:val="single" w:sz="6" w:space="0" w:color="000000"/>
              <w:left w:val="single" w:sz="6" w:space="0" w:color="000000"/>
              <w:bottom w:val="single" w:sz="6" w:space="0" w:color="000000"/>
              <w:right w:val="single" w:sz="6" w:space="0" w:color="000000"/>
            </w:tcBorders>
            <w:vAlign w:val="bottom"/>
          </w:tcPr>
          <w:p w14:paraId="7927B355" w14:textId="77777777" w:rsidR="006B1C4C" w:rsidRDefault="00FB4762">
            <w:pPr>
              <w:spacing w:after="0" w:line="259" w:lineRule="auto"/>
              <w:ind w:left="108" w:right="0" w:firstLine="0"/>
              <w:jc w:val="left"/>
            </w:pPr>
            <w:r>
              <w:rPr>
                <w:rFonts w:ascii="Calibri" w:eastAsia="Calibri" w:hAnsi="Calibri" w:cs="Calibri"/>
                <w:noProof/>
                <w:sz w:val="22"/>
              </w:rPr>
              <mc:AlternateContent>
                <mc:Choice Requires="wpg">
                  <w:drawing>
                    <wp:inline distT="0" distB="0" distL="0" distR="0" wp14:anchorId="25CE4DAF" wp14:editId="7687036B">
                      <wp:extent cx="2743200" cy="275590"/>
                      <wp:effectExtent l="0" t="0" r="0" b="0"/>
                      <wp:docPr id="5950" name="Group 5950"/>
                      <wp:cNvGraphicFramePr/>
                      <a:graphic xmlns:a="http://schemas.openxmlformats.org/drawingml/2006/main">
                        <a:graphicData uri="http://schemas.microsoft.com/office/word/2010/wordprocessingGroup">
                          <wpg:wgp>
                            <wpg:cNvGrpSpPr/>
                            <wpg:grpSpPr>
                              <a:xfrm>
                                <a:off x="0" y="0"/>
                                <a:ext cx="2743200" cy="275590"/>
                                <a:chOff x="0" y="0"/>
                                <a:chExt cx="2743200" cy="275590"/>
                              </a:xfrm>
                            </wpg:grpSpPr>
                            <pic:pic xmlns:pic="http://schemas.openxmlformats.org/drawingml/2006/picture">
                              <pic:nvPicPr>
                                <pic:cNvPr id="131" name="Picture 131"/>
                                <pic:cNvPicPr/>
                              </pic:nvPicPr>
                              <pic:blipFill>
                                <a:blip r:embed="rId8"/>
                                <a:stretch>
                                  <a:fillRect/>
                                </a:stretch>
                              </pic:blipFill>
                              <pic:spPr>
                                <a:xfrm>
                                  <a:off x="0" y="0"/>
                                  <a:ext cx="1371600" cy="275590"/>
                                </a:xfrm>
                                <a:prstGeom prst="rect">
                                  <a:avLst/>
                                </a:prstGeom>
                              </pic:spPr>
                            </pic:pic>
                            <pic:pic xmlns:pic="http://schemas.openxmlformats.org/drawingml/2006/picture">
                              <pic:nvPicPr>
                                <pic:cNvPr id="133" name="Picture 133"/>
                                <pic:cNvPicPr/>
                              </pic:nvPicPr>
                              <pic:blipFill>
                                <a:blip r:embed="rId9"/>
                                <a:stretch>
                                  <a:fillRect/>
                                </a:stretch>
                              </pic:blipFill>
                              <pic:spPr>
                                <a:xfrm>
                                  <a:off x="1371600" y="0"/>
                                  <a:ext cx="1371600" cy="275590"/>
                                </a:xfrm>
                                <a:prstGeom prst="rect">
                                  <a:avLst/>
                                </a:prstGeom>
                              </pic:spPr>
                            </pic:pic>
                          </wpg:wgp>
                        </a:graphicData>
                      </a:graphic>
                    </wp:inline>
                  </w:drawing>
                </mc:Choice>
                <mc:Fallback xmlns:a="http://schemas.openxmlformats.org/drawingml/2006/main">
                  <w:pict>
                    <v:group id="Group 5950" style="width:216pt;height:21.7pt;mso-position-horizontal-relative:char;mso-position-vertical-relative:line" coordsize="27432,2755">
                      <v:shape id="Picture 131" style="position:absolute;width:13716;height:2755;left:0;top:0;" filled="f">
                        <v:imagedata r:id="rId10"/>
                      </v:shape>
                      <v:shape id="Picture 133" style="position:absolute;width:13716;height:2755;left:13716;top:0;" filled="f">
                        <v:imagedata r:id="rId11"/>
                      </v:shape>
                    </v:group>
                  </w:pict>
                </mc:Fallback>
              </mc:AlternateContent>
            </w:r>
            <w:r>
              <w:t xml:space="preserve"> </w:t>
            </w:r>
          </w:p>
        </w:tc>
      </w:tr>
      <w:tr w:rsidR="006B1C4C" w14:paraId="1DF97274" w14:textId="77777777">
        <w:trPr>
          <w:trHeight w:val="644"/>
        </w:trPr>
        <w:tc>
          <w:tcPr>
            <w:tcW w:w="3113" w:type="dxa"/>
            <w:tcBorders>
              <w:top w:val="single" w:sz="6" w:space="0" w:color="000000"/>
              <w:left w:val="single" w:sz="6" w:space="0" w:color="000000"/>
              <w:bottom w:val="nil"/>
              <w:right w:val="nil"/>
            </w:tcBorders>
          </w:tcPr>
          <w:p w14:paraId="43345B15" w14:textId="77777777" w:rsidR="006B1C4C" w:rsidRPr="000D7C5A" w:rsidRDefault="00FB4762">
            <w:pPr>
              <w:spacing w:after="0" w:line="259" w:lineRule="auto"/>
              <w:ind w:left="110" w:right="0" w:firstLine="0"/>
              <w:jc w:val="left"/>
              <w:rPr>
                <w:lang w:val="fr-BE"/>
              </w:rPr>
            </w:pPr>
            <w:r w:rsidRPr="000D7C5A">
              <w:rPr>
                <w:lang w:val="fr-BE"/>
              </w:rPr>
              <w:t xml:space="preserve">Cet avis de vacance est ouvert </w:t>
            </w:r>
          </w:p>
        </w:tc>
        <w:tc>
          <w:tcPr>
            <w:tcW w:w="5492" w:type="dxa"/>
            <w:tcBorders>
              <w:top w:val="single" w:sz="6" w:space="0" w:color="000000"/>
              <w:left w:val="nil"/>
              <w:bottom w:val="nil"/>
              <w:right w:val="single" w:sz="6" w:space="0" w:color="000000"/>
            </w:tcBorders>
          </w:tcPr>
          <w:p w14:paraId="4A970075" w14:textId="77777777" w:rsidR="006B1C4C" w:rsidRDefault="00FB4762">
            <w:pPr>
              <w:spacing w:after="0" w:line="259" w:lineRule="auto"/>
              <w:ind w:left="-47" w:right="0" w:firstLine="0"/>
              <w:jc w:val="left"/>
            </w:pPr>
            <w:r>
              <w:t xml:space="preserve">aux: </w:t>
            </w:r>
          </w:p>
        </w:tc>
      </w:tr>
      <w:tr w:rsidR="006B1C4C" w14:paraId="12E8A118" w14:textId="77777777">
        <w:trPr>
          <w:trHeight w:val="1337"/>
        </w:trPr>
        <w:tc>
          <w:tcPr>
            <w:tcW w:w="3113" w:type="dxa"/>
            <w:tcBorders>
              <w:top w:val="nil"/>
              <w:left w:val="single" w:sz="6" w:space="0" w:color="000000"/>
              <w:bottom w:val="nil"/>
              <w:right w:val="nil"/>
            </w:tcBorders>
            <w:vAlign w:val="bottom"/>
          </w:tcPr>
          <w:p w14:paraId="05A89FD7" w14:textId="77777777" w:rsidR="006B1C4C" w:rsidRDefault="00FB4762">
            <w:pPr>
              <w:spacing w:after="49" w:line="259" w:lineRule="auto"/>
              <w:ind w:left="111" w:right="-418" w:firstLine="0"/>
              <w:jc w:val="left"/>
            </w:pPr>
            <w:r>
              <w:rPr>
                <w:noProof/>
              </w:rPr>
              <w:drawing>
                <wp:inline distT="0" distB="0" distL="0" distR="0" wp14:anchorId="349B1FB3" wp14:editId="3E1BEB5F">
                  <wp:extent cx="2171700" cy="276225"/>
                  <wp:effectExtent l="0" t="0" r="0" b="0"/>
                  <wp:docPr id="146" name="Picture 146"/>
                  <wp:cNvGraphicFramePr/>
                  <a:graphic xmlns:a="http://schemas.openxmlformats.org/drawingml/2006/main">
                    <a:graphicData uri="http://schemas.openxmlformats.org/drawingml/2006/picture">
                      <pic:pic xmlns:pic="http://schemas.openxmlformats.org/drawingml/2006/picture">
                        <pic:nvPicPr>
                          <pic:cNvPr id="146" name="Picture 146"/>
                          <pic:cNvPicPr/>
                        </pic:nvPicPr>
                        <pic:blipFill>
                          <a:blip r:embed="rId12"/>
                          <a:stretch>
                            <a:fillRect/>
                          </a:stretch>
                        </pic:blipFill>
                        <pic:spPr>
                          <a:xfrm>
                            <a:off x="0" y="0"/>
                            <a:ext cx="2171700" cy="276225"/>
                          </a:xfrm>
                          <a:prstGeom prst="rect">
                            <a:avLst/>
                          </a:prstGeom>
                        </pic:spPr>
                      </pic:pic>
                    </a:graphicData>
                  </a:graphic>
                </wp:inline>
              </w:drawing>
            </w:r>
          </w:p>
          <w:p w14:paraId="3108AA76" w14:textId="77777777" w:rsidR="006B1C4C" w:rsidRPr="000D7C5A" w:rsidRDefault="00FB4762">
            <w:pPr>
              <w:spacing w:after="120" w:line="259" w:lineRule="auto"/>
              <w:ind w:left="677" w:right="0" w:firstLine="0"/>
              <w:jc w:val="left"/>
              <w:rPr>
                <w:lang w:val="fr-BE"/>
              </w:rPr>
            </w:pPr>
            <w:r w:rsidRPr="000D7C5A">
              <w:rPr>
                <w:lang w:val="fr-BE"/>
              </w:rPr>
              <w:t xml:space="preserve">ainsi qu’aux </w:t>
            </w:r>
          </w:p>
          <w:p w14:paraId="348042EA" w14:textId="77777777" w:rsidR="006B1C4C" w:rsidRPr="000D7C5A" w:rsidRDefault="00FB4762">
            <w:pPr>
              <w:spacing w:after="0" w:line="259" w:lineRule="auto"/>
              <w:ind w:left="0" w:right="111" w:firstLine="0"/>
              <w:jc w:val="right"/>
              <w:rPr>
                <w:lang w:val="fr-BE"/>
              </w:rPr>
            </w:pPr>
            <w:r w:rsidRPr="000D7C5A">
              <w:rPr>
                <w:rFonts w:ascii="MS Gothic" w:eastAsia="MS Gothic" w:hAnsi="MS Gothic" w:cs="MS Gothic"/>
                <w:lang w:val="fr-BE"/>
              </w:rPr>
              <w:t>☐</w:t>
            </w:r>
            <w:r w:rsidRPr="000D7C5A">
              <w:rPr>
                <w:lang w:val="fr-BE"/>
              </w:rPr>
              <w:t xml:space="preserve"> pays AELE suivants: </w:t>
            </w:r>
          </w:p>
          <w:p w14:paraId="3793E0E0" w14:textId="77777777" w:rsidR="006B1C4C" w:rsidRDefault="00FB4762">
            <w:pPr>
              <w:spacing w:after="0" w:line="259" w:lineRule="auto"/>
              <w:ind w:left="0" w:right="151" w:firstLine="0"/>
              <w:jc w:val="right"/>
            </w:pPr>
            <w:r w:rsidRPr="000D7C5A">
              <w:rPr>
                <w:lang w:val="fr-BE"/>
              </w:rPr>
              <w:t xml:space="preserve"> </w:t>
            </w:r>
            <w:r>
              <w:rPr>
                <w:rFonts w:ascii="MS Gothic" w:eastAsia="MS Gothic" w:hAnsi="MS Gothic" w:cs="MS Gothic"/>
              </w:rPr>
              <w:t>☐</w:t>
            </w:r>
            <w:r>
              <w:t xml:space="preserve"> </w:t>
            </w:r>
            <w:proofErr w:type="spellStart"/>
            <w:r>
              <w:t>Islande</w:t>
            </w:r>
            <w:proofErr w:type="spellEnd"/>
            <w:r>
              <w:t xml:space="preserve">   </w:t>
            </w:r>
            <w:r>
              <w:rPr>
                <w:rFonts w:ascii="MS Gothic" w:eastAsia="MS Gothic" w:hAnsi="MS Gothic" w:cs="MS Gothic"/>
              </w:rPr>
              <w:t>☐</w:t>
            </w:r>
            <w:r>
              <w:t xml:space="preserve"> </w:t>
            </w:r>
          </w:p>
        </w:tc>
        <w:tc>
          <w:tcPr>
            <w:tcW w:w="5492" w:type="dxa"/>
            <w:tcBorders>
              <w:top w:val="nil"/>
              <w:left w:val="nil"/>
              <w:bottom w:val="nil"/>
              <w:right w:val="single" w:sz="6" w:space="0" w:color="000000"/>
            </w:tcBorders>
          </w:tcPr>
          <w:p w14:paraId="3F26D15C" w14:textId="77777777" w:rsidR="006B1C4C" w:rsidRDefault="00FB4762">
            <w:pPr>
              <w:spacing w:after="649" w:line="259" w:lineRule="auto"/>
              <w:ind w:left="418" w:right="0" w:firstLine="0"/>
              <w:jc w:val="left"/>
            </w:pPr>
            <w:r>
              <w:t xml:space="preserve"> </w:t>
            </w:r>
          </w:p>
          <w:p w14:paraId="4F3A840C" w14:textId="77777777" w:rsidR="006B1C4C" w:rsidRDefault="00FB4762">
            <w:pPr>
              <w:spacing w:after="0" w:line="259" w:lineRule="auto"/>
              <w:ind w:left="-89" w:right="0" w:firstLine="0"/>
              <w:jc w:val="left"/>
            </w:pPr>
            <w:r>
              <w:t xml:space="preserve">Liechtenstein   </w:t>
            </w:r>
            <w:r>
              <w:rPr>
                <w:rFonts w:ascii="MS Gothic" w:eastAsia="MS Gothic" w:hAnsi="MS Gothic" w:cs="MS Gothic"/>
              </w:rPr>
              <w:t>☐</w:t>
            </w:r>
            <w:r>
              <w:t xml:space="preserve"> </w:t>
            </w:r>
            <w:proofErr w:type="spellStart"/>
            <w:r>
              <w:t>Norvège</w:t>
            </w:r>
            <w:proofErr w:type="spellEnd"/>
            <w:r>
              <w:t xml:space="preserve">   </w:t>
            </w:r>
            <w:r>
              <w:rPr>
                <w:rFonts w:ascii="MS Gothic" w:eastAsia="MS Gothic" w:hAnsi="MS Gothic" w:cs="MS Gothic"/>
              </w:rPr>
              <w:t>☐</w:t>
            </w:r>
            <w:r>
              <w:t xml:space="preserve"> Suisse </w:t>
            </w:r>
          </w:p>
        </w:tc>
      </w:tr>
      <w:tr w:rsidR="006B1C4C" w14:paraId="1D0013A8" w14:textId="77777777">
        <w:trPr>
          <w:trHeight w:val="1541"/>
        </w:trPr>
        <w:tc>
          <w:tcPr>
            <w:tcW w:w="3113" w:type="dxa"/>
            <w:tcBorders>
              <w:top w:val="nil"/>
              <w:left w:val="single" w:sz="6" w:space="0" w:color="000000"/>
              <w:bottom w:val="single" w:sz="6" w:space="0" w:color="000000"/>
              <w:right w:val="nil"/>
            </w:tcBorders>
          </w:tcPr>
          <w:p w14:paraId="0178DC4E" w14:textId="77777777" w:rsidR="006B1C4C" w:rsidRPr="000D7C5A" w:rsidRDefault="00FB4762">
            <w:pPr>
              <w:spacing w:after="0" w:line="259" w:lineRule="auto"/>
              <w:ind w:left="0" w:right="-50" w:firstLine="0"/>
              <w:jc w:val="right"/>
              <w:rPr>
                <w:lang w:val="fr-BE"/>
              </w:rPr>
            </w:pPr>
            <w:r w:rsidRPr="000D7C5A">
              <w:rPr>
                <w:rFonts w:ascii="MS Gothic" w:eastAsia="MS Gothic" w:hAnsi="MS Gothic" w:cs="MS Gothic"/>
                <w:lang w:val="fr-BE"/>
              </w:rPr>
              <w:t>☐</w:t>
            </w:r>
            <w:r w:rsidRPr="000D7C5A">
              <w:rPr>
                <w:lang w:val="fr-BE"/>
              </w:rPr>
              <w:t xml:space="preserve"> pays tiers suivants: </w:t>
            </w:r>
            <w:r w:rsidRPr="000D7C5A">
              <w:rPr>
                <w:color w:val="288061"/>
                <w:lang w:val="fr-BE"/>
              </w:rPr>
              <w:t xml:space="preserve"> …</w:t>
            </w:r>
          </w:p>
          <w:p w14:paraId="14A853DC" w14:textId="77777777" w:rsidR="006B1C4C" w:rsidRPr="000D7C5A" w:rsidRDefault="00FB4762">
            <w:pPr>
              <w:spacing w:after="0" w:line="259" w:lineRule="auto"/>
              <w:ind w:left="0" w:right="119" w:firstLine="0"/>
              <w:jc w:val="right"/>
              <w:rPr>
                <w:lang w:val="fr-BE"/>
              </w:rPr>
            </w:pPr>
            <w:r w:rsidRPr="000D7C5A">
              <w:rPr>
                <w:rFonts w:ascii="MS Gothic" w:eastAsia="MS Gothic" w:hAnsi="MS Gothic" w:cs="MS Gothic"/>
                <w:lang w:val="fr-BE"/>
              </w:rPr>
              <w:t>☐</w:t>
            </w:r>
            <w:r w:rsidRPr="000D7C5A">
              <w:rPr>
                <w:lang w:val="fr-BE"/>
              </w:rPr>
              <w:t xml:space="preserve"> organisations </w:t>
            </w:r>
            <w:proofErr w:type="spellStart"/>
            <w:r w:rsidRPr="000D7C5A">
              <w:rPr>
                <w:lang w:val="fr-BE"/>
              </w:rPr>
              <w:t>intergo</w:t>
            </w:r>
            <w:proofErr w:type="spellEnd"/>
          </w:p>
        </w:tc>
        <w:tc>
          <w:tcPr>
            <w:tcW w:w="5492" w:type="dxa"/>
            <w:tcBorders>
              <w:top w:val="nil"/>
              <w:left w:val="nil"/>
              <w:bottom w:val="single" w:sz="6" w:space="0" w:color="000000"/>
              <w:right w:val="single" w:sz="6" w:space="0" w:color="000000"/>
            </w:tcBorders>
          </w:tcPr>
          <w:p w14:paraId="18A5E941" w14:textId="77777777" w:rsidR="006B1C4C" w:rsidRPr="000D7C5A" w:rsidRDefault="00FB4762">
            <w:pPr>
              <w:spacing w:after="15" w:line="259" w:lineRule="auto"/>
              <w:ind w:left="50" w:right="0" w:firstLine="0"/>
              <w:jc w:val="left"/>
              <w:rPr>
                <w:lang w:val="fr-BE"/>
              </w:rPr>
            </w:pPr>
            <w:r w:rsidRPr="000D7C5A">
              <w:rPr>
                <w:color w:val="288061"/>
                <w:lang w:val="fr-BE"/>
              </w:rPr>
              <w:t xml:space="preserve">    </w:t>
            </w:r>
            <w:r w:rsidRPr="000D7C5A">
              <w:rPr>
                <w:lang w:val="fr-BE"/>
              </w:rPr>
              <w:t xml:space="preserve"> </w:t>
            </w:r>
          </w:p>
          <w:p w14:paraId="2FF228C9" w14:textId="77777777" w:rsidR="006B1C4C" w:rsidRDefault="00FB4762">
            <w:pPr>
              <w:spacing w:after="223" w:line="259" w:lineRule="auto"/>
              <w:ind w:left="-119" w:right="0" w:firstLine="0"/>
              <w:jc w:val="left"/>
            </w:pPr>
            <w:proofErr w:type="spellStart"/>
            <w:r>
              <w:t>uvernementales</w:t>
            </w:r>
            <w:proofErr w:type="spellEnd"/>
            <w:r>
              <w:t xml:space="preserve"> </w:t>
            </w:r>
            <w:proofErr w:type="spellStart"/>
            <w:r>
              <w:t>suivantes</w:t>
            </w:r>
            <w:proofErr w:type="spellEnd"/>
            <w:r>
              <w:t xml:space="preserve">: </w:t>
            </w:r>
            <w:r>
              <w:rPr>
                <w:color w:val="288061"/>
              </w:rPr>
              <w:t xml:space="preserve"> …    </w:t>
            </w:r>
            <w:r>
              <w:t xml:space="preserve"> </w:t>
            </w:r>
          </w:p>
          <w:p w14:paraId="781371C2" w14:textId="77777777" w:rsidR="006B1C4C" w:rsidRDefault="00FB4762">
            <w:pPr>
              <w:spacing w:after="0" w:line="259" w:lineRule="auto"/>
              <w:ind w:left="-3002" w:right="2028" w:firstLine="0"/>
              <w:jc w:val="center"/>
            </w:pPr>
            <w:r>
              <w:rPr>
                <w:noProof/>
              </w:rPr>
              <w:drawing>
                <wp:inline distT="0" distB="0" distL="0" distR="0" wp14:anchorId="50217114" wp14:editId="2DFBF6BD">
                  <wp:extent cx="4067810" cy="276225"/>
                  <wp:effectExtent l="0" t="0" r="0" b="0"/>
                  <wp:docPr id="196" name="Picture 196"/>
                  <wp:cNvGraphicFramePr/>
                  <a:graphic xmlns:a="http://schemas.openxmlformats.org/drawingml/2006/main">
                    <a:graphicData uri="http://schemas.openxmlformats.org/drawingml/2006/picture">
                      <pic:pic xmlns:pic="http://schemas.openxmlformats.org/drawingml/2006/picture">
                        <pic:nvPicPr>
                          <pic:cNvPr id="196" name="Picture 196"/>
                          <pic:cNvPicPr/>
                        </pic:nvPicPr>
                        <pic:blipFill>
                          <a:blip r:embed="rId13"/>
                          <a:stretch>
                            <a:fillRect/>
                          </a:stretch>
                        </pic:blipFill>
                        <pic:spPr>
                          <a:xfrm>
                            <a:off x="0" y="0"/>
                            <a:ext cx="4067810" cy="276225"/>
                          </a:xfrm>
                          <a:prstGeom prst="rect">
                            <a:avLst/>
                          </a:prstGeom>
                        </pic:spPr>
                      </pic:pic>
                    </a:graphicData>
                  </a:graphic>
                </wp:inline>
              </w:drawing>
            </w:r>
            <w:r>
              <w:t xml:space="preserve"> </w:t>
            </w:r>
          </w:p>
        </w:tc>
      </w:tr>
      <w:tr w:rsidR="006B1C4C" w14:paraId="1869204B" w14:textId="77777777">
        <w:trPr>
          <w:trHeight w:val="713"/>
        </w:trPr>
        <w:tc>
          <w:tcPr>
            <w:tcW w:w="3113" w:type="dxa"/>
            <w:tcBorders>
              <w:top w:val="single" w:sz="6" w:space="0" w:color="000000"/>
              <w:left w:val="single" w:sz="6" w:space="0" w:color="000000"/>
              <w:bottom w:val="single" w:sz="6" w:space="0" w:color="000000"/>
              <w:right w:val="single" w:sz="6" w:space="0" w:color="000000"/>
            </w:tcBorders>
            <w:vAlign w:val="center"/>
          </w:tcPr>
          <w:p w14:paraId="26FECCC1" w14:textId="77777777" w:rsidR="006B1C4C" w:rsidRDefault="00FB4762">
            <w:pPr>
              <w:spacing w:after="0" w:line="259" w:lineRule="auto"/>
              <w:ind w:left="110" w:right="0" w:firstLine="0"/>
              <w:jc w:val="left"/>
            </w:pPr>
            <w:proofErr w:type="spellStart"/>
            <w:r>
              <w:t>Délai</w:t>
            </w:r>
            <w:proofErr w:type="spellEnd"/>
            <w:r>
              <w:t xml:space="preserve"> des candidatures </w:t>
            </w:r>
          </w:p>
        </w:tc>
        <w:tc>
          <w:tcPr>
            <w:tcW w:w="5492" w:type="dxa"/>
            <w:tcBorders>
              <w:top w:val="single" w:sz="6" w:space="0" w:color="000000"/>
              <w:left w:val="single" w:sz="6" w:space="0" w:color="000000"/>
              <w:bottom w:val="single" w:sz="6" w:space="0" w:color="000000"/>
              <w:right w:val="single" w:sz="6" w:space="0" w:color="000000"/>
            </w:tcBorders>
            <w:vAlign w:val="bottom"/>
          </w:tcPr>
          <w:p w14:paraId="1801CED9" w14:textId="77777777" w:rsidR="006B1C4C" w:rsidRDefault="00FB4762">
            <w:pPr>
              <w:spacing w:after="0" w:line="259" w:lineRule="auto"/>
              <w:ind w:left="108" w:right="0" w:firstLine="0"/>
              <w:jc w:val="left"/>
            </w:pPr>
            <w:r>
              <w:rPr>
                <w:rFonts w:ascii="Calibri" w:eastAsia="Calibri" w:hAnsi="Calibri" w:cs="Calibri"/>
                <w:noProof/>
                <w:sz w:val="22"/>
              </w:rPr>
              <mc:AlternateContent>
                <mc:Choice Requires="wpg">
                  <w:drawing>
                    <wp:inline distT="0" distB="0" distL="0" distR="0" wp14:anchorId="36358EC5" wp14:editId="3FB2FACD">
                      <wp:extent cx="2743200" cy="275590"/>
                      <wp:effectExtent l="0" t="0" r="0" b="0"/>
                      <wp:docPr id="6053" name="Group 6053"/>
                      <wp:cNvGraphicFramePr/>
                      <a:graphic xmlns:a="http://schemas.openxmlformats.org/drawingml/2006/main">
                        <a:graphicData uri="http://schemas.microsoft.com/office/word/2010/wordprocessingGroup">
                          <wpg:wgp>
                            <wpg:cNvGrpSpPr/>
                            <wpg:grpSpPr>
                              <a:xfrm>
                                <a:off x="0" y="0"/>
                                <a:ext cx="2743200" cy="275590"/>
                                <a:chOff x="0" y="0"/>
                                <a:chExt cx="2743200" cy="275590"/>
                              </a:xfrm>
                            </wpg:grpSpPr>
                            <pic:pic xmlns:pic="http://schemas.openxmlformats.org/drawingml/2006/picture">
                              <pic:nvPicPr>
                                <pic:cNvPr id="208" name="Picture 208"/>
                                <pic:cNvPicPr/>
                              </pic:nvPicPr>
                              <pic:blipFill>
                                <a:blip r:embed="rId14"/>
                                <a:stretch>
                                  <a:fillRect/>
                                </a:stretch>
                              </pic:blipFill>
                              <pic:spPr>
                                <a:xfrm>
                                  <a:off x="0" y="0"/>
                                  <a:ext cx="1371600" cy="275590"/>
                                </a:xfrm>
                                <a:prstGeom prst="rect">
                                  <a:avLst/>
                                </a:prstGeom>
                              </pic:spPr>
                            </pic:pic>
                            <pic:pic xmlns:pic="http://schemas.openxmlformats.org/drawingml/2006/picture">
                              <pic:nvPicPr>
                                <pic:cNvPr id="210" name="Picture 210"/>
                                <pic:cNvPicPr/>
                              </pic:nvPicPr>
                              <pic:blipFill>
                                <a:blip r:embed="rId15"/>
                                <a:stretch>
                                  <a:fillRect/>
                                </a:stretch>
                              </pic:blipFill>
                              <pic:spPr>
                                <a:xfrm>
                                  <a:off x="1371600" y="0"/>
                                  <a:ext cx="1371600" cy="275590"/>
                                </a:xfrm>
                                <a:prstGeom prst="rect">
                                  <a:avLst/>
                                </a:prstGeom>
                              </pic:spPr>
                            </pic:pic>
                          </wpg:wgp>
                        </a:graphicData>
                      </a:graphic>
                    </wp:inline>
                  </w:drawing>
                </mc:Choice>
                <mc:Fallback xmlns:a="http://schemas.openxmlformats.org/drawingml/2006/main">
                  <w:pict>
                    <v:group id="Group 6053" style="width:216pt;height:21.7pt;mso-position-horizontal-relative:char;mso-position-vertical-relative:line" coordsize="27432,2755">
                      <v:shape id="Picture 208" style="position:absolute;width:13716;height:2755;left:0;top:0;" filled="f">
                        <v:imagedata r:id="rId16"/>
                      </v:shape>
                      <v:shape id="Picture 210" style="position:absolute;width:13716;height:2755;left:13716;top:0;" filled="f">
                        <v:imagedata r:id="rId17"/>
                      </v:shape>
                    </v:group>
                  </w:pict>
                </mc:Fallback>
              </mc:AlternateContent>
            </w:r>
            <w:r>
              <w:t xml:space="preserve"> </w:t>
            </w:r>
          </w:p>
        </w:tc>
      </w:tr>
    </w:tbl>
    <w:p w14:paraId="14089F56" w14:textId="77777777" w:rsidR="006B1C4C" w:rsidRDefault="00FB4762">
      <w:pPr>
        <w:spacing w:after="217" w:line="259" w:lineRule="auto"/>
        <w:ind w:left="0" w:right="0" w:firstLine="0"/>
        <w:jc w:val="left"/>
      </w:pPr>
      <w:r>
        <w:rPr>
          <w:b/>
        </w:rPr>
        <w:t xml:space="preserve"> </w:t>
      </w:r>
    </w:p>
    <w:p w14:paraId="29D561A9" w14:textId="77777777" w:rsidR="006B1C4C" w:rsidRPr="000D7C5A" w:rsidRDefault="00FB4762">
      <w:pPr>
        <w:pStyle w:val="Heading1"/>
        <w:ind w:left="-5" w:right="0"/>
        <w:rPr>
          <w:lang w:val="fr-BE"/>
        </w:rPr>
      </w:pPr>
      <w:r w:rsidRPr="000D7C5A">
        <w:rPr>
          <w:lang w:val="fr-BE"/>
        </w:rPr>
        <w:t>Présentation de l’entité (nous sommes)</w:t>
      </w:r>
      <w:r w:rsidRPr="000D7C5A">
        <w:rPr>
          <w:b w:val="0"/>
          <w:lang w:val="fr-BE"/>
        </w:rPr>
        <w:t xml:space="preserve"> </w:t>
      </w:r>
    </w:p>
    <w:p w14:paraId="7A106BCE" w14:textId="77777777" w:rsidR="006B1C4C" w:rsidRPr="000D7C5A" w:rsidRDefault="00FB4762">
      <w:pPr>
        <w:ind w:left="-5" w:right="0"/>
        <w:rPr>
          <w:lang w:val="fr-BE"/>
        </w:rPr>
      </w:pPr>
      <w:r w:rsidRPr="000D7C5A">
        <w:rPr>
          <w:lang w:val="fr-BE"/>
        </w:rPr>
        <w:t xml:space="preserve">La direction générale de l’énergie (DG ENER) s’emploie à accélérer la transition de l’Europe vers une énergie propre et juste pour devenir le premier continent neutre pour le climat d’ici à 2050. Nous définissons des politiques visant à développer un système énergétique innovant, résilient et intégré, qui assure un approvisionnement continu de ses citoyens et de ses entreprises en énergie abordable, sûre, fiable et propre, conformément au pacte vert pour l’Europe. Nous nous efforçons de supprimer les obstacles à la transition </w:t>
      </w:r>
      <w:r w:rsidRPr="000D7C5A">
        <w:rPr>
          <w:lang w:val="fr-BE"/>
        </w:rPr>
        <w:lastRenderedPageBreak/>
        <w:t xml:space="preserve">énergétique et de stimuler les solutions énergétiques, qui favoriseront la transition vers la neutralité climatique tout en promouvant la croissance durable et la création d’emplois en Europe. La transition s’appuiera sur la participation des consommateurs et les investissements axés sur le marché dans l’efficacité énergétique et les technologies liées aux énergies renouvelables afin de renforcer le leadership mondial de l’UE tout en améliorant la sécurité et la résilience énergétiques, en réduisant la dépendance à l’égard des importations de combustibles fossiles et les factures à l’importation. </w:t>
      </w:r>
    </w:p>
    <w:p w14:paraId="6304AEC0" w14:textId="766DA077" w:rsidR="006B1C4C" w:rsidRPr="000D7C5A" w:rsidRDefault="00FB4762">
      <w:pPr>
        <w:ind w:left="-5" w:right="0"/>
        <w:rPr>
          <w:lang w:val="fr-BE"/>
        </w:rPr>
      </w:pPr>
      <w:r w:rsidRPr="000D7C5A">
        <w:rPr>
          <w:lang w:val="fr-BE"/>
        </w:rPr>
        <w:t xml:space="preserve">Afin de donner suite à la demande du Conseil européen de mettre en place une plateforme énergétique de l’UE pour l’hydrogène et le gaz (GNL) </w:t>
      </w:r>
      <w:r w:rsidR="00537CAA">
        <w:rPr>
          <w:lang w:val="fr-BE"/>
        </w:rPr>
        <w:t xml:space="preserve">pour répondre </w:t>
      </w:r>
      <w:r w:rsidRPr="000D7C5A">
        <w:rPr>
          <w:lang w:val="fr-BE"/>
        </w:rPr>
        <w:t xml:space="preserve">à la nécessité de se diversifier </w:t>
      </w:r>
      <w:r w:rsidR="00537CAA">
        <w:rPr>
          <w:lang w:val="fr-BE"/>
        </w:rPr>
        <w:t xml:space="preserve">l’approvisionnement, </w:t>
      </w:r>
      <w:r w:rsidRPr="000D7C5A">
        <w:rPr>
          <w:lang w:val="fr-BE"/>
        </w:rPr>
        <w:t>au-delà du gaz russe</w:t>
      </w:r>
      <w:r w:rsidR="00537CAA">
        <w:rPr>
          <w:lang w:val="fr-BE"/>
        </w:rPr>
        <w:t>,</w:t>
      </w:r>
      <w:r w:rsidRPr="000D7C5A">
        <w:rPr>
          <w:lang w:val="fr-BE"/>
        </w:rPr>
        <w:t xml:space="preserve"> et de réduire la dépendance à l’égard des combustibles fossiles bien avant 2030, ainsi que de soutenir l’achat conjoint de gaz, la DG ENER a mis en place un groupe de travail pour la plateforme sur l’énergie, dirigé par un directeur général adjoint, placé sous l’autorité du directeur général. La </w:t>
      </w:r>
      <w:proofErr w:type="spellStart"/>
      <w:r w:rsidRPr="000D7C5A">
        <w:rPr>
          <w:lang w:val="fr-BE"/>
        </w:rPr>
        <w:t>task</w:t>
      </w:r>
      <w:proofErr w:type="spellEnd"/>
      <w:r w:rsidRPr="000D7C5A">
        <w:rPr>
          <w:lang w:val="fr-BE"/>
        </w:rPr>
        <w:t xml:space="preserve"> force assurera la coordination générale et la mise en œuvre des dossiers de la plateforme de l’UE pour l’énergie dans l’ensemble de la DG. La </w:t>
      </w:r>
      <w:proofErr w:type="spellStart"/>
      <w:r w:rsidRPr="000D7C5A">
        <w:rPr>
          <w:lang w:val="fr-BE"/>
        </w:rPr>
        <w:t>task</w:t>
      </w:r>
      <w:proofErr w:type="spellEnd"/>
      <w:r w:rsidRPr="000D7C5A">
        <w:rPr>
          <w:lang w:val="fr-BE"/>
        </w:rPr>
        <w:t xml:space="preserve"> force, organisée en 3 unités, travaillera de manière flexible et en tant qu’équipe, en étroite coopération sur la base de projets, avec des collègues du reste de la DG et dans l’ensemble de la Commission. </w:t>
      </w:r>
    </w:p>
    <w:p w14:paraId="3037A2E7" w14:textId="4EA59D92" w:rsidR="006B1C4C" w:rsidRPr="000D7C5A" w:rsidRDefault="000D7C5A">
      <w:pPr>
        <w:spacing w:after="216" w:line="259" w:lineRule="auto"/>
        <w:ind w:left="0" w:right="0" w:firstLine="0"/>
        <w:jc w:val="left"/>
        <w:rPr>
          <w:lang w:val="fr-BE"/>
        </w:rPr>
      </w:pPr>
      <w:r w:rsidRPr="000D7C5A">
        <w:rPr>
          <w:lang w:val="fr-BE"/>
        </w:rPr>
        <w:t>L’unité ENER.TF.3</w:t>
      </w:r>
      <w:r w:rsidR="00537CAA" w:rsidRPr="000D7C5A">
        <w:rPr>
          <w:lang w:val="fr-BE"/>
        </w:rPr>
        <w:t xml:space="preserve"> «Relations</w:t>
      </w:r>
      <w:r w:rsidRPr="000D7C5A">
        <w:rPr>
          <w:lang w:val="fr-BE"/>
        </w:rPr>
        <w:t xml:space="preserve"> internationales» est chargée des relations et de la coopération internationales dans le domaine de l’énergie au sein de la DG ENER. Les travaux de l’unité sont axés sur la mise en œuvre de la stratégie d’engagement extérieur dans le domaine de l’énergie, présentée le 18 mai 2022 dans le cadre du plan </w:t>
      </w:r>
      <w:proofErr w:type="spellStart"/>
      <w:r w:rsidRPr="000D7C5A">
        <w:rPr>
          <w:lang w:val="fr-BE"/>
        </w:rPr>
        <w:t>REPowerEU</w:t>
      </w:r>
      <w:proofErr w:type="spellEnd"/>
      <w:r w:rsidRPr="000D7C5A">
        <w:rPr>
          <w:lang w:val="fr-BE"/>
        </w:rPr>
        <w:t xml:space="preserve">, et sur la dimension extérieure du pacte vert pour l’Europe. Elle assure également la sensibilisation internationale dans le cadre de la plateforme de l’UE sur l’énergie au sein de la </w:t>
      </w:r>
      <w:proofErr w:type="spellStart"/>
      <w:r w:rsidRPr="000D7C5A">
        <w:rPr>
          <w:lang w:val="fr-BE"/>
        </w:rPr>
        <w:t>task</w:t>
      </w:r>
      <w:proofErr w:type="spellEnd"/>
      <w:r w:rsidRPr="000D7C5A">
        <w:rPr>
          <w:lang w:val="fr-BE"/>
        </w:rPr>
        <w:t xml:space="preserve"> force afin de créer des conditions favorables à l’importation de gaz naturel et d’hydrogène vert à plus long terme. Nous travaillons en étroite coopération avec le Service européen pour l’action extérieure et ses délégations de l’UE, ainsi qu’avec d’autres services de la Commission. </w:t>
      </w:r>
      <w:r w:rsidRPr="00537CAA">
        <w:rPr>
          <w:lang w:val="fr-BE"/>
        </w:rPr>
        <w:t>L’unité compte environ 20 collègues.</w:t>
      </w:r>
      <w:r w:rsidR="00FB4762" w:rsidRPr="000D7C5A">
        <w:rPr>
          <w:b/>
          <w:lang w:val="fr-BE"/>
        </w:rPr>
        <w:t xml:space="preserve"> </w:t>
      </w:r>
    </w:p>
    <w:p w14:paraId="61714252" w14:textId="77777777" w:rsidR="006B1C4C" w:rsidRPr="000D7C5A" w:rsidRDefault="00FB4762">
      <w:pPr>
        <w:pStyle w:val="Heading1"/>
        <w:ind w:left="-5" w:right="0"/>
        <w:rPr>
          <w:lang w:val="fr-BE"/>
        </w:rPr>
      </w:pPr>
      <w:r w:rsidRPr="000D7C5A">
        <w:rPr>
          <w:lang w:val="fr-BE"/>
        </w:rPr>
        <w:t>Présentation du poste (nous proposons)</w:t>
      </w:r>
      <w:r w:rsidRPr="000D7C5A">
        <w:rPr>
          <w:b w:val="0"/>
          <w:lang w:val="fr-BE"/>
        </w:rPr>
        <w:t xml:space="preserve"> </w:t>
      </w:r>
    </w:p>
    <w:p w14:paraId="510A2BCA" w14:textId="7D5BAC51" w:rsidR="006B1C4C" w:rsidRPr="000D7C5A" w:rsidRDefault="00FB4762">
      <w:pPr>
        <w:ind w:left="-5" w:right="0"/>
        <w:rPr>
          <w:lang w:val="fr-BE"/>
        </w:rPr>
      </w:pPr>
      <w:r w:rsidRPr="000D7C5A">
        <w:rPr>
          <w:lang w:val="fr-BE"/>
        </w:rPr>
        <w:t>Nous proposons un poste stimulant et motivant dans un environnement de travail dynamique en tant que responsable des relations internationales. Le poste propose toute une série de tâches exécutées en coopération avec un large éventail de partenaires à l’intérieur ou à l’extérieur de l’UE. À ce poste, l’agent fournira des connaissances spécialisées et des conseils à la direction et au personnel de la DG ENER</w:t>
      </w:r>
      <w:r w:rsidR="00537CAA">
        <w:rPr>
          <w:lang w:val="fr-BE"/>
        </w:rPr>
        <w:t>. Pour cela, il</w:t>
      </w:r>
      <w:r w:rsidRPr="000D7C5A">
        <w:rPr>
          <w:lang w:val="fr-BE"/>
        </w:rPr>
        <w:t xml:space="preserve"> formul</w:t>
      </w:r>
      <w:r w:rsidR="00537CAA">
        <w:rPr>
          <w:lang w:val="fr-BE"/>
        </w:rPr>
        <w:t>era</w:t>
      </w:r>
      <w:r w:rsidRPr="000D7C5A">
        <w:rPr>
          <w:lang w:val="fr-BE"/>
        </w:rPr>
        <w:t xml:space="preserve"> des politiques et des actions de mise en œuvre contribuant aux relations internationales dans le domaine de l’énergie nécessaires à la réalisation des objectifs de la plateforme de l’UE pour l’énergie et des efforts internationaux </w:t>
      </w:r>
      <w:r w:rsidR="00537CAA">
        <w:rPr>
          <w:lang w:val="fr-BE"/>
        </w:rPr>
        <w:t>dans le but d’</w:t>
      </w:r>
      <w:r w:rsidRPr="000D7C5A">
        <w:rPr>
          <w:lang w:val="fr-BE"/>
        </w:rPr>
        <w:t xml:space="preserve">accélérer la transition vers une énergie propre à l’échelle mondiale. </w:t>
      </w:r>
    </w:p>
    <w:p w14:paraId="0E3EC2B9" w14:textId="77777777" w:rsidR="006B1C4C" w:rsidRPr="000D7C5A" w:rsidRDefault="00FB4762">
      <w:pPr>
        <w:spacing w:after="216" w:line="259" w:lineRule="auto"/>
        <w:ind w:left="0" w:right="0" w:firstLine="0"/>
        <w:jc w:val="left"/>
        <w:rPr>
          <w:lang w:val="fr-BE"/>
        </w:rPr>
      </w:pPr>
      <w:r w:rsidRPr="000D7C5A">
        <w:rPr>
          <w:b/>
          <w:lang w:val="fr-BE"/>
        </w:rPr>
        <w:t xml:space="preserve"> </w:t>
      </w:r>
    </w:p>
    <w:p w14:paraId="18C0DA9F" w14:textId="77777777" w:rsidR="006B1C4C" w:rsidRPr="000D7C5A" w:rsidRDefault="00FB4762">
      <w:pPr>
        <w:pStyle w:val="Heading1"/>
        <w:ind w:left="-5" w:right="0"/>
        <w:rPr>
          <w:lang w:val="fr-BE"/>
        </w:rPr>
      </w:pPr>
      <w:r w:rsidRPr="000D7C5A">
        <w:rPr>
          <w:lang w:val="fr-BE"/>
        </w:rPr>
        <w:t>Profil du titulaire (nous recherchons)</w:t>
      </w:r>
      <w:r w:rsidRPr="000D7C5A">
        <w:rPr>
          <w:b w:val="0"/>
          <w:lang w:val="fr-BE"/>
        </w:rPr>
        <w:t xml:space="preserve"> </w:t>
      </w:r>
    </w:p>
    <w:p w14:paraId="398FCE11" w14:textId="77777777" w:rsidR="006B1C4C" w:rsidRPr="000D7C5A" w:rsidRDefault="00FB4762">
      <w:pPr>
        <w:spacing w:after="277"/>
        <w:ind w:left="693" w:right="0" w:hanging="708"/>
        <w:rPr>
          <w:lang w:val="fr-BE"/>
        </w:rPr>
      </w:pPr>
      <w:r w:rsidRPr="000D7C5A">
        <w:rPr>
          <w:lang w:val="fr-BE"/>
        </w:rPr>
        <w:t xml:space="preserve">Nous recherchons un collègue proactif, engagé et axé sur les résultats, possédant les compétences suivantes:  </w:t>
      </w:r>
    </w:p>
    <w:p w14:paraId="5CE146E1" w14:textId="1F2F2110" w:rsidR="006B1C4C" w:rsidRPr="000D7C5A" w:rsidRDefault="00FB4762">
      <w:pPr>
        <w:numPr>
          <w:ilvl w:val="0"/>
          <w:numId w:val="1"/>
        </w:numPr>
        <w:ind w:right="0" w:hanging="144"/>
        <w:rPr>
          <w:lang w:val="fr-BE"/>
        </w:rPr>
      </w:pPr>
      <w:r w:rsidRPr="000D7C5A">
        <w:rPr>
          <w:lang w:val="fr-BE"/>
        </w:rPr>
        <w:t xml:space="preserve">Expérience professionnelle pertinente d’au moins 3 ans attestée à temps plein, de préférence dans le domaine de la politique énergétique et/ou des relations internationales.  </w:t>
      </w:r>
    </w:p>
    <w:p w14:paraId="4969045F" w14:textId="5384DE8A" w:rsidR="006B1C4C" w:rsidRPr="000D7C5A" w:rsidRDefault="00FB4762">
      <w:pPr>
        <w:numPr>
          <w:ilvl w:val="0"/>
          <w:numId w:val="1"/>
        </w:numPr>
        <w:ind w:right="0" w:hanging="144"/>
        <w:rPr>
          <w:lang w:val="fr-BE"/>
        </w:rPr>
      </w:pPr>
      <w:r w:rsidRPr="000D7C5A">
        <w:rPr>
          <w:lang w:val="fr-BE"/>
        </w:rPr>
        <w:lastRenderedPageBreak/>
        <w:t xml:space="preserve">De solides compétences analytiques, la capacité </w:t>
      </w:r>
      <w:r w:rsidR="00537CAA">
        <w:rPr>
          <w:lang w:val="fr-BE"/>
        </w:rPr>
        <w:t>de faire la liaison</w:t>
      </w:r>
      <w:r w:rsidRPr="000D7C5A">
        <w:rPr>
          <w:lang w:val="fr-BE"/>
        </w:rPr>
        <w:t xml:space="preserve"> entre l’analyse et l’élaboration des politiques, et un jugement politique bien développé; </w:t>
      </w:r>
    </w:p>
    <w:p w14:paraId="5CD99A29" w14:textId="77777777" w:rsidR="006B1C4C" w:rsidRPr="000D7C5A" w:rsidRDefault="00FB4762">
      <w:pPr>
        <w:numPr>
          <w:ilvl w:val="0"/>
          <w:numId w:val="1"/>
        </w:numPr>
        <w:ind w:right="0" w:hanging="144"/>
        <w:rPr>
          <w:lang w:val="fr-BE"/>
        </w:rPr>
      </w:pPr>
      <w:r w:rsidRPr="000D7C5A">
        <w:rPr>
          <w:lang w:val="fr-BE"/>
        </w:rPr>
        <w:t xml:space="preserve">Bonnes capacités de communication orale et écrite.  </w:t>
      </w:r>
    </w:p>
    <w:p w14:paraId="22FBF515" w14:textId="77777777" w:rsidR="006B1C4C" w:rsidRPr="000D7C5A" w:rsidRDefault="00FB4762">
      <w:pPr>
        <w:numPr>
          <w:ilvl w:val="0"/>
          <w:numId w:val="1"/>
        </w:numPr>
        <w:ind w:right="0" w:hanging="144"/>
        <w:rPr>
          <w:lang w:val="fr-BE"/>
        </w:rPr>
      </w:pPr>
      <w:r w:rsidRPr="000D7C5A">
        <w:rPr>
          <w:lang w:val="fr-BE"/>
        </w:rPr>
        <w:t xml:space="preserve">Un engagement personnel élevé en matière de qualité et de précision, ainsi qu’une capacité à agir dans des délais courts.  </w:t>
      </w:r>
    </w:p>
    <w:p w14:paraId="182F6241" w14:textId="607F4103" w:rsidR="00477D7E" w:rsidRDefault="00FB4762" w:rsidP="00477D7E">
      <w:pPr>
        <w:numPr>
          <w:ilvl w:val="0"/>
          <w:numId w:val="1"/>
        </w:numPr>
        <w:ind w:right="0" w:hanging="144"/>
        <w:rPr>
          <w:lang w:val="fr-BE"/>
        </w:rPr>
      </w:pPr>
      <w:r w:rsidRPr="000D7C5A">
        <w:rPr>
          <w:lang w:val="fr-BE"/>
        </w:rPr>
        <w:t>La capacité à s’acquitter de ses tâches de manière autonome et flexible est importante, associée à un solide esprit d’équipe.</w:t>
      </w:r>
    </w:p>
    <w:p w14:paraId="12975A25" w14:textId="1A0A4CC2" w:rsidR="006B1C4C" w:rsidRPr="00477D7E" w:rsidRDefault="00FB4762" w:rsidP="00477D7E">
      <w:pPr>
        <w:numPr>
          <w:ilvl w:val="0"/>
          <w:numId w:val="1"/>
        </w:numPr>
        <w:ind w:right="0" w:hanging="144"/>
        <w:rPr>
          <w:lang w:val="fr-BE"/>
        </w:rPr>
      </w:pPr>
      <w:r w:rsidRPr="00477D7E">
        <w:rPr>
          <w:lang w:val="fr-BE"/>
        </w:rPr>
        <w:t xml:space="preserve">Une excellente maîtrise de l’anglais est essentielle. La connaissance du français ou de l’espagnol constitue un avantage </w:t>
      </w:r>
    </w:p>
    <w:p w14:paraId="5369FB08" w14:textId="77777777" w:rsidR="006B1C4C" w:rsidRPr="000D7C5A" w:rsidRDefault="00FB4762">
      <w:pPr>
        <w:spacing w:after="218" w:line="259" w:lineRule="auto"/>
        <w:ind w:left="0" w:right="0" w:firstLine="0"/>
        <w:jc w:val="left"/>
        <w:rPr>
          <w:lang w:val="fr-BE"/>
        </w:rPr>
      </w:pPr>
      <w:r w:rsidRPr="000D7C5A">
        <w:rPr>
          <w:b/>
          <w:lang w:val="fr-BE"/>
        </w:rPr>
        <w:t xml:space="preserve"> </w:t>
      </w:r>
    </w:p>
    <w:p w14:paraId="23D04796" w14:textId="77777777" w:rsidR="006B1C4C" w:rsidRPr="000D7C5A" w:rsidRDefault="00FB4762">
      <w:pPr>
        <w:spacing w:after="223" w:line="251" w:lineRule="auto"/>
        <w:ind w:left="-5" w:right="0"/>
        <w:rPr>
          <w:lang w:val="fr-BE"/>
        </w:rPr>
      </w:pPr>
      <w:r w:rsidRPr="000D7C5A">
        <w:rPr>
          <w:b/>
          <w:u w:val="single" w:color="000000"/>
          <w:lang w:val="fr-BE"/>
        </w:rPr>
        <w:t>Critères d’éligibilité</w:t>
      </w:r>
      <w:r w:rsidRPr="000D7C5A">
        <w:rPr>
          <w:b/>
          <w:lang w:val="fr-BE"/>
        </w:rPr>
        <w:t xml:space="preserve"> </w:t>
      </w:r>
    </w:p>
    <w:p w14:paraId="08570BA1" w14:textId="77777777" w:rsidR="006B1C4C" w:rsidRPr="000D7C5A" w:rsidRDefault="00FB4762">
      <w:pPr>
        <w:ind w:left="-5" w:right="0"/>
        <w:rPr>
          <w:lang w:val="fr-BE"/>
        </w:rPr>
      </w:pPr>
      <w:r w:rsidRPr="000D7C5A">
        <w:rPr>
          <w:lang w:val="fr-BE"/>
        </w:rPr>
        <w:t xml:space="preserve">Le détachement sera régi par la </w:t>
      </w:r>
      <w:r w:rsidRPr="000D7C5A">
        <w:rPr>
          <w:b/>
          <w:lang w:val="fr-BE"/>
        </w:rPr>
        <w:t xml:space="preserve">décision de la Commission C(2008) 6866 </w:t>
      </w:r>
      <w:r w:rsidRPr="000D7C5A">
        <w:rPr>
          <w:lang w:val="fr-BE"/>
        </w:rPr>
        <w:t xml:space="preserve">du 12/11/2008 relative au régime applicable aux experts nationaux détachés et aux experts nationaux en formation professionnelle auprès des services de la Commission (décision END). </w:t>
      </w:r>
    </w:p>
    <w:p w14:paraId="0E65D391" w14:textId="77777777" w:rsidR="006B1C4C" w:rsidRPr="000D7C5A" w:rsidRDefault="00FB4762">
      <w:pPr>
        <w:ind w:left="-5" w:right="0"/>
        <w:rPr>
          <w:lang w:val="fr-BE"/>
        </w:rPr>
      </w:pPr>
      <w:r w:rsidRPr="000D7C5A">
        <w:rPr>
          <w:lang w:val="fr-BE"/>
        </w:rPr>
        <w:t xml:space="preserve">Aux termes de la décision END, vous devrez obligatoirement remplir les critères d’éligibilité suivants </w:t>
      </w:r>
      <w:r w:rsidRPr="000D7C5A">
        <w:rPr>
          <w:b/>
          <w:lang w:val="fr-BE"/>
        </w:rPr>
        <w:t>à la date de début du détachement</w:t>
      </w:r>
      <w:r w:rsidRPr="000D7C5A">
        <w:rPr>
          <w:lang w:val="fr-BE"/>
        </w:rPr>
        <w:t xml:space="preserve"> : </w:t>
      </w:r>
    </w:p>
    <w:p w14:paraId="73721E5D" w14:textId="77777777" w:rsidR="006B1C4C" w:rsidRPr="000D7C5A" w:rsidRDefault="00FB4762">
      <w:pPr>
        <w:ind w:left="-5" w:right="0"/>
        <w:rPr>
          <w:lang w:val="fr-BE"/>
        </w:rPr>
      </w:pPr>
      <w:r w:rsidRPr="000D7C5A">
        <w:rPr>
          <w:u w:val="single" w:color="000000"/>
          <w:lang w:val="fr-BE"/>
        </w:rPr>
        <w:t>Expérience professionnelle :</w:t>
      </w:r>
      <w:r w:rsidRPr="000D7C5A">
        <w:rPr>
          <w:lang w:val="fr-BE"/>
        </w:rPr>
        <w:t xml:space="preserve"> posséder une expérience professionnelle d’au moins trois ans dans des fonctions administratives, judiciaires, scientifiques, techniques, de conseil ou de supervision, à un grade équivalant au groupe de fonctions administrateur AD; </w:t>
      </w:r>
    </w:p>
    <w:p w14:paraId="7C03DAEE" w14:textId="055F688E" w:rsidR="006B1C4C" w:rsidRPr="000D7C5A" w:rsidRDefault="00FB4762">
      <w:pPr>
        <w:ind w:left="-5" w:right="0"/>
        <w:rPr>
          <w:lang w:val="fr-BE"/>
        </w:rPr>
      </w:pPr>
      <w:r w:rsidRPr="000D7C5A">
        <w:rPr>
          <w:u w:val="single" w:color="000000"/>
          <w:lang w:val="fr-BE"/>
        </w:rPr>
        <w:t>Ancienneté de service :</w:t>
      </w:r>
      <w:r w:rsidRPr="000D7C5A">
        <w:rPr>
          <w:lang w:val="fr-BE"/>
        </w:rPr>
        <w:t xml:space="preserve"> avoir une ancienneté d’au moins un an (12 mois) auprès de votre employeur actuel, dans un cadre statutaire ou </w:t>
      </w:r>
      <w:r w:rsidR="000D7C5A" w:rsidRPr="000D7C5A">
        <w:rPr>
          <w:lang w:val="fr-BE"/>
        </w:rPr>
        <w:t>contractuel;</w:t>
      </w:r>
      <w:r w:rsidRPr="000D7C5A">
        <w:rPr>
          <w:lang w:val="fr-BE"/>
        </w:rPr>
        <w:t xml:space="preserve"> </w:t>
      </w:r>
    </w:p>
    <w:p w14:paraId="3AF2D41F" w14:textId="77777777" w:rsidR="006B1C4C" w:rsidRPr="000D7C5A" w:rsidRDefault="00FB4762">
      <w:pPr>
        <w:ind w:left="-5" w:right="0"/>
        <w:rPr>
          <w:lang w:val="fr-BE"/>
        </w:rPr>
      </w:pPr>
      <w:r w:rsidRPr="000D7C5A">
        <w:rPr>
          <w:u w:val="single" w:color="000000"/>
          <w:lang w:val="fr-BE"/>
        </w:rPr>
        <w:t>Employeur :</w:t>
      </w:r>
      <w:r w:rsidRPr="000D7C5A">
        <w:rPr>
          <w:lang w:val="fr-BE"/>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 </w:t>
      </w:r>
    </w:p>
    <w:p w14:paraId="10C08640" w14:textId="77777777" w:rsidR="006B1C4C" w:rsidRPr="000D7C5A" w:rsidRDefault="00FB4762">
      <w:pPr>
        <w:ind w:left="-5" w:right="0"/>
        <w:rPr>
          <w:lang w:val="fr-BE"/>
        </w:rPr>
      </w:pPr>
      <w:r w:rsidRPr="000D7C5A">
        <w:rPr>
          <w:u w:val="single" w:color="000000"/>
          <w:lang w:val="fr-BE"/>
        </w:rPr>
        <w:t>Compétences linguistiques :</w:t>
      </w:r>
      <w:r w:rsidRPr="000D7C5A">
        <w:rPr>
          <w:lang w:val="fr-BE"/>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 </w:t>
      </w:r>
    </w:p>
    <w:p w14:paraId="44EB08AF" w14:textId="77777777" w:rsidR="006B1C4C" w:rsidRPr="000D7C5A" w:rsidRDefault="00FB4762">
      <w:pPr>
        <w:spacing w:after="220" w:line="259" w:lineRule="auto"/>
        <w:ind w:left="0" w:right="0" w:firstLine="0"/>
        <w:jc w:val="left"/>
        <w:rPr>
          <w:lang w:val="fr-BE"/>
        </w:rPr>
      </w:pPr>
      <w:r w:rsidRPr="000D7C5A">
        <w:rPr>
          <w:lang w:val="fr-BE"/>
        </w:rPr>
        <w:t xml:space="preserve"> </w:t>
      </w:r>
    </w:p>
    <w:p w14:paraId="07B90DB3" w14:textId="77777777" w:rsidR="006B1C4C" w:rsidRPr="000D7C5A" w:rsidRDefault="00FB4762">
      <w:pPr>
        <w:spacing w:after="223" w:line="251" w:lineRule="auto"/>
        <w:ind w:left="-5" w:right="0"/>
        <w:rPr>
          <w:lang w:val="fr-BE"/>
        </w:rPr>
      </w:pPr>
      <w:r w:rsidRPr="000D7C5A">
        <w:rPr>
          <w:b/>
          <w:u w:val="single" w:color="000000"/>
          <w:lang w:val="fr-BE"/>
        </w:rPr>
        <w:t>Conditions du détachement</w:t>
      </w:r>
      <w:r w:rsidRPr="000D7C5A">
        <w:rPr>
          <w:b/>
          <w:lang w:val="fr-BE"/>
        </w:rPr>
        <w:t xml:space="preserve"> </w:t>
      </w:r>
    </w:p>
    <w:p w14:paraId="614F439F" w14:textId="77777777" w:rsidR="006B1C4C" w:rsidRPr="000D7C5A" w:rsidRDefault="00FB4762">
      <w:pPr>
        <w:ind w:left="-5" w:right="0"/>
        <w:rPr>
          <w:lang w:val="fr-BE"/>
        </w:rPr>
      </w:pPr>
      <w:r w:rsidRPr="000D7C5A">
        <w:rPr>
          <w:lang w:val="fr-BE"/>
        </w:rPr>
        <w:t xml:space="preserve">Durant toute la durée de votre détachement, vous devrez rester employé et rémunéré par votre employeur et devrez également rester couvert par votre sécurité sociale (nationale). </w:t>
      </w:r>
    </w:p>
    <w:p w14:paraId="38E2226C" w14:textId="77777777" w:rsidR="006B1C4C" w:rsidRPr="000D7C5A" w:rsidRDefault="00FB4762">
      <w:pPr>
        <w:ind w:left="-5" w:right="0"/>
        <w:rPr>
          <w:lang w:val="fr-BE"/>
        </w:rPr>
      </w:pPr>
      <w:r w:rsidRPr="000D7C5A">
        <w:rPr>
          <w:lang w:val="fr-BE"/>
        </w:rPr>
        <w:lastRenderedPageBreak/>
        <w:t xml:space="preserve">Vous exercerez vos fonctions au sein de la Commission dans les conditions fixées par la décision END précitée et serez soumis(e) aux règles de confidentialité, de loyauté et d’absence de conflit d’intérêts qui y sont définies. </w:t>
      </w:r>
    </w:p>
    <w:p w14:paraId="564F6625" w14:textId="77777777" w:rsidR="006B1C4C" w:rsidRPr="000D7C5A" w:rsidRDefault="00FB4762">
      <w:pPr>
        <w:ind w:left="-5" w:right="0"/>
        <w:rPr>
          <w:lang w:val="fr-BE"/>
        </w:rPr>
      </w:pPr>
      <w:r w:rsidRPr="000D7C5A">
        <w:rPr>
          <w:lang w:val="fr-BE"/>
        </w:rPr>
        <w:t xml:space="preserve">Dans le cas où le poste est publié avec indemnités de séjour, celles-ci ne vous seront octroyées que si vous remplissez les conditions prévues à l’article 17 de la décision END. </w:t>
      </w:r>
    </w:p>
    <w:p w14:paraId="3F0E7C46" w14:textId="77777777" w:rsidR="006B1C4C" w:rsidRPr="000D7C5A" w:rsidRDefault="00FB4762">
      <w:pPr>
        <w:ind w:left="-5" w:right="0"/>
        <w:rPr>
          <w:lang w:val="fr-BE"/>
        </w:rPr>
      </w:pPr>
      <w:r w:rsidRPr="000D7C5A">
        <w:rPr>
          <w:lang w:val="fr-BE"/>
        </w:rPr>
        <w:t xml:space="preserve">Le personnel en poste dans une délégation de l’Union européenne doit obligatoirement disposer d’une habilitation de sécurité (jusqu’au niveau SECRET UE/EU SECRET conformément </w:t>
      </w:r>
      <w:hyperlink r:id="rId18">
        <w:r w:rsidRPr="000D7C5A">
          <w:rPr>
            <w:color w:val="0000FF"/>
            <w:u w:val="single" w:color="0000FF"/>
            <w:lang w:val="fr-BE"/>
          </w:rPr>
          <w:t xml:space="preserve">à la décision de la Commission (EU </w:t>
        </w:r>
      </w:hyperlink>
      <w:hyperlink r:id="rId19">
        <w:r w:rsidRPr="000D7C5A">
          <w:rPr>
            <w:color w:val="0000FF"/>
            <w:u w:val="single" w:color="0000FF"/>
            <w:lang w:val="fr-BE"/>
          </w:rPr>
          <w:t xml:space="preserve">– </w:t>
        </w:r>
      </w:hyperlink>
      <w:hyperlink r:id="rId20">
        <w:r w:rsidRPr="000D7C5A">
          <w:rPr>
            <w:color w:val="0000FF"/>
            <w:u w:val="single" w:color="0000FF"/>
            <w:lang w:val="fr-BE"/>
          </w:rPr>
          <w:t>Euratom) 2015/444 du 13 mars 2015</w:t>
        </w:r>
      </w:hyperlink>
      <w:hyperlink r:id="rId21">
        <w:r w:rsidRPr="000D7C5A">
          <w:rPr>
            <w:lang w:val="fr-BE"/>
          </w:rPr>
          <w:t>.</w:t>
        </w:r>
      </w:hyperlink>
      <w:r w:rsidRPr="000D7C5A">
        <w:rPr>
          <w:lang w:val="fr-BE"/>
        </w:rPr>
        <w:t xml:space="preserve"> Il vous appartient de lancer cette procédure d’habilitation de sécurité avant d’obtenir la confirmation de votre détachement. </w:t>
      </w:r>
    </w:p>
    <w:p w14:paraId="29C25350" w14:textId="77777777" w:rsidR="006B1C4C" w:rsidRPr="000D7C5A" w:rsidRDefault="00FB4762">
      <w:pPr>
        <w:spacing w:after="220" w:line="259" w:lineRule="auto"/>
        <w:ind w:left="0" w:right="0" w:firstLine="0"/>
        <w:jc w:val="left"/>
        <w:rPr>
          <w:lang w:val="fr-BE"/>
        </w:rPr>
      </w:pPr>
      <w:r w:rsidRPr="000D7C5A">
        <w:rPr>
          <w:lang w:val="fr-BE"/>
        </w:rPr>
        <w:t xml:space="preserve"> </w:t>
      </w:r>
    </w:p>
    <w:p w14:paraId="1F02DB49" w14:textId="77777777" w:rsidR="006B1C4C" w:rsidRPr="000D7C5A" w:rsidRDefault="00FB4762">
      <w:pPr>
        <w:spacing w:after="223" w:line="251" w:lineRule="auto"/>
        <w:ind w:left="-5" w:right="0"/>
        <w:rPr>
          <w:lang w:val="fr-BE"/>
        </w:rPr>
      </w:pPr>
      <w:r w:rsidRPr="000D7C5A">
        <w:rPr>
          <w:b/>
          <w:u w:val="single" w:color="000000"/>
          <w:lang w:val="fr-BE"/>
        </w:rPr>
        <w:t>Soumission des candidatures et procédure de sélection</w:t>
      </w:r>
      <w:r w:rsidRPr="000D7C5A">
        <w:rPr>
          <w:b/>
          <w:lang w:val="fr-BE"/>
        </w:rPr>
        <w:t xml:space="preserve"> </w:t>
      </w:r>
    </w:p>
    <w:p w14:paraId="6D44EB6E" w14:textId="77777777" w:rsidR="006B1C4C" w:rsidRPr="000D7C5A" w:rsidRDefault="00FB4762">
      <w:pPr>
        <w:ind w:left="-5" w:right="0"/>
        <w:rPr>
          <w:lang w:val="fr-BE"/>
        </w:rPr>
      </w:pPr>
      <w:r w:rsidRPr="000D7C5A">
        <w:rPr>
          <w:lang w:val="fr-BE"/>
        </w:rPr>
        <w:t>Vous devez envoyer votre candidature</w:t>
      </w:r>
      <w:r w:rsidRPr="000D7C5A">
        <w:rPr>
          <w:b/>
          <w:color w:val="FF0000"/>
          <w:lang w:val="fr-BE"/>
        </w:rPr>
        <w:t xml:space="preserve"> </w:t>
      </w:r>
      <w:r w:rsidRPr="000D7C5A">
        <w:rPr>
          <w:lang w:val="fr-BE"/>
        </w:rPr>
        <w:t xml:space="preserve">sous format </w:t>
      </w:r>
      <w:r w:rsidRPr="000D7C5A">
        <w:rPr>
          <w:b/>
          <w:lang w:val="fr-BE"/>
        </w:rPr>
        <w:t xml:space="preserve">CV Europass </w:t>
      </w:r>
      <w:hyperlink r:id="rId22">
        <w:r w:rsidRPr="000D7C5A">
          <w:rPr>
            <w:lang w:val="fr-BE"/>
          </w:rPr>
          <w:t>(</w:t>
        </w:r>
      </w:hyperlink>
      <w:hyperlink r:id="rId23">
        <w:r w:rsidRPr="000D7C5A">
          <w:rPr>
            <w:color w:val="0000FF"/>
            <w:u w:val="single" w:color="0000FF"/>
            <w:lang w:val="fr-BE"/>
          </w:rPr>
          <w:t>Créez votre CV</w:t>
        </w:r>
      </w:hyperlink>
      <w:hyperlink r:id="rId24">
        <w:r w:rsidRPr="000D7C5A">
          <w:rPr>
            <w:color w:val="0000FF"/>
            <w:lang w:val="fr-BE"/>
          </w:rPr>
          <w:t xml:space="preserve"> </w:t>
        </w:r>
      </w:hyperlink>
      <w:hyperlink r:id="rId25">
        <w:r w:rsidRPr="000D7C5A">
          <w:rPr>
            <w:color w:val="0000FF"/>
            <w:u w:val="single" w:color="0000FF"/>
            <w:lang w:val="fr-BE"/>
          </w:rPr>
          <w:t>Europass | Europass</w:t>
        </w:r>
      </w:hyperlink>
      <w:hyperlink r:id="rId26">
        <w:r w:rsidRPr="000D7C5A">
          <w:rPr>
            <w:lang w:val="fr-BE"/>
          </w:rPr>
          <w:t>)</w:t>
        </w:r>
      </w:hyperlink>
      <w:r w:rsidRPr="000D7C5A">
        <w:rPr>
          <w:b/>
          <w:lang w:val="fr-BE"/>
        </w:rPr>
        <w:t xml:space="preserve"> </w:t>
      </w:r>
      <w:r w:rsidRPr="000D7C5A">
        <w:rPr>
          <w:lang w:val="fr-BE"/>
        </w:rPr>
        <w:t>en français, anglais ou allemand.</w:t>
      </w:r>
      <w:r w:rsidRPr="000D7C5A">
        <w:rPr>
          <w:b/>
          <w:lang w:val="fr-BE"/>
        </w:rPr>
        <w:t xml:space="preserve"> </w:t>
      </w:r>
      <w:r w:rsidRPr="000D7C5A">
        <w:rPr>
          <w:lang w:val="fr-BE"/>
        </w:rPr>
        <w:t xml:space="preserve">Votre CV doit obligatoirement mentionner votre nationalité. </w:t>
      </w:r>
    </w:p>
    <w:p w14:paraId="0808DCD1" w14:textId="77777777" w:rsidR="006B1C4C" w:rsidRPr="000D7C5A" w:rsidRDefault="00FB4762">
      <w:pPr>
        <w:ind w:left="-5" w:right="0"/>
        <w:rPr>
          <w:lang w:val="fr-BE"/>
        </w:rPr>
      </w:pPr>
      <w:r w:rsidRPr="000D7C5A">
        <w:rPr>
          <w:lang w:val="fr-BE"/>
        </w:rPr>
        <w:t>Veuillez ne pas ajouter d’autres documents</w:t>
      </w:r>
      <w:r w:rsidRPr="000D7C5A">
        <w:rPr>
          <w:b/>
          <w:lang w:val="fr-BE"/>
        </w:rPr>
        <w:t xml:space="preserve"> </w:t>
      </w:r>
      <w:r w:rsidRPr="000D7C5A">
        <w:rPr>
          <w:lang w:val="fr-BE"/>
        </w:rPr>
        <w:t xml:space="preserve">(tels que copie de carte d’identité, copie des diplômes ou attestation d’expérience professionnelle, etc.). Le cas échéant, ces documents vous seront demandés ultérieurement. </w:t>
      </w:r>
    </w:p>
    <w:p w14:paraId="570BE929" w14:textId="77777777" w:rsidR="006B1C4C" w:rsidRPr="000D7C5A" w:rsidRDefault="00FB4762">
      <w:pPr>
        <w:spacing w:after="220" w:line="259" w:lineRule="auto"/>
        <w:ind w:left="0" w:right="0" w:firstLine="0"/>
        <w:jc w:val="left"/>
        <w:rPr>
          <w:lang w:val="fr-BE"/>
        </w:rPr>
      </w:pPr>
      <w:r w:rsidRPr="000D7C5A">
        <w:rPr>
          <w:lang w:val="fr-BE"/>
        </w:rPr>
        <w:t xml:space="preserve"> </w:t>
      </w:r>
    </w:p>
    <w:p w14:paraId="7EFC9C50" w14:textId="77777777" w:rsidR="006B1C4C" w:rsidRPr="000D7C5A" w:rsidRDefault="00FB4762">
      <w:pPr>
        <w:spacing w:after="223" w:line="251" w:lineRule="auto"/>
        <w:ind w:left="-5" w:right="0"/>
        <w:rPr>
          <w:lang w:val="fr-BE"/>
        </w:rPr>
      </w:pPr>
      <w:r w:rsidRPr="000D7C5A">
        <w:rPr>
          <w:b/>
          <w:u w:val="single" w:color="000000"/>
          <w:lang w:val="fr-BE"/>
        </w:rPr>
        <w:t>Traitement des données à caractère personnel</w:t>
      </w:r>
      <w:r w:rsidRPr="000D7C5A">
        <w:rPr>
          <w:b/>
          <w:lang w:val="fr-BE"/>
        </w:rPr>
        <w:t xml:space="preserve"> </w:t>
      </w:r>
    </w:p>
    <w:p w14:paraId="3C05A1C6" w14:textId="77777777" w:rsidR="006B1C4C" w:rsidRPr="000D7C5A" w:rsidRDefault="00FB4762">
      <w:pPr>
        <w:spacing w:after="2428"/>
        <w:ind w:left="-5" w:right="0"/>
        <w:rPr>
          <w:lang w:val="fr-BE"/>
        </w:rPr>
      </w:pPr>
      <w:r w:rsidRPr="000D7C5A">
        <w:rPr>
          <w:lang w:val="fr-BE"/>
        </w:rPr>
        <w:t>La Commission européenne veillera à ce que les données à caractère personnel des candidats soient traitées dans le plein respect du règlement (UE) 2018/1725 du Parlement européen et du Conseil (</w:t>
      </w:r>
      <w:r w:rsidRPr="000D7C5A">
        <w:rPr>
          <w:vertAlign w:val="superscript"/>
          <w:lang w:val="fr-BE"/>
        </w:rPr>
        <w:t>1</w:t>
      </w:r>
      <w:r w:rsidRPr="000D7C5A">
        <w:rPr>
          <w:lang w:val="fr-BE"/>
        </w:rPr>
        <w:t xml:space="preserve">). Ces dispositions s’appliquent en particulier à la confidentialité et à la sécurité de ces données. Avant de postuler, veuillez lire la déclaration de confidentialité. </w:t>
      </w:r>
    </w:p>
    <w:p w14:paraId="3F1BF462" w14:textId="77777777" w:rsidR="006B1C4C" w:rsidRPr="000D7C5A" w:rsidRDefault="00FB4762">
      <w:pPr>
        <w:spacing w:after="0" w:line="259" w:lineRule="auto"/>
        <w:ind w:left="0" w:right="0" w:firstLine="0"/>
        <w:jc w:val="left"/>
        <w:rPr>
          <w:lang w:val="fr-BE"/>
        </w:rPr>
      </w:pPr>
      <w:r w:rsidRPr="000D7C5A">
        <w:rPr>
          <w:strike/>
          <w:lang w:val="fr-BE"/>
        </w:rPr>
        <w:t xml:space="preserve">                                                </w:t>
      </w:r>
      <w:r w:rsidRPr="000D7C5A">
        <w:rPr>
          <w:lang w:val="fr-BE"/>
        </w:rPr>
        <w:t xml:space="preserve"> </w:t>
      </w:r>
    </w:p>
    <w:p w14:paraId="2E7B2A12" w14:textId="77777777" w:rsidR="006B1C4C" w:rsidRPr="000D7C5A" w:rsidRDefault="00FB4762">
      <w:pPr>
        <w:spacing w:after="0" w:line="245" w:lineRule="auto"/>
        <w:ind w:left="358" w:right="12" w:hanging="358"/>
        <w:rPr>
          <w:lang w:val="fr-BE"/>
        </w:rPr>
      </w:pPr>
      <w:r w:rsidRPr="000D7C5A">
        <w:rPr>
          <w:sz w:val="20"/>
          <w:lang w:val="fr-BE"/>
        </w:rPr>
        <w:t>(</w:t>
      </w:r>
      <w:r w:rsidRPr="000D7C5A">
        <w:rPr>
          <w:sz w:val="20"/>
          <w:vertAlign w:val="superscript"/>
          <w:lang w:val="fr-BE"/>
        </w:rPr>
        <w:t>1</w:t>
      </w:r>
      <w:r w:rsidRPr="000D7C5A">
        <w:rPr>
          <w:sz w:val="20"/>
          <w:lang w:val="fr-BE"/>
        </w:rPr>
        <w:t xml:space="preserve">)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p>
    <w:sectPr w:rsidR="006B1C4C" w:rsidRPr="000D7C5A">
      <w:footerReference w:type="even" r:id="rId27"/>
      <w:footerReference w:type="default" r:id="rId28"/>
      <w:footerReference w:type="first" r:id="rId29"/>
      <w:pgSz w:w="11906" w:h="16838"/>
      <w:pgMar w:top="1025" w:right="1697" w:bottom="1079" w:left="158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26A65" w14:textId="77777777" w:rsidR="002C5B81" w:rsidRDefault="00FB4762">
      <w:pPr>
        <w:spacing w:after="0" w:line="240" w:lineRule="auto"/>
      </w:pPr>
      <w:r>
        <w:separator/>
      </w:r>
    </w:p>
  </w:endnote>
  <w:endnote w:type="continuationSeparator" w:id="0">
    <w:p w14:paraId="433BCC7A" w14:textId="77777777" w:rsidR="002C5B81" w:rsidRDefault="00FB4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F5D8" w14:textId="77777777" w:rsidR="006B1C4C" w:rsidRDefault="00FB4762">
    <w:pPr>
      <w:spacing w:after="0" w:line="259" w:lineRule="auto"/>
      <w:ind w:left="0" w:right="1"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C4F1" w14:textId="77777777" w:rsidR="006B1C4C" w:rsidRDefault="00FB4762">
    <w:pPr>
      <w:spacing w:after="0" w:line="259" w:lineRule="auto"/>
      <w:ind w:left="0" w:right="1"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F3419" w14:textId="77777777" w:rsidR="006B1C4C" w:rsidRDefault="006B1C4C">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ACBA9" w14:textId="77777777" w:rsidR="002C5B81" w:rsidRDefault="00FB4762">
      <w:pPr>
        <w:spacing w:after="0" w:line="240" w:lineRule="auto"/>
      </w:pPr>
      <w:r>
        <w:separator/>
      </w:r>
    </w:p>
  </w:footnote>
  <w:footnote w:type="continuationSeparator" w:id="0">
    <w:p w14:paraId="2068132D" w14:textId="77777777" w:rsidR="002C5B81" w:rsidRDefault="00FB47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12687"/>
    <w:multiLevelType w:val="hybridMultilevel"/>
    <w:tmpl w:val="9A2AEB6E"/>
    <w:lvl w:ilvl="0" w:tplc="876CD07A">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440E2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9AE67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A4A82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3426E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00668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C6F6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6E533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88144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58102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C4C"/>
    <w:rsid w:val="000D7C5A"/>
    <w:rsid w:val="002C5B81"/>
    <w:rsid w:val="00477D7E"/>
    <w:rsid w:val="00537CAA"/>
    <w:rsid w:val="006B1C4C"/>
    <w:rsid w:val="009C741A"/>
    <w:rsid w:val="00FB476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ED9AE1"/>
  <w15:docId w15:val="{53EDAA2F-C87A-4C1F-B8AB-E6034261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9" w:lineRule="auto"/>
      <w:ind w:left="10" w:right="657"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10"/>
      <w:ind w:left="10" w:right="6"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eur-lex.europa.eu/legal-content/FR/TXT/?uri=CELEX:32015D0444" TargetMode="External"/><Relationship Id="rId26" Type="http://schemas.openxmlformats.org/officeDocument/2006/relationships/hyperlink" Target="https://europa.eu/europass/fr/create-your-europass-cv" TargetMode="External"/><Relationship Id="rId3" Type="http://schemas.openxmlformats.org/officeDocument/2006/relationships/settings" Target="settings.xml"/><Relationship Id="rId21" Type="http://schemas.openxmlformats.org/officeDocument/2006/relationships/hyperlink" Target="https://eur-lex.europa.eu/legal-content/FR/TXT/?uri=CELEX:32015D0444"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50.png"/><Relationship Id="rId25" Type="http://schemas.openxmlformats.org/officeDocument/2006/relationships/hyperlink" Target="https://europa.eu/europass/fr/create-your-europass-cv" TargetMode="External"/><Relationship Id="rId2" Type="http://schemas.openxmlformats.org/officeDocument/2006/relationships/styles" Target="styles.xml"/><Relationship Id="rId16" Type="http://schemas.openxmlformats.org/officeDocument/2006/relationships/image" Target="media/image40.png"/><Relationship Id="rId20" Type="http://schemas.openxmlformats.org/officeDocument/2006/relationships/hyperlink" Target="https://eur-lex.europa.eu/legal-content/FR/TXT/?uri=CELEX:32015D0444"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europa.eu/europass/fr/create-your-europass-cv"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s://europa.eu/europass/fr/create-your-europass-cv" TargetMode="External"/><Relationship Id="rId28" Type="http://schemas.openxmlformats.org/officeDocument/2006/relationships/footer" Target="footer2.xml"/><Relationship Id="rId10" Type="http://schemas.openxmlformats.org/officeDocument/2006/relationships/image" Target="media/image0.png"/><Relationship Id="rId19" Type="http://schemas.openxmlformats.org/officeDocument/2006/relationships/hyperlink" Target="https://eur-lex.europa.eu/legal-content/FR/TXT/?uri=CELEX:32015D0444"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hyperlink" Target="https://europa.eu/europass/fr/create-your-europass-cv"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1414</Words>
  <Characters>8646</Characters>
  <Application>Microsoft Office Word</Application>
  <DocSecurity>4</DocSecurity>
  <Lines>320</Lines>
  <Paragraphs>223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cp:lastModifiedBy>JADOT Catherine (HR)</cp:lastModifiedBy>
  <cp:revision>2</cp:revision>
  <dcterms:created xsi:type="dcterms:W3CDTF">2023-07-10T13:27:00Z</dcterms:created>
  <dcterms:modified xsi:type="dcterms:W3CDTF">2023-07-10T13:27:00Z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2023-06-06T16:18:38Z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277a6632-6109-4e44-9155-f18c365c5cb1</vt:lpwstr>
  </property>
  <property fmtid="{D5CDD505-2E9C-101B-9397-08002B2CF9AE}" pid="8" name="MSIP_Label_6bd9ddd1-4d20-43f6-abfa-fc3c07406f94_ContentBits">
    <vt:lpwstr>0</vt:lpwstr>
  </property>
</Properties>
</file>