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US" w:eastAsia="en-US"/>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8665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8665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8665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8665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8665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8665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8665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42C92974343248E5A02593E9CFC44559"/>
                </w:placeholder>
              </w:sdtPr>
              <w:sdtEndPr>
                <w:rPr>
                  <w:noProof/>
                  <w:lang w:val="fr-FR"/>
                </w:rPr>
              </w:sdtEndPr>
              <w:sdtContent>
                <w:tc>
                  <w:tcPr>
                    <w:tcW w:w="5491" w:type="dxa"/>
                  </w:tcPr>
                  <w:p w14:paraId="3964EE4F" w14:textId="77777777" w:rsidR="00486652" w:rsidRPr="0087738B" w:rsidRDefault="00486652" w:rsidP="00486652">
                    <w:pPr>
                      <w:tabs>
                        <w:tab w:val="left" w:pos="426"/>
                      </w:tabs>
                      <w:rPr>
                        <w:bCs/>
                        <w:noProof/>
                        <w:lang w:eastAsia="en-GB"/>
                      </w:rPr>
                    </w:pPr>
                    <w:r w:rsidRPr="0087738B">
                      <w:rPr>
                        <w:bCs/>
                        <w:noProof/>
                        <w:lang w:eastAsia="en-GB"/>
                      </w:rPr>
                      <w:t>DG HOME – Migration et Affaires intérieures</w:t>
                    </w:r>
                  </w:p>
                  <w:p w14:paraId="70172616" w14:textId="77777777" w:rsidR="00486652" w:rsidRPr="0087738B" w:rsidRDefault="00486652" w:rsidP="00486652">
                    <w:pPr>
                      <w:tabs>
                        <w:tab w:val="left" w:pos="426"/>
                      </w:tabs>
                      <w:rPr>
                        <w:bCs/>
                        <w:noProof/>
                        <w:lang w:eastAsia="en-GB"/>
                      </w:rPr>
                    </w:pPr>
                    <w:r w:rsidRPr="0087738B">
                      <w:rPr>
                        <w:bCs/>
                        <w:noProof/>
                        <w:lang w:eastAsia="en-GB"/>
                      </w:rPr>
                      <w:t xml:space="preserve">Directorat F “Innovation et Audit” </w:t>
                    </w:r>
                  </w:p>
                  <w:p w14:paraId="2AA4F572" w14:textId="431D0E95" w:rsidR="00377580" w:rsidRPr="00486652" w:rsidRDefault="00486652" w:rsidP="00486652">
                    <w:pPr>
                      <w:tabs>
                        <w:tab w:val="left" w:pos="426"/>
                      </w:tabs>
                      <w:rPr>
                        <w:bCs/>
                        <w:lang w:val="fr-BE" w:eastAsia="en-GB"/>
                      </w:rPr>
                    </w:pPr>
                    <w:r w:rsidRPr="0087738B">
                      <w:rPr>
                        <w:bCs/>
                        <w:noProof/>
                        <w:lang w:eastAsia="en-GB"/>
                      </w:rPr>
                      <w:t>Unité F.1 “Audit et Conformité”</w:t>
                    </w:r>
                  </w:p>
                </w:tc>
              </w:sdtContent>
            </w:sdt>
          </w:sdtContent>
        </w:sdt>
      </w:tr>
      <w:tr w:rsidR="00377580" w:rsidRPr="0048665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B82768A" w:rsidR="00377580" w:rsidRPr="00080A71" w:rsidRDefault="00486652" w:rsidP="00486652">
                <w:pPr>
                  <w:tabs>
                    <w:tab w:val="left" w:pos="426"/>
                  </w:tabs>
                  <w:rPr>
                    <w:bCs/>
                    <w:lang w:val="en-IE" w:eastAsia="en-GB"/>
                  </w:rPr>
                </w:pPr>
                <w:r>
                  <w:rPr>
                    <w:bCs/>
                    <w:lang w:val="fr-BE" w:eastAsia="en-GB"/>
                  </w:rPr>
                  <w:t>275486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41402E25" w14:textId="77777777" w:rsidR="00486652" w:rsidRPr="0087738B" w:rsidRDefault="00486652" w:rsidP="00486652">
                <w:pPr>
                  <w:spacing w:after="0"/>
                  <w:rPr>
                    <w:noProof/>
                    <w:szCs w:val="24"/>
                  </w:rPr>
                </w:pPr>
                <w:r w:rsidRPr="0087738B">
                  <w:rPr>
                    <w:noProof/>
                    <w:szCs w:val="24"/>
                  </w:rPr>
                  <w:t>Angelina Gros Tchorbadjiyska</w:t>
                </w:r>
              </w:p>
              <w:p w14:paraId="369CA7C8" w14:textId="79976D11" w:rsidR="00377580" w:rsidRPr="00080A71" w:rsidRDefault="00486652" w:rsidP="005F6927">
                <w:pPr>
                  <w:tabs>
                    <w:tab w:val="left" w:pos="426"/>
                  </w:tabs>
                  <w:rPr>
                    <w:bCs/>
                    <w:lang w:val="en-IE" w:eastAsia="en-GB"/>
                  </w:rPr>
                </w:pPr>
              </w:p>
            </w:sdtContent>
          </w:sdt>
          <w:p w14:paraId="32DD8032" w14:textId="766D5C54" w:rsidR="00377580" w:rsidRPr="001D3EEC" w:rsidRDefault="0048665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 xml:space="preserve">Quatrieme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2A8745E7" w:rsidR="00377580" w:rsidRPr="001D3EEC" w:rsidRDefault="0048665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55A87BE"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55BED1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1.5pt" o:ole="">
                  <v:imagedata r:id="rId15" o:title=""/>
                </v:shape>
                <w:control r:id="rId16"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8665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8665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8665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13387F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5pt;height:21.5pt" o:ole="">
                  <v:imagedata r:id="rId17" o:title=""/>
                </v:shape>
                <w:control r:id="rId18" w:name="OptionButton5" w:shapeid="_x0000_i1049"/>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bookmarkStart w:id="0" w:name="_GoBack"/>
        <w:tc>
          <w:tcPr>
            <w:tcW w:w="5491" w:type="dxa"/>
          </w:tcPr>
          <w:p w14:paraId="63DD2FA8" w14:textId="436D8FE8"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53" type="#_x0000_t75" style="width:108pt;height:21.5pt" o:ole="">
                  <v:imagedata r:id="rId19" o:title=""/>
                </v:shape>
                <w:control r:id="rId20" w:name="OptionButton2" w:shapeid="_x0000_i1053"/>
              </w:object>
            </w:r>
            <w:bookmarkEnd w:id="0"/>
            <w:r>
              <w:rPr>
                <w:bCs/>
                <w:szCs w:val="24"/>
                <w:lang w:val="en-GB" w:eastAsia="en-GB"/>
              </w:rPr>
              <w:object w:dxaOrig="225" w:dyaOrig="225" w14:anchorId="7A15FAEE">
                <v:shape id="_x0000_i1052" type="#_x0000_t75" style="width:108pt;height:21.5pt" o:ole="">
                  <v:imagedata r:id="rId21" o:title=""/>
                </v:shape>
                <w:control r:id="rId22" w:name="OptionButton3" w:shapeid="_x0000_i1052"/>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1236628" w14:textId="77777777" w:rsidR="00486652" w:rsidRPr="0087738B" w:rsidRDefault="00486652" w:rsidP="00486652">
          <w:pPr>
            <w:spacing w:after="0"/>
            <w:rPr>
              <w:lang w:eastAsia="en-GB"/>
            </w:rPr>
          </w:pPr>
        </w:p>
        <w:p w14:paraId="6612D523" w14:textId="77777777" w:rsidR="00486652" w:rsidRPr="0087738B" w:rsidRDefault="00486652" w:rsidP="00486652">
          <w:pPr>
            <w:spacing w:after="0"/>
          </w:pPr>
          <w:r w:rsidRPr="0087738B">
            <w:t xml:space="preserve">La direction générale de la migration et des affaires intérieures (DG HOME) supervise la politique de l’UE en matière de sécurité, de frontières et de migration. La DG HOME emploie environ 600 personnes, réparties entre 26 unités et 6 directions. Le large éventail </w:t>
          </w:r>
          <w:r w:rsidRPr="0087738B">
            <w:lastRenderedPageBreak/>
            <w:t xml:space="preserve">de responsabilités crée un environnement de travail intéressant et stimulant. La mission de l’unité F1 «Audit et conformité» est de contribuer à s'assurer que les ressources allouées </w:t>
          </w:r>
          <w:r w:rsidRPr="00EC7034">
            <w:t>à</w:t>
          </w:r>
          <w:r>
            <w:t xml:space="preserve"> </w:t>
          </w:r>
          <w:r w:rsidRPr="0087738B">
            <w:t xml:space="preserve">la DG HOME sont conformes aux principes de bonne gestion financière. Les opérations financières de la DG HOME comprennent la gestion partagée, la gestion indirecte (y compris les agences), la gestion directe (marchés publics et subventions) et l’aide d’urgence pour faire face aux problèmes de migration et de sécurité intérieure. </w:t>
          </w:r>
        </w:p>
        <w:p w14:paraId="7B8779ED" w14:textId="77777777" w:rsidR="00486652" w:rsidRPr="0087738B" w:rsidRDefault="00486652" w:rsidP="00486652">
          <w:pPr>
            <w:spacing w:after="0"/>
          </w:pPr>
          <w:r w:rsidRPr="0087738B">
            <w:t xml:space="preserve">L’unité F1 effectue des audits, assure la mise en œuvre de la stratégie antifraude de la DG HOME et coordonne le processus de décharge avec les unités opérationnelles, les services centraux (BUDG, IAS, OLAF) et les organismes d’audit externe tels que la CCE. L’unité comprend trois secteurs: i) les audits, ii) les vérifications juridiques et financières et iii) la comptabilité, la coordination des contrôles et l’assurance. </w:t>
          </w:r>
        </w:p>
        <w:p w14:paraId="175D6D9D" w14:textId="77777777" w:rsidR="00486652" w:rsidRPr="0087738B" w:rsidRDefault="00486652" w:rsidP="00486652">
          <w:pPr>
            <w:spacing w:after="0"/>
          </w:pPr>
          <w:r w:rsidRPr="0087738B">
            <w:t xml:space="preserve">L’équipe d’audit se compose de 14 auditeurs expérimentés qui sont chargés de réaliser des audits pour les fonds </w:t>
          </w:r>
          <w:r>
            <w:t xml:space="preserve">de la DG </w:t>
          </w:r>
          <w:r w:rsidRPr="0087738B">
            <w:t xml:space="preserve">HOME gérés selon les trois modes de gestion suivants: direct, partagé et indirect. En outre, le secteur de l’audit effectue des audits ex post pour les fonds gérés par la DG JUST. </w:t>
          </w:r>
        </w:p>
        <w:p w14:paraId="18140A21" w14:textId="39B8A940" w:rsidR="001A0074" w:rsidRPr="00080A71" w:rsidRDefault="00486652"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184225C" w14:textId="77777777" w:rsidR="00486652" w:rsidRPr="0087738B" w:rsidRDefault="00486652" w:rsidP="00486652">
          <w:pPr>
            <w:spacing w:after="0"/>
          </w:pPr>
        </w:p>
        <w:p w14:paraId="55271670" w14:textId="77777777" w:rsidR="00486652" w:rsidRPr="0087738B" w:rsidRDefault="00486652" w:rsidP="00486652">
          <w:pPr>
            <w:spacing w:after="0"/>
          </w:pPr>
          <w:r w:rsidRPr="0087738B">
            <w:t xml:space="preserve">Nous proposons un travail intéressant pour un auditeur à la recherche d’un nouveau défi, dans un environnement ouvert et convivial. </w:t>
          </w:r>
        </w:p>
        <w:p w14:paraId="5794998F" w14:textId="77777777" w:rsidR="00486652" w:rsidRPr="0087738B" w:rsidRDefault="00486652" w:rsidP="00486652">
          <w:pPr>
            <w:spacing w:after="0"/>
          </w:pPr>
          <w:r w:rsidRPr="0087738B">
            <w:t xml:space="preserve">Sous la supervision du chef de secteur, le travail consiste à: </w:t>
          </w:r>
        </w:p>
        <w:p w14:paraId="7AD3D8BD" w14:textId="77777777" w:rsidR="00486652" w:rsidRPr="0087738B" w:rsidRDefault="00486652" w:rsidP="00486652">
          <w:pPr>
            <w:spacing w:after="0"/>
          </w:pPr>
          <w:r w:rsidRPr="0087738B">
            <w:t>-La réalisation d’audits de systèmes et de projets,</w:t>
          </w:r>
        </w:p>
        <w:p w14:paraId="2C2ECA0A" w14:textId="77777777" w:rsidR="00486652" w:rsidRPr="0087738B" w:rsidRDefault="00486652" w:rsidP="00486652">
          <w:pPr>
            <w:spacing w:after="0"/>
          </w:pPr>
          <w:r w:rsidRPr="0087738B">
            <w:t>-La surveillance des sociétés d’audit privées,</w:t>
          </w:r>
        </w:p>
        <w:p w14:paraId="1A09B362" w14:textId="77777777" w:rsidR="00486652" w:rsidRPr="0087738B" w:rsidRDefault="00486652" w:rsidP="00486652">
          <w:pPr>
            <w:spacing w:after="0"/>
          </w:pPr>
          <w:r w:rsidRPr="0087738B">
            <w:t>-Conseiller et consulter les autorités d’audit des États membres et les unités politiques sur les questions d’audit</w:t>
          </w:r>
          <w:r>
            <w:t> ;</w:t>
          </w:r>
        </w:p>
        <w:p w14:paraId="0133709A" w14:textId="77777777" w:rsidR="00486652" w:rsidRPr="0087738B" w:rsidRDefault="00486652" w:rsidP="00486652">
          <w:pPr>
            <w:spacing w:after="0"/>
          </w:pPr>
          <w:r w:rsidRPr="0087738B">
            <w:t xml:space="preserve">-Suivre les audits réalisés par la Cour des comptes européenne et le SAI; </w:t>
          </w:r>
        </w:p>
        <w:p w14:paraId="2D7367B0" w14:textId="77777777" w:rsidR="00486652" w:rsidRPr="0087738B" w:rsidRDefault="00486652" w:rsidP="00486652">
          <w:pPr>
            <w:spacing w:after="0"/>
          </w:pPr>
          <w:r w:rsidRPr="0087738B">
            <w:t xml:space="preserve">-Contribuer à des tâches horizontales, telles que l’élaboration d’une méthodologie d’audit et le rapport annuel d’activité. </w:t>
          </w:r>
        </w:p>
        <w:p w14:paraId="3F5D9711" w14:textId="77777777" w:rsidR="00486652" w:rsidRPr="0087738B" w:rsidRDefault="00486652" w:rsidP="00486652">
          <w:pPr>
            <w:spacing w:after="0"/>
          </w:pPr>
        </w:p>
        <w:p w14:paraId="04793B23" w14:textId="77777777" w:rsidR="00486652" w:rsidRPr="0087738B" w:rsidRDefault="00486652" w:rsidP="00486652">
          <w:pPr>
            <w:spacing w:after="0"/>
          </w:pPr>
          <w:r w:rsidRPr="0087738B">
            <w:t>Les domaines d’action dynamiques que sont la migration, la gestion des frontières et la sécurité intérieure constituent une occasion unique de développer les compétences en matière d’audit dans différents modèles de gestion. En conséquence, le poste vacant attirera les candidats à la recherche d’un emploi stimulant et intéressant dans un environnement dynamique et motivant dans lequel ils peuvent prendre des initiatives, améliorer et acquérir de nouvelles compétences, et contribuer au développement du secteur de l’audit.</w:t>
          </w:r>
        </w:p>
        <w:p w14:paraId="3B1D2FA2" w14:textId="71F869DF" w:rsidR="001A0074" w:rsidRPr="00080A71" w:rsidRDefault="00486652"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eastAsia="en-GB"/>
            </w:rPr>
            <w:id w:val="-1237398815"/>
            <w:placeholder>
              <w:docPart w:val="0E33A4C6F0B3452CA2D265CB6BA98EED"/>
            </w:placeholder>
          </w:sdtPr>
          <w:sdtContent>
            <w:p w14:paraId="47A1092C" w14:textId="77777777" w:rsidR="00486652" w:rsidRPr="0087738B" w:rsidRDefault="00486652" w:rsidP="00486652">
              <w:pPr>
                <w:spacing w:after="0"/>
                <w:rPr>
                  <w:b/>
                  <w:bCs/>
                  <w:lang w:eastAsia="en-GB"/>
                </w:rPr>
              </w:pPr>
              <w:r w:rsidRPr="0087738B">
                <w:rPr>
                  <w:b/>
                  <w:bCs/>
                  <w:lang w:eastAsia="en-GB"/>
                </w:rPr>
                <w:t>Présentation de l’Unité</w:t>
              </w:r>
            </w:p>
            <w:p w14:paraId="07E9A8BE" w14:textId="77777777" w:rsidR="00486652" w:rsidRPr="0087738B" w:rsidRDefault="00486652" w:rsidP="00486652">
              <w:pPr>
                <w:spacing w:after="0"/>
                <w:rPr>
                  <w:lang w:eastAsia="en-GB"/>
                </w:rPr>
              </w:pPr>
            </w:p>
            <w:p w14:paraId="29FB26A4" w14:textId="77777777" w:rsidR="00486652" w:rsidRPr="0087738B" w:rsidRDefault="00486652" w:rsidP="00486652">
              <w:pPr>
                <w:spacing w:after="0"/>
              </w:pPr>
              <w:r w:rsidRPr="0087738B">
                <w:t xml:space="preserve">La direction générale de la migration et des affaires intérieures (DG HOME) supervise la politique de l’UE en matière de sécurité, de frontières et de migration. La DG HOME emploie environ 600 personnes, réparties entre 26 unités et 6 directions. Le large éventail de responsabilités crée un environnement de travail intéressant et stimulant. La mission de l’unité F1 «Audit et conformité» est de contribuer à s'assurer que les ressources allouées </w:t>
              </w:r>
              <w:r w:rsidRPr="00EC7034">
                <w:t>à</w:t>
              </w:r>
              <w:r>
                <w:t xml:space="preserve"> </w:t>
              </w:r>
              <w:r w:rsidRPr="0087738B">
                <w:t xml:space="preserve">la DG HOME sont conformes aux principes de bonne gestion financière. Les opérations </w:t>
              </w:r>
              <w:r w:rsidRPr="0087738B">
                <w:lastRenderedPageBreak/>
                <w:t xml:space="preserve">financières de la DG HOME comprennent la gestion partagée, la gestion indirecte (y compris les agences), la gestion directe (marchés publics et subventions) et l’aide d’urgence pour faire face aux problèmes de migration et de sécurité intérieure. </w:t>
              </w:r>
            </w:p>
            <w:p w14:paraId="23061C19" w14:textId="77777777" w:rsidR="00486652" w:rsidRPr="0087738B" w:rsidRDefault="00486652" w:rsidP="00486652">
              <w:pPr>
                <w:spacing w:after="0"/>
              </w:pPr>
              <w:r w:rsidRPr="0087738B">
                <w:t xml:space="preserve">L’unité F1 effectue des audits, assure la mise en œuvre de la stratégie antifraude de la DG HOME et coordonne le processus de décharge avec les unités opérationnelles, les services centraux (BUDG, IAS, OLAF) et les organismes d’audit externe tels que la CCE. L’unité comprend trois secteurs: i) les audits, ii) les vérifications juridiques et financières et iii) la comptabilité, la coordination des contrôles et l’assurance. </w:t>
              </w:r>
            </w:p>
            <w:p w14:paraId="3C70BF9A" w14:textId="77777777" w:rsidR="00486652" w:rsidRPr="0087738B" w:rsidRDefault="00486652" w:rsidP="00486652">
              <w:pPr>
                <w:spacing w:after="0"/>
              </w:pPr>
              <w:r w:rsidRPr="0087738B">
                <w:t xml:space="preserve">L’équipe d’audit se compose de 14 auditeurs expérimentés qui sont chargés de réaliser des audits pour les fonds </w:t>
              </w:r>
              <w:r>
                <w:t xml:space="preserve">de la DG </w:t>
              </w:r>
              <w:r w:rsidRPr="0087738B">
                <w:t xml:space="preserve">HOME gérés selon les trois modes de gestion suivants: direct, partagé et indirect. En outre, le secteur de l’audit effectue des audits ex post pour les fonds gérés par la DG JUST. </w:t>
              </w:r>
            </w:p>
            <w:p w14:paraId="4C734C97" w14:textId="77777777" w:rsidR="00486652" w:rsidRPr="0087738B" w:rsidRDefault="00486652" w:rsidP="00486652">
              <w:pPr>
                <w:spacing w:after="0"/>
              </w:pPr>
            </w:p>
            <w:p w14:paraId="7E4E07EE" w14:textId="77777777" w:rsidR="00486652" w:rsidRPr="0087738B" w:rsidRDefault="00486652" w:rsidP="00486652">
              <w:pPr>
                <w:spacing w:after="0"/>
                <w:rPr>
                  <w:b/>
                </w:rPr>
              </w:pPr>
              <w:r w:rsidRPr="0087738B">
                <w:rPr>
                  <w:b/>
                </w:rPr>
                <w:t xml:space="preserve">Présentation du poste </w:t>
              </w:r>
            </w:p>
            <w:p w14:paraId="129335D1" w14:textId="77777777" w:rsidR="00486652" w:rsidRPr="0087738B" w:rsidRDefault="00486652" w:rsidP="00486652">
              <w:pPr>
                <w:spacing w:after="0"/>
              </w:pPr>
            </w:p>
            <w:p w14:paraId="34844C3F" w14:textId="77777777" w:rsidR="00486652" w:rsidRPr="0087738B" w:rsidRDefault="00486652" w:rsidP="00486652">
              <w:pPr>
                <w:spacing w:after="0"/>
              </w:pPr>
              <w:r w:rsidRPr="0087738B">
                <w:t xml:space="preserve">Nous proposons un travail intéressant pour un auditeur à la recherche d’un nouveau défi, dans un environnement ouvert et convivial. </w:t>
              </w:r>
            </w:p>
            <w:p w14:paraId="526DE500" w14:textId="77777777" w:rsidR="00486652" w:rsidRPr="0087738B" w:rsidRDefault="00486652" w:rsidP="00486652">
              <w:pPr>
                <w:spacing w:after="0"/>
              </w:pPr>
              <w:r w:rsidRPr="0087738B">
                <w:t xml:space="preserve">Sous la supervision du chef de secteur, le travail consiste à: </w:t>
              </w:r>
            </w:p>
            <w:p w14:paraId="5CF72237" w14:textId="77777777" w:rsidR="00486652" w:rsidRPr="0087738B" w:rsidRDefault="00486652" w:rsidP="00486652">
              <w:pPr>
                <w:spacing w:after="0"/>
              </w:pPr>
              <w:r w:rsidRPr="0087738B">
                <w:t>-La réalisation d’audits de systèmes et de projets,</w:t>
              </w:r>
            </w:p>
            <w:p w14:paraId="0FE8836E" w14:textId="77777777" w:rsidR="00486652" w:rsidRPr="0087738B" w:rsidRDefault="00486652" w:rsidP="00486652">
              <w:pPr>
                <w:spacing w:after="0"/>
              </w:pPr>
              <w:r w:rsidRPr="0087738B">
                <w:t>-La surveillance des sociétés d’audit privées,</w:t>
              </w:r>
            </w:p>
            <w:p w14:paraId="6606D891" w14:textId="77777777" w:rsidR="00486652" w:rsidRPr="0087738B" w:rsidRDefault="00486652" w:rsidP="00486652">
              <w:pPr>
                <w:spacing w:after="0"/>
              </w:pPr>
              <w:r w:rsidRPr="0087738B">
                <w:t>-Conseiller et consulter les autorités d’audit des États membres et les unités politiques sur les questions d’audit</w:t>
              </w:r>
              <w:r>
                <w:t> ;</w:t>
              </w:r>
            </w:p>
            <w:p w14:paraId="2FAF2910" w14:textId="77777777" w:rsidR="00486652" w:rsidRPr="0087738B" w:rsidRDefault="00486652" w:rsidP="00486652">
              <w:pPr>
                <w:spacing w:after="0"/>
              </w:pPr>
              <w:r w:rsidRPr="0087738B">
                <w:t xml:space="preserve">-Suivre les audits réalisés par la Cour des comptes européenne et le SAI; </w:t>
              </w:r>
            </w:p>
            <w:p w14:paraId="6DC72459" w14:textId="77777777" w:rsidR="00486652" w:rsidRPr="0087738B" w:rsidRDefault="00486652" w:rsidP="00486652">
              <w:pPr>
                <w:spacing w:after="0"/>
              </w:pPr>
              <w:r w:rsidRPr="0087738B">
                <w:t xml:space="preserve">-Contribuer à des tâches horizontales, telles que l’élaboration d’une méthodologie d’audit et le rapport annuel d’activité. </w:t>
              </w:r>
            </w:p>
            <w:p w14:paraId="0BCA6CDC" w14:textId="77777777" w:rsidR="00486652" w:rsidRPr="0087738B" w:rsidRDefault="00486652" w:rsidP="00486652">
              <w:pPr>
                <w:spacing w:after="0"/>
              </w:pPr>
            </w:p>
            <w:p w14:paraId="6FBEF794" w14:textId="77777777" w:rsidR="00486652" w:rsidRPr="0087738B" w:rsidRDefault="00486652" w:rsidP="00486652">
              <w:pPr>
                <w:spacing w:after="0"/>
              </w:pPr>
              <w:r w:rsidRPr="0087738B">
                <w:t>Les domaines d’action dynamiques que sont la migration, la gestion des frontières et la sécurité intérieure constituent une occasion unique de développer les compétences en matière d’audit dans différents modèles de gestion. En conséquence, le poste vacant attirera les candidats à la recherche d’un emploi stimulant et intéressant dans un environnement dynamique et motivant dans lequel ils peuvent prendre des initiatives, améliorer et acquérir de nouvelles compétences, et contribuer au développement du secteur de l’audit.</w:t>
              </w:r>
            </w:p>
            <w:p w14:paraId="0C2CE9CC" w14:textId="77777777" w:rsidR="00486652" w:rsidRPr="0087738B" w:rsidRDefault="00486652" w:rsidP="00486652">
              <w:pPr>
                <w:spacing w:after="0"/>
              </w:pPr>
            </w:p>
            <w:p w14:paraId="3211E27E" w14:textId="77777777" w:rsidR="00486652" w:rsidRPr="0087738B" w:rsidRDefault="00486652" w:rsidP="00486652">
              <w:pPr>
                <w:spacing w:after="0"/>
                <w:rPr>
                  <w:b/>
                  <w:bCs/>
                </w:rPr>
              </w:pPr>
              <w:r w:rsidRPr="0087738B">
                <w:rPr>
                  <w:b/>
                  <w:bCs/>
                </w:rPr>
                <w:t xml:space="preserve">Profil recherché </w:t>
              </w:r>
            </w:p>
            <w:p w14:paraId="732ADC21" w14:textId="77777777" w:rsidR="00486652" w:rsidRPr="0087738B" w:rsidRDefault="00486652" w:rsidP="00486652">
              <w:pPr>
                <w:spacing w:after="0"/>
              </w:pPr>
            </w:p>
            <w:p w14:paraId="4E4BCE75" w14:textId="77777777" w:rsidR="00486652" w:rsidRPr="0087738B" w:rsidRDefault="00486652" w:rsidP="00486652">
              <w:pPr>
                <w:spacing w:after="0"/>
              </w:pPr>
              <w:r w:rsidRPr="0087738B">
                <w:t xml:space="preserve">Nous recherchons un expert national détaché motivé et enthousiaste, doté d’un sens aigu des responsabilités et d’une approche constructive et axée sur le service. Le candidat idéal pour ce poste doit posséder une variété de qualités et de compétences qui lui permettront de s’épanouir dans cette fonction, notamment : </w:t>
              </w:r>
            </w:p>
            <w:p w14:paraId="4D3C2AB5" w14:textId="77777777" w:rsidR="00486652" w:rsidRPr="0087738B" w:rsidRDefault="00486652" w:rsidP="00486652">
              <w:pPr>
                <w:spacing w:after="0"/>
              </w:pPr>
              <w:r w:rsidRPr="0087738B">
                <w:t xml:space="preserve">-Aptitude à diriger les audits de manière indépendante et à assurer un suivi adéquat et en temps utile; </w:t>
              </w:r>
            </w:p>
            <w:p w14:paraId="183F312E" w14:textId="77777777" w:rsidR="00486652" w:rsidRPr="0087738B" w:rsidRDefault="00486652" w:rsidP="00486652">
              <w:pPr>
                <w:spacing w:after="0"/>
              </w:pPr>
              <w:r w:rsidRPr="0087738B">
                <w:t>-Aptitude à défendre des positions lors de réunions avec la hiérarchie, les États membres et divers autres organes et institutions</w:t>
              </w:r>
            </w:p>
            <w:p w14:paraId="4B4E79DE" w14:textId="77777777" w:rsidR="00486652" w:rsidRPr="0087738B" w:rsidRDefault="00486652" w:rsidP="00486652">
              <w:pPr>
                <w:spacing w:after="0"/>
              </w:pPr>
              <w:r w:rsidRPr="0087738B">
                <w:t xml:space="preserve">-Possède de préférence une formation en matière d’audit ou une expérience similaire en la matière (par exemple, contrôle financier, gestion financière, droit, comptabilité); </w:t>
              </w:r>
            </w:p>
            <w:p w14:paraId="1CA6106B" w14:textId="77777777" w:rsidR="00486652" w:rsidRPr="0087738B" w:rsidRDefault="00486652" w:rsidP="00486652">
              <w:pPr>
                <w:spacing w:after="0"/>
              </w:pPr>
              <w:r w:rsidRPr="0087738B">
                <w:t xml:space="preserve">-Bonne capacité d’analyse; </w:t>
              </w:r>
            </w:p>
            <w:p w14:paraId="29D09963" w14:textId="77777777" w:rsidR="00486652" w:rsidRPr="0087738B" w:rsidRDefault="00486652" w:rsidP="00486652">
              <w:pPr>
                <w:spacing w:after="0"/>
              </w:pPr>
              <w:r w:rsidRPr="0087738B">
                <w:t xml:space="preserve">-Solides capacités de communication écrite et orale; </w:t>
              </w:r>
            </w:p>
            <w:p w14:paraId="42992D80" w14:textId="77777777" w:rsidR="00486652" w:rsidRPr="0087738B" w:rsidRDefault="00486652" w:rsidP="00486652">
              <w:pPr>
                <w:spacing w:after="0"/>
              </w:pPr>
              <w:r w:rsidRPr="0087738B">
                <w:t xml:space="preserve">-Bonnes compétences organisationnelles et gestion du temps; </w:t>
              </w:r>
            </w:p>
            <w:p w14:paraId="09736CBB" w14:textId="77777777" w:rsidR="00486652" w:rsidRPr="0087738B" w:rsidRDefault="00486652" w:rsidP="00486652">
              <w:pPr>
                <w:spacing w:after="0"/>
              </w:pPr>
              <w:r w:rsidRPr="0087738B">
                <w:t xml:space="preserve">-Excellentes compétences informatiques;  </w:t>
              </w:r>
            </w:p>
            <w:p w14:paraId="2C1F049F" w14:textId="77777777" w:rsidR="00486652" w:rsidRPr="0087738B" w:rsidRDefault="00486652" w:rsidP="00486652">
              <w:pPr>
                <w:spacing w:after="0"/>
              </w:pPr>
              <w:r w:rsidRPr="0087738B">
                <w:t>-Une expérience spécifique dans l’audit d’autres fonds de l’UE ou une expérience dans l’audit d’organisations internationales constituent un atout.</w:t>
              </w:r>
            </w:p>
            <w:p w14:paraId="3D011490" w14:textId="77777777" w:rsidR="00486652" w:rsidRPr="0087738B" w:rsidRDefault="00486652" w:rsidP="00486652">
              <w:pPr>
                <w:spacing w:after="0"/>
                <w:rPr>
                  <w:lang w:eastAsia="en-GB"/>
                </w:rPr>
              </w:pPr>
            </w:p>
          </w:sdtContent>
        </w:sdt>
        <w:p w14:paraId="7E409EA7" w14:textId="7DF9C987" w:rsidR="001A0074" w:rsidRPr="00017FBA" w:rsidRDefault="00486652"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403FB6AA" w:rsidR="008241B0" w:rsidRDefault="00E0579E">
    <w:pPr>
      <w:pStyle w:val="FooterLine"/>
      <w:jc w:val="center"/>
    </w:pPr>
    <w:r>
      <w:fldChar w:fldCharType="begin"/>
    </w:r>
    <w:r>
      <w:instrText>PAGE   \* MERGEFORMAT</w:instrText>
    </w:r>
    <w:r>
      <w:fldChar w:fldCharType="separate"/>
    </w:r>
    <w:r w:rsidR="00486652">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131078" w:nlCheck="1" w:checkStyle="0"/>
  <w:activeWritingStyle w:appName="MSWord" w:lang="en-IE" w:vendorID="64" w:dllVersion="131078" w:nlCheck="1" w:checkStyle="1"/>
  <w:activeWritingStyle w:appName="MSWord" w:lang="fr-FR"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86652"/>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42C92974343248E5A02593E9CFC44559"/>
        <w:category>
          <w:name w:val="General"/>
          <w:gallery w:val="placeholder"/>
        </w:category>
        <w:types>
          <w:type w:val="bbPlcHdr"/>
        </w:types>
        <w:behaviors>
          <w:behavior w:val="content"/>
        </w:behaviors>
        <w:guid w:val="{995B0B8D-F59B-4E3A-80CD-47407F4AD47B}"/>
      </w:docPartPr>
      <w:docPartBody>
        <w:p w:rsidR="00000000" w:rsidRDefault="005C7EEA" w:rsidP="005C7EEA">
          <w:pPr>
            <w:pStyle w:val="42C92974343248E5A02593E9CFC44559"/>
          </w:pPr>
          <w:r w:rsidRPr="0007110E">
            <w:rPr>
              <w:rStyle w:val="PlaceholderText"/>
              <w:bCs/>
            </w:rPr>
            <w:t>Click or tap here to enter text.</w:t>
          </w:r>
        </w:p>
      </w:docPartBody>
    </w:docPart>
    <w:docPart>
      <w:docPartPr>
        <w:name w:val="0E33A4C6F0B3452CA2D265CB6BA98EED"/>
        <w:category>
          <w:name w:val="General"/>
          <w:gallery w:val="placeholder"/>
        </w:category>
        <w:types>
          <w:type w:val="bbPlcHdr"/>
        </w:types>
        <w:behaviors>
          <w:behavior w:val="content"/>
        </w:behaviors>
        <w:guid w:val="{0043AF69-DF07-4647-B159-4C96BA85FD38}"/>
      </w:docPartPr>
      <w:docPartBody>
        <w:p w:rsidR="00000000" w:rsidRDefault="005C7EEA" w:rsidP="005C7EEA">
          <w:pPr>
            <w:pStyle w:val="0E33A4C6F0B3452CA2D265CB6BA98EED"/>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A6E88"/>
    <w:multiLevelType w:val="multilevel"/>
    <w:tmpl w:val="5BAC3B6E"/>
    <w:lvl w:ilvl="0">
      <w:start w:val="1"/>
      <w:numFmt w:val="decimal"/>
      <w:pStyle w:val="C681F6FA0FB94712B2C889AACA29AC9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pStyle w:val="C681F6FA0FB94712B2C889AACA29AC9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534FB6"/>
    <w:rsid w:val="005C7EEA"/>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C7EEA"/>
    <w:rPr>
      <w:color w:val="288061"/>
    </w:rPr>
  </w:style>
  <w:style w:type="paragraph" w:customStyle="1" w:styleId="4663A28B250A4F74908B5CF397229B8E1">
    <w:name w:val="4663A28B250A4F74908B5CF397229B8E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
    <w:name w:val="3EA8CF6EEFEA4E0A8C856271A54D6DC1"/>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
    <w:name w:val="60106104C58244479DA9EA116B4F160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
    <w:name w:val="D8BE6C0997514348B27B45353A0FA57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
    <w:name w:val="8C22AB55BBA54E638A78E6CCB625149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FDBA21C851CF4EF9B6B8180DFF6F861A">
    <w:name w:val="FDBA21C851CF4EF9B6B8180DFF6F861A"/>
    <w:rsid w:val="00E96C07"/>
  </w:style>
  <w:style w:type="paragraph" w:customStyle="1" w:styleId="D4CF99CCBFBD4482AC69B080E182EC06">
    <w:name w:val="D4CF99CCBFBD4482AC69B080E182EC0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
    <w:name w:val="83A838D12FEB4C3BBF9166A692C665F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663A28B250A4F74908B5CF397229B8E">
    <w:name w:val="4663A28B250A4F74908B5CF397229B8E"/>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1">
    <w:name w:val="83A838D12FEB4C3BBF9166A692C665F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0EB1B9F7D946DCAD37244D7C4BAB331">
    <w:name w:val="8C0EB1B9F7D946DCAD37244D7C4BAB33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B36F01"/>
    <w:pPr>
      <w:numPr>
        <w:numId w:val="1"/>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C0EB1B9F7D946DCAD37244D7C4BAB33">
    <w:name w:val="8C0EB1B9F7D946DCAD37244D7C4BAB3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
    <w:name w:val="502342290B3541ABA4032C2AA949ADE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
    <w:name w:val="43375E7FB7294216B3B48CC222A08C2F"/>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
    <w:name w:val="C681F6FA0FB94712B2C889AACA29AC9D"/>
    <w:rsid w:val="008F2A96"/>
    <w:pPr>
      <w:numPr>
        <w:numId w:val="2"/>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B0FF181095245008CA5B0E0A7CCA028">
    <w:name w:val="0B0FF181095245008CA5B0E0A7CCA028"/>
    <w:rsid w:val="008F2A96"/>
  </w:style>
  <w:style w:type="paragraph" w:customStyle="1" w:styleId="4663A28B250A4F74908B5CF397229B8E2">
    <w:name w:val="4663A28B250A4F74908B5CF397229B8E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2">
    <w:name w:val="D1F22650620B404BA14828D6E31D0F7D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2">
    <w:name w:val="27207C9089324CF3A0FD720D1F2ACBD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2">
    <w:name w:val="C429FDC2D0CB450FBB0729EE2AD1FEF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2">
    <w:name w:val="3EA8CF6EEFEA4E0A8C856271A54D6DC1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2">
    <w:name w:val="60106104C58244479DA9EA116B4F1602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2">
    <w:name w:val="D8BE6C0997514348B27B45353A0FA57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2">
    <w:name w:val="8C22AB55BBA54E638A78E6CCB625149B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2">
    <w:name w:val="C9BBE078305549AA8306CFFC9A24E30A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2">
    <w:name w:val="D4CF99CCBFBD4482AC69B080E182EC0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2">
    <w:name w:val="502342290B3541ABA4032C2AA949ADE4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2">
    <w:name w:val="43375E7FB7294216B3B48CC222A08C2F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2">
    <w:name w:val="C681F6FA0FB94712B2C889AACA29AC9D2"/>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3">
    <w:name w:val="4663A28B250A4F74908B5CF397229B8E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3">
    <w:name w:val="D1F22650620B404BA14828D6E31D0F7D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3">
    <w:name w:val="27207C9089324CF3A0FD720D1F2ACBD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3">
    <w:name w:val="C429FDC2D0CB450FBB0729EE2AD1FEF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3">
    <w:name w:val="3EA8CF6EEFEA4E0A8C856271A54D6DC1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3">
    <w:name w:val="60106104C58244479DA9EA116B4F1602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3">
    <w:name w:val="D8BE6C0997514348B27B45353A0FA57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3">
    <w:name w:val="8C22AB55BBA54E638A78E6CCB625149B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3">
    <w:name w:val="C9BBE078305549AA8306CFFC9A24E30A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3">
    <w:name w:val="D4CF99CCBFBD4482AC69B080E182EC0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3">
    <w:name w:val="502342290B3541ABA4032C2AA949ADE4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3">
    <w:name w:val="43375E7FB7294216B3B48CC222A08C2F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3">
    <w:name w:val="C681F6FA0FB94712B2C889AACA29AC9D3"/>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2C92974343248E5A02593E9CFC44559">
    <w:name w:val="42C92974343248E5A02593E9CFC44559"/>
    <w:rsid w:val="005C7EEA"/>
    <w:rPr>
      <w:lang w:val="en-US" w:eastAsia="en-US"/>
    </w:rPr>
  </w:style>
  <w:style w:type="paragraph" w:customStyle="1" w:styleId="0E33A4C6F0B3452CA2D265CB6BA98EED">
    <w:name w:val="0E33A4C6F0B3452CA2D265CB6BA98EED"/>
    <w:rsid w:val="005C7EEA"/>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1755</Words>
  <Characters>10010</Characters>
  <Application>Microsoft Office Word</Application>
  <DocSecurity>4</DocSecurity>
  <PresentationFormat>Microsoft Word 14.0</PresentationFormat>
  <Lines>83</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PAPAFLORATOU Marianna (HOME-EXT)</cp:lastModifiedBy>
  <cp:revision>2</cp:revision>
  <cp:lastPrinted>2023-04-18T07:01:00Z</cp:lastPrinted>
  <dcterms:created xsi:type="dcterms:W3CDTF">2023-06-29T09:08:00Z</dcterms:created>
  <dcterms:modified xsi:type="dcterms:W3CDTF">2023-06-29T09:08:00Z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