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14:paraId="6B8436E8" w14:textId="77777777">
            <w:trPr>
              <w:cantSplit/>
            </w:trPr>
            <w:tc>
              <w:tcPr>
                <w:tcW w:w="2400" w:type="dxa"/>
              </w:tcPr>
              <w:p w14:paraId="337BAD96" w14:textId="77777777" w:rsidR="007D0EC6" w:rsidRDefault="007716E4">
                <w:pPr>
                  <w:pStyle w:val="ZFlag"/>
                </w:pPr>
                <w:r>
                  <w:rPr>
                    <w:noProof/>
                    <w:lang w:val="fr-BE" w:eastAsia="fr-BE"/>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Default="00105ED2">
                <w:pPr>
                  <w:pStyle w:val="ZCom"/>
                </w:pPr>
                <w:sdt>
                  <w:sdtPr>
                    <w:id w:val="-294516254"/>
                    <w:dataBinding w:xpath="/Texts/OrgaRoot" w:storeItemID="{4EF90DE6-88B6-4264-9629-4D8DFDFE87D2}"/>
                    <w:text w:multiLine="1"/>
                  </w:sdtPr>
                  <w:sdtEndPr/>
                  <w:sdtContent>
                    <w:r w:rsidR="000331EC">
                      <w:t>EUROPÄISCHE KOMMISSION</w:t>
                    </w:r>
                  </w:sdtContent>
                </w:sdt>
              </w:p>
              <w:p w14:paraId="0243B2AD" w14:textId="3EBE0E0D" w:rsidR="007D0EC6" w:rsidRDefault="00105ED2">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Pr>
                        <w:caps/>
                      </w:rPr>
                      <w:t xml:space="preserve">     </w:t>
                    </w:r>
                  </w:sdtContent>
                </w:sdt>
              </w:p>
              <w:p w14:paraId="7A2A5303" w14:textId="291FAB8D" w:rsidR="007D0EC6" w:rsidRDefault="00105ED2">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Pr>
                        <w:caps/>
                      </w:rPr>
                      <w:t xml:space="preserve">     </w:t>
                    </w:r>
                  </w:sdtContent>
                </w:sdt>
              </w:p>
              <w:p w14:paraId="44BF94D3" w14:textId="41DCA873" w:rsidR="007D0EC6" w:rsidRDefault="00105ED2">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t xml:space="preserve">     </w:t>
                    </w:r>
                  </w:sdtContent>
                </w:sdt>
              </w:p>
              <w:p w14:paraId="04BD4171" w14:textId="6335BF88" w:rsidR="007D0EC6" w:rsidRDefault="00105ED2">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803007">
                      <w:rPr>
                        <w:b/>
                      </w:rPr>
                      <w:t xml:space="preserve">     </w:t>
                    </w:r>
                  </w:sdtContent>
                </w:sdt>
              </w:p>
            </w:tc>
          </w:tr>
        </w:sdtContent>
      </w:sdt>
    </w:tbl>
    <w:p w14:paraId="7663C9C9" w14:textId="6AA70DEA" w:rsidR="007D0EC6" w:rsidRDefault="00105ED2"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546DB1">
            <w:rPr>
              <w:smallCaps w:val="0"/>
              <w:lang w:eastAsia="en-GB"/>
            </w:rPr>
            <w:t xml:space="preserve">STELLENAUSSCHREIBUNG </w:t>
          </w:r>
          <w:r w:rsidR="001203F8">
            <w:rPr>
              <w:smallCaps w:val="0"/>
              <w:lang w:eastAsia="en-GB"/>
            </w:rPr>
            <w:t>FÜR</w:t>
          </w:r>
          <w:r w:rsidR="001203F8">
            <w:rPr>
              <w:smallCaps w:val="0"/>
              <w:lang w:eastAsia="en-GB"/>
            </w:rPr>
            <w:br/>
          </w:r>
          <w:r w:rsidR="001203F8" w:rsidRPr="00546DB1">
            <w:rPr>
              <w:smallCaps w:val="0"/>
              <w:lang w:eastAsia="en-GB"/>
            </w:rPr>
            <w:t xml:space="preserve">ABGEORDNETE(R) NATIONALE(R) SACHVERSTÄNDIGE(R) </w:t>
          </w:r>
        </w:sdtContent>
      </w:sdt>
    </w:p>
    <w:p w14:paraId="367A9326" w14:textId="77777777" w:rsidR="00546DB1" w:rsidRPr="00950BA5"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9F216F" w14:paraId="06DB0851" w14:textId="77777777" w:rsidTr="005F6927">
        <w:tc>
          <w:tcPr>
            <w:tcW w:w="3111" w:type="dxa"/>
          </w:tcPr>
          <w:p w14:paraId="22C90E2D" w14:textId="63539E4F" w:rsidR="00546DB1" w:rsidRPr="00546DB1" w:rsidRDefault="00546DB1" w:rsidP="005F6927">
            <w:pPr>
              <w:tabs>
                <w:tab w:val="left" w:pos="426"/>
              </w:tabs>
              <w:rPr>
                <w:bCs/>
                <w:lang w:eastAsia="en-GB"/>
              </w:rPr>
            </w:pPr>
            <w:r w:rsidRPr="00546DB1">
              <w:rPr>
                <w:bCs/>
                <w:lang w:eastAsia="en-GB"/>
              </w:rPr>
              <w:t>GD – Direktion – Referat</w:t>
            </w:r>
          </w:p>
        </w:tc>
        <w:sdt>
          <w:sdtPr>
            <w:rPr>
              <w:bCs/>
              <w:lang w:eastAsia="en-GB"/>
            </w:rPr>
            <w:id w:val="954449441"/>
            <w:placeholder>
              <w:docPart w:val="1087BB5618EE43E98A5732E797DCF4EE"/>
            </w:placeholder>
          </w:sdtPr>
          <w:sdtEndPr/>
          <w:sdtContent>
            <w:tc>
              <w:tcPr>
                <w:tcW w:w="5491" w:type="dxa"/>
              </w:tcPr>
              <w:p w14:paraId="163192D7" w14:textId="30247A67" w:rsidR="00546DB1" w:rsidRPr="00546DB1" w:rsidRDefault="00B40648" w:rsidP="005F6927">
                <w:pPr>
                  <w:tabs>
                    <w:tab w:val="left" w:pos="426"/>
                  </w:tabs>
                  <w:rPr>
                    <w:bCs/>
                    <w:lang w:val="en-IE" w:eastAsia="en-GB"/>
                  </w:rPr>
                </w:pPr>
                <w:r>
                  <w:rPr>
                    <w:bCs/>
                    <w:lang w:eastAsia="en-GB"/>
                  </w:rPr>
                  <w:t>INTPA.F.2</w:t>
                </w:r>
              </w:p>
            </w:tc>
          </w:sdtContent>
        </w:sdt>
      </w:tr>
      <w:tr w:rsidR="00546DB1" w:rsidRPr="00B40648" w14:paraId="26A5C234" w14:textId="77777777" w:rsidTr="005F6927">
        <w:tc>
          <w:tcPr>
            <w:tcW w:w="3111" w:type="dxa"/>
          </w:tcPr>
          <w:p w14:paraId="1BDAC679" w14:textId="79928B96" w:rsidR="00546DB1" w:rsidRPr="00546DB1" w:rsidRDefault="00803007" w:rsidP="001203F8">
            <w:pPr>
              <w:tabs>
                <w:tab w:val="left" w:pos="426"/>
              </w:tabs>
              <w:rPr>
                <w:bCs/>
                <w:lang w:eastAsia="en-GB"/>
              </w:rPr>
            </w:pPr>
            <w:r>
              <w:rPr>
                <w:bCs/>
                <w:lang w:eastAsia="en-GB"/>
              </w:rPr>
              <w:t>Stellen</w:t>
            </w:r>
            <w:r w:rsidR="00546DB1" w:rsidRPr="00546DB1">
              <w:rPr>
                <w:bCs/>
                <w:lang w:eastAsia="en-GB"/>
              </w:rPr>
              <w:t xml:space="preserve">ummer in </w:t>
            </w:r>
            <w:r w:rsidR="001203F8">
              <w:rPr>
                <w:bCs/>
                <w:lang w:eastAsia="en-GB"/>
              </w:rPr>
              <w:t>S</w:t>
            </w:r>
            <w:r w:rsidR="00546DB1" w:rsidRPr="00546DB1">
              <w:rPr>
                <w:bCs/>
                <w:lang w:eastAsia="en-GB"/>
              </w:rPr>
              <w:t>ysper:</w:t>
            </w:r>
          </w:p>
        </w:tc>
        <w:sdt>
          <w:sdtPr>
            <w:rPr>
              <w:bCs/>
              <w:lang w:eastAsia="en-GB"/>
            </w:rPr>
            <w:id w:val="-686597872"/>
            <w:placeholder>
              <w:docPart w:val="9BF4E35295BA4808A107977098D3401D"/>
            </w:placeholder>
          </w:sdtPr>
          <w:sdtEndPr/>
          <w:sdtContent>
            <w:tc>
              <w:tcPr>
                <w:tcW w:w="5491" w:type="dxa"/>
              </w:tcPr>
              <w:p w14:paraId="32FCC887" w14:textId="55C585A1" w:rsidR="00546DB1" w:rsidRPr="00B40648" w:rsidRDefault="00B40648" w:rsidP="005F6927">
                <w:pPr>
                  <w:tabs>
                    <w:tab w:val="left" w:pos="426"/>
                  </w:tabs>
                  <w:rPr>
                    <w:bCs/>
                    <w:lang w:val="en-IE" w:eastAsia="en-GB"/>
                  </w:rPr>
                </w:pPr>
                <w:r>
                  <w:rPr>
                    <w:bCs/>
                    <w:lang w:eastAsia="en-GB"/>
                  </w:rPr>
                  <w:t>298785</w:t>
                </w:r>
              </w:p>
            </w:tc>
          </w:sdtContent>
        </w:sdt>
      </w:tr>
      <w:tr w:rsidR="00546DB1" w:rsidRPr="00546DB1" w14:paraId="24AC67DD" w14:textId="77777777" w:rsidTr="005F6927">
        <w:tc>
          <w:tcPr>
            <w:tcW w:w="3111" w:type="dxa"/>
          </w:tcPr>
          <w:p w14:paraId="40181297" w14:textId="436A850C" w:rsidR="00546DB1" w:rsidRPr="00546DB1" w:rsidRDefault="001203F8" w:rsidP="005F6927">
            <w:pPr>
              <w:tabs>
                <w:tab w:val="left" w:pos="1697"/>
              </w:tabs>
              <w:ind w:right="-1739"/>
              <w:contextualSpacing/>
              <w:rPr>
                <w:bCs/>
                <w:szCs w:val="24"/>
                <w:lang w:eastAsia="en-GB"/>
              </w:rPr>
            </w:pPr>
            <w:r>
              <w:rPr>
                <w:bCs/>
                <w:szCs w:val="24"/>
                <w:lang w:eastAsia="en-GB"/>
              </w:rPr>
              <w:t>Kontaktp</w:t>
            </w:r>
            <w:r w:rsidR="00546DB1" w:rsidRPr="00546DB1">
              <w:rPr>
                <w:bCs/>
                <w:szCs w:val="24"/>
                <w:lang w:eastAsia="en-GB"/>
              </w:rPr>
              <w:t>erson:</w:t>
            </w:r>
          </w:p>
          <w:p w14:paraId="768E128E" w14:textId="77777777" w:rsidR="00546DB1" w:rsidRPr="00546DB1" w:rsidRDefault="00546DB1" w:rsidP="005F6927">
            <w:pPr>
              <w:tabs>
                <w:tab w:val="left" w:pos="1697"/>
              </w:tabs>
              <w:ind w:right="-1739"/>
              <w:contextualSpacing/>
              <w:rPr>
                <w:bCs/>
                <w:szCs w:val="24"/>
                <w:lang w:eastAsia="en-GB"/>
              </w:rPr>
            </w:pPr>
          </w:p>
          <w:p w14:paraId="436ABA69" w14:textId="7CBD7E1C" w:rsidR="00546DB1" w:rsidRPr="00546DB1" w:rsidRDefault="00546DB1" w:rsidP="005F6927">
            <w:pPr>
              <w:tabs>
                <w:tab w:val="left" w:pos="1697"/>
              </w:tabs>
              <w:ind w:right="-1739"/>
              <w:contextualSpacing/>
              <w:rPr>
                <w:bCs/>
                <w:szCs w:val="24"/>
                <w:lang w:eastAsia="en-GB"/>
              </w:rPr>
            </w:pPr>
            <w:r w:rsidRPr="00546DB1">
              <w:rPr>
                <w:bCs/>
                <w:szCs w:val="24"/>
                <w:lang w:eastAsia="en-GB"/>
              </w:rPr>
              <w:t>Gewünschter Dienstantritt:</w:t>
            </w:r>
          </w:p>
          <w:p w14:paraId="707E2C7A" w14:textId="52877B26" w:rsidR="00546DB1" w:rsidRPr="00546DB1" w:rsidRDefault="00546DB1" w:rsidP="005F6927">
            <w:pPr>
              <w:tabs>
                <w:tab w:val="left" w:pos="1697"/>
              </w:tabs>
              <w:ind w:right="-1739"/>
              <w:contextualSpacing/>
              <w:rPr>
                <w:bCs/>
                <w:szCs w:val="24"/>
                <w:lang w:eastAsia="en-GB"/>
              </w:rPr>
            </w:pPr>
            <w:r w:rsidRPr="00546DB1">
              <w:rPr>
                <w:bCs/>
                <w:szCs w:val="24"/>
                <w:lang w:eastAsia="en-GB"/>
              </w:rPr>
              <w:t>Dauer</w:t>
            </w:r>
            <w:r>
              <w:rPr>
                <w:bCs/>
                <w:szCs w:val="24"/>
                <w:lang w:eastAsia="en-GB"/>
              </w:rPr>
              <w:t xml:space="preserve"> der 1. Abordnung</w:t>
            </w:r>
            <w:r w:rsidRPr="00546DB1">
              <w:rPr>
                <w:bCs/>
                <w:szCs w:val="24"/>
                <w:lang w:eastAsia="en-GB"/>
              </w:rPr>
              <w:t>:</w:t>
            </w:r>
          </w:p>
          <w:p w14:paraId="337D3876" w14:textId="444CE3E2" w:rsidR="00546DB1" w:rsidRPr="00546DB1" w:rsidRDefault="00546DB1" w:rsidP="005F6927">
            <w:pPr>
              <w:tabs>
                <w:tab w:val="left" w:pos="426"/>
              </w:tabs>
              <w:spacing w:after="0"/>
              <w:contextualSpacing/>
              <w:rPr>
                <w:bCs/>
                <w:lang w:eastAsia="en-GB"/>
              </w:rPr>
            </w:pPr>
            <w:r>
              <w:rPr>
                <w:bCs/>
                <w:szCs w:val="24"/>
                <w:lang w:eastAsia="en-GB"/>
              </w:rPr>
              <w:t>Dienstort</w:t>
            </w:r>
            <w:r w:rsidRPr="00546DB1">
              <w:rPr>
                <w:bCs/>
                <w:szCs w:val="24"/>
                <w:lang w:eastAsia="en-GB"/>
              </w:rPr>
              <w:t>:</w:t>
            </w:r>
          </w:p>
        </w:tc>
        <w:tc>
          <w:tcPr>
            <w:tcW w:w="5491" w:type="dxa"/>
          </w:tcPr>
          <w:sdt>
            <w:sdtPr>
              <w:rPr>
                <w:bCs/>
                <w:lang w:eastAsia="en-GB"/>
              </w:rPr>
              <w:id w:val="226507670"/>
              <w:placeholder>
                <w:docPart w:val="67908C2613794ACB86549542C854C0CC"/>
              </w:placeholder>
            </w:sdtPr>
            <w:sdtEndPr/>
            <w:sdtContent>
              <w:p w14:paraId="65EBCF52" w14:textId="381922CB" w:rsidR="00546DB1" w:rsidRPr="00B40648" w:rsidRDefault="00B40648" w:rsidP="005F6927">
                <w:pPr>
                  <w:tabs>
                    <w:tab w:val="left" w:pos="426"/>
                  </w:tabs>
                  <w:rPr>
                    <w:bCs/>
                    <w:lang w:eastAsia="en-GB"/>
                  </w:rPr>
                </w:pPr>
                <w:r>
                  <w:rPr>
                    <w:bCs/>
                    <w:lang w:eastAsia="en-GB"/>
                  </w:rPr>
                  <w:t>Chantal Marijnissen</w:t>
                </w:r>
              </w:p>
            </w:sdtContent>
          </w:sdt>
          <w:p w14:paraId="227D6F6E" w14:textId="2F616CCF" w:rsidR="00546DB1" w:rsidRPr="009F216F" w:rsidRDefault="00105ED2" w:rsidP="005F6927">
            <w:pPr>
              <w:tabs>
                <w:tab w:val="left" w:pos="426"/>
              </w:tabs>
              <w:contextualSpacing/>
              <w:rPr>
                <w:bCs/>
                <w:lang w:eastAsia="en-GB"/>
              </w:rPr>
            </w:pPr>
            <w:sdt>
              <w:sdtPr>
                <w:rPr>
                  <w:bCs/>
                  <w:lang w:eastAsia="en-GB"/>
                </w:rPr>
                <w:id w:val="1175461244"/>
                <w:placeholder>
                  <w:docPart w:val="5C55B5726F8E46C0ABC71DC35F2501E7"/>
                </w:placeholder>
              </w:sdtPr>
              <w:sdtEndPr/>
              <w:sdtContent>
                <w:r w:rsidR="00B40648">
                  <w:rPr>
                    <w:bCs/>
                    <w:lang w:eastAsia="en-GB"/>
                  </w:rPr>
                  <w:t>So bald wie möglich</w:t>
                </w:r>
                <w:r w:rsidR="00546DB1" w:rsidRPr="00546DB1">
                  <w:rPr>
                    <w:bCs/>
                    <w:lang w:eastAsia="en-GB"/>
                  </w:rPr>
                  <w:t>…</w:t>
                </w:r>
              </w:sdtContent>
            </w:sdt>
            <w:r w:rsidR="00546DB1" w:rsidRPr="00546DB1">
              <w:rPr>
                <w:bCs/>
                <w:lang w:eastAsia="en-GB"/>
              </w:rPr>
              <w:t xml:space="preserve"> </w:t>
            </w:r>
            <w:r w:rsidR="00546DB1" w:rsidRPr="009F216F">
              <w:rPr>
                <w:bCs/>
                <w:lang w:eastAsia="en-GB"/>
              </w:rPr>
              <w:t xml:space="preserve">Quartal </w:t>
            </w:r>
            <w:sdt>
              <w:sdtPr>
                <w:rPr>
                  <w:bCs/>
                  <w:lang w:eastAsia="en-GB"/>
                </w:rPr>
                <w:id w:val="1463159910"/>
                <w:placeholder>
                  <w:docPart w:val="DefaultPlaceholder_-1854013440"/>
                </w:placeholder>
              </w:sdtPr>
              <w:sdtEndPr/>
              <w:sdtContent>
                <w:r w:rsidR="006F44C9">
                  <w:rPr>
                    <w:bCs/>
                    <w:lang w:eastAsia="en-GB"/>
                  </w:rPr>
                  <w:t>202</w:t>
                </w:r>
              </w:sdtContent>
            </w:sdt>
          </w:p>
          <w:p w14:paraId="4128A55A" w14:textId="5FA97356" w:rsidR="00546DB1" w:rsidRPr="00546DB1" w:rsidRDefault="00105ED2" w:rsidP="005F6927">
            <w:pPr>
              <w:tabs>
                <w:tab w:val="left" w:pos="426"/>
              </w:tabs>
              <w:contextualSpacing/>
              <w:jc w:val="left"/>
              <w:rPr>
                <w:bCs/>
                <w:szCs w:val="24"/>
                <w:lang w:eastAsia="en-GB"/>
              </w:rPr>
            </w:pPr>
            <w:sdt>
              <w:sdtPr>
                <w:rPr>
                  <w:bCs/>
                  <w:lang w:eastAsia="en-GB"/>
                </w:rPr>
                <w:id w:val="202528730"/>
                <w:placeholder>
                  <w:docPart w:val="5C55B5726F8E46C0ABC71DC35F2501E7"/>
                </w:placeholder>
              </w:sdtPr>
              <w:sdtEndPr/>
              <w:sdtContent>
                <w:r w:rsidR="00546DB1" w:rsidRPr="00546DB1">
                  <w:rPr>
                    <w:bCs/>
                    <w:lang w:eastAsia="en-GB"/>
                  </w:rPr>
                  <w:t>…</w:t>
                </w:r>
                <w:r w:rsidR="00B40648">
                  <w:rPr>
                    <w:bCs/>
                    <w:lang w:eastAsia="en-GB"/>
                  </w:rPr>
                  <w:t>2</w:t>
                </w:r>
              </w:sdtContent>
            </w:sdt>
            <w:r w:rsidR="00546DB1" w:rsidRPr="00546DB1">
              <w:rPr>
                <w:bCs/>
                <w:lang w:eastAsia="en-GB"/>
              </w:rPr>
              <w:t xml:space="preserve"> </w:t>
            </w:r>
            <w:r w:rsidR="00546DB1">
              <w:rPr>
                <w:bCs/>
                <w:lang w:eastAsia="en-GB"/>
              </w:rPr>
              <w:t>Jahr(e)</w:t>
            </w:r>
            <w:r w:rsidR="00546DB1" w:rsidRPr="00546DB1">
              <w:rPr>
                <w:bCs/>
                <w:lang w:eastAsia="en-GB"/>
              </w:rPr>
              <w:br/>
            </w:r>
            <w:sdt>
              <w:sdtPr>
                <w:rPr>
                  <w:bCs/>
                  <w:szCs w:val="24"/>
                  <w:lang w:eastAsia="en-GB"/>
                </w:rPr>
                <w:id w:val="-69433268"/>
                <w14:checkbox>
                  <w14:checked w14:val="1"/>
                  <w14:checkedState w14:val="2612" w14:font="MS Gothic"/>
                  <w14:uncheckedState w14:val="2610" w14:font="MS Gothic"/>
                </w14:checkbox>
              </w:sdtPr>
              <w:sdtEndPr/>
              <w:sdtContent>
                <w:r w:rsidR="00B40648">
                  <w:rPr>
                    <w:rFonts w:ascii="MS Gothic" w:eastAsia="MS Gothic" w:hAnsi="MS Gothic" w:hint="eastAsia"/>
                    <w:bCs/>
                    <w:szCs w:val="24"/>
                    <w:lang w:eastAsia="en-GB"/>
                  </w:rPr>
                  <w:t>☒</w:t>
                </w:r>
              </w:sdtContent>
            </w:sdt>
            <w:r w:rsidR="00546DB1" w:rsidRPr="00546DB1">
              <w:rPr>
                <w:bCs/>
                <w:lang w:eastAsia="en-GB"/>
              </w:rPr>
              <w:t xml:space="preserve"> Br</w:t>
            </w:r>
            <w:r w:rsidR="00546DB1">
              <w:rPr>
                <w:bCs/>
                <w:lang w:eastAsia="en-GB"/>
              </w:rPr>
              <w:t>ü</w:t>
            </w:r>
            <w:r w:rsidR="00546DB1" w:rsidRPr="00546DB1">
              <w:rPr>
                <w:bCs/>
                <w:lang w:eastAsia="en-GB"/>
              </w:rPr>
              <w:t xml:space="preserve">ssel  </w:t>
            </w:r>
            <w:sdt>
              <w:sdtPr>
                <w:rPr>
                  <w:bCs/>
                  <w:szCs w:val="24"/>
                  <w:lang w:eastAsia="en-GB"/>
                </w:rPr>
                <w:id w:val="1282158214"/>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w:t>
            </w:r>
            <w:r w:rsidR="00546DB1">
              <w:rPr>
                <w:bCs/>
                <w:szCs w:val="24"/>
                <w:lang w:eastAsia="en-GB"/>
              </w:rPr>
              <w:t>Anderer</w:t>
            </w:r>
            <w:r w:rsidR="00546DB1" w:rsidRPr="00546DB1">
              <w:rPr>
                <w:bCs/>
                <w:szCs w:val="24"/>
                <w:lang w:eastAsia="en-GB"/>
              </w:rPr>
              <w:t xml:space="preserve">: </w:t>
            </w:r>
            <w:sdt>
              <w:sdtPr>
                <w:rPr>
                  <w:bCs/>
                  <w:szCs w:val="24"/>
                  <w:lang w:eastAsia="en-GB"/>
                </w:rPr>
                <w:id w:val="-186994276"/>
                <w:placeholder>
                  <w:docPart w:val="5C55B5726F8E46C0ABC71DC35F2501E7"/>
                </w:placeholder>
                <w:showingPlcHdr/>
              </w:sdtPr>
              <w:sdtEndPr/>
              <w:sdtContent>
                <w:r w:rsidR="00546DB1" w:rsidRPr="00546DB1">
                  <w:rPr>
                    <w:rStyle w:val="PlaceholderText"/>
                  </w:rPr>
                  <w:t>Click or tap here to enter text.</w:t>
                </w:r>
              </w:sdtContent>
            </w:sdt>
          </w:p>
          <w:p w14:paraId="4F5C5818" w14:textId="77777777" w:rsidR="00546DB1" w:rsidRPr="00546DB1" w:rsidRDefault="00546DB1" w:rsidP="005F6927">
            <w:pPr>
              <w:tabs>
                <w:tab w:val="left" w:pos="426"/>
              </w:tabs>
              <w:spacing w:after="0"/>
              <w:contextualSpacing/>
              <w:rPr>
                <w:bCs/>
                <w:lang w:eastAsia="en-GB"/>
              </w:rPr>
            </w:pPr>
          </w:p>
        </w:tc>
      </w:tr>
      <w:tr w:rsidR="00546DB1" w:rsidRPr="00546DB1" w14:paraId="51ECC118" w14:textId="77777777" w:rsidTr="005F6927">
        <w:tc>
          <w:tcPr>
            <w:tcW w:w="3111" w:type="dxa"/>
          </w:tcPr>
          <w:p w14:paraId="05194648" w14:textId="77777777" w:rsidR="00546DB1" w:rsidRPr="00546DB1" w:rsidRDefault="00546DB1" w:rsidP="005F6927">
            <w:pPr>
              <w:tabs>
                <w:tab w:val="left" w:pos="426"/>
              </w:tabs>
              <w:spacing w:after="0"/>
              <w:rPr>
                <w:bCs/>
                <w:lang w:eastAsia="en-GB"/>
              </w:rPr>
            </w:pPr>
          </w:p>
        </w:tc>
        <w:tc>
          <w:tcPr>
            <w:tcW w:w="5491" w:type="dxa"/>
          </w:tcPr>
          <w:p w14:paraId="35A9E617" w14:textId="7D9607B6" w:rsidR="00546DB1" w:rsidRPr="00546DB1" w:rsidRDefault="00105ED2" w:rsidP="005F6927">
            <w:pPr>
              <w:tabs>
                <w:tab w:val="left" w:pos="426"/>
              </w:tabs>
              <w:rPr>
                <w:bCs/>
                <w:lang w:eastAsia="en-GB"/>
              </w:rPr>
            </w:pPr>
            <w:sdt>
              <w:sdtPr>
                <w:rPr>
                  <w:bCs/>
                  <w:szCs w:val="24"/>
                  <w:lang w:eastAsia="en-GB"/>
                </w:rPr>
                <w:id w:val="269588133"/>
                <w14:checkbox>
                  <w14:checked w14:val="0"/>
                  <w14:checkedState w14:val="2612" w14:font="MS Gothic"/>
                  <w14:uncheckedState w14:val="2610" w14:font="MS Gothic"/>
                </w14:checkbox>
              </w:sdtPr>
              <w:sdtEndPr/>
              <w:sdtContent>
                <w:r w:rsidR="006F44C9">
                  <w:rPr>
                    <w:rFonts w:ascii="MS Gothic" w:eastAsia="MS Gothic" w:hAnsi="MS Gothic" w:hint="eastAsia"/>
                    <w:bCs/>
                    <w:szCs w:val="24"/>
                    <w:lang w:eastAsia="en-GB"/>
                  </w:rPr>
                  <w:t>☐</w:t>
                </w:r>
              </w:sdtContent>
            </w:sdt>
            <w:r w:rsidR="00546DB1" w:rsidRPr="00546DB1">
              <w:rPr>
                <w:bCs/>
                <w:szCs w:val="24"/>
                <w:lang w:eastAsia="en-GB"/>
              </w:rPr>
              <w:t xml:space="preserve"> </w:t>
            </w:r>
            <w:r w:rsidR="00546DB1">
              <w:rPr>
                <w:bCs/>
                <w:szCs w:val="24"/>
                <w:lang w:eastAsia="en-GB"/>
              </w:rPr>
              <w:t>M</w:t>
            </w:r>
            <w:r w:rsidR="00803007">
              <w:rPr>
                <w:bCs/>
                <w:szCs w:val="24"/>
                <w:lang w:eastAsia="en-GB"/>
              </w:rPr>
              <w:t>i</w:t>
            </w:r>
            <w:r w:rsidR="00546DB1">
              <w:rPr>
                <w:bCs/>
                <w:szCs w:val="24"/>
                <w:lang w:eastAsia="en-GB"/>
              </w:rPr>
              <w:t>t Vergütungen</w:t>
            </w:r>
            <w:r w:rsidR="00546DB1" w:rsidRPr="00546DB1">
              <w:rPr>
                <w:bCs/>
                <w:szCs w:val="24"/>
                <w:lang w:eastAsia="en-GB"/>
              </w:rPr>
              <w:t xml:space="preserve">    </w:t>
            </w:r>
            <w:sdt>
              <w:sdtPr>
                <w:rPr>
                  <w:bCs/>
                  <w:szCs w:val="24"/>
                  <w:lang w:eastAsia="en-GB"/>
                </w:rPr>
                <w:id w:val="-1683587035"/>
                <w14:checkbox>
                  <w14:checked w14:val="1"/>
                  <w14:checkedState w14:val="2612" w14:font="MS Gothic"/>
                  <w14:uncheckedState w14:val="2610" w14:font="MS Gothic"/>
                </w14:checkbox>
              </w:sdtPr>
              <w:sdtEndPr/>
              <w:sdtContent>
                <w:r w:rsidR="00B40648">
                  <w:rPr>
                    <w:rFonts w:ascii="MS Gothic" w:eastAsia="MS Gothic" w:hAnsi="MS Gothic" w:hint="eastAsia"/>
                    <w:bCs/>
                    <w:szCs w:val="24"/>
                    <w:lang w:eastAsia="en-GB"/>
                  </w:rPr>
                  <w:t>☒</w:t>
                </w:r>
              </w:sdtContent>
            </w:sdt>
            <w:r w:rsidR="00546DB1" w:rsidRPr="00546DB1">
              <w:rPr>
                <w:bCs/>
                <w:szCs w:val="24"/>
                <w:lang w:eastAsia="en-GB"/>
              </w:rPr>
              <w:t xml:space="preserve"> </w:t>
            </w:r>
            <w:proofErr w:type="gramStart"/>
            <w:r w:rsidR="00546DB1" w:rsidRPr="00546DB1">
              <w:rPr>
                <w:bCs/>
                <w:szCs w:val="24"/>
                <w:lang w:eastAsia="en-GB"/>
              </w:rPr>
              <w:t>Unentgeltlich</w:t>
            </w:r>
            <w:proofErr w:type="gramEnd"/>
            <w:r w:rsidR="00546DB1" w:rsidRPr="00546DB1">
              <w:rPr>
                <w:bCs/>
                <w:szCs w:val="24"/>
                <w:lang w:eastAsia="en-GB"/>
              </w:rPr>
              <w:t xml:space="preserve"> </w:t>
            </w:r>
            <w:r w:rsidR="001203F8">
              <w:rPr>
                <w:bCs/>
                <w:szCs w:val="24"/>
                <w:lang w:eastAsia="en-GB"/>
              </w:rPr>
              <w:t>a</w:t>
            </w:r>
            <w:r w:rsidR="00546DB1" w:rsidRPr="00546DB1">
              <w:rPr>
                <w:bCs/>
                <w:szCs w:val="24"/>
                <w:lang w:eastAsia="en-GB"/>
              </w:rPr>
              <w:t>bgeordnet</w:t>
            </w:r>
          </w:p>
        </w:tc>
      </w:tr>
      <w:tr w:rsidR="00546DB1" w:rsidRPr="00546DB1" w14:paraId="3142D1E9" w14:textId="77777777" w:rsidTr="005F6927">
        <w:tc>
          <w:tcPr>
            <w:tcW w:w="8602" w:type="dxa"/>
            <w:gridSpan w:val="2"/>
          </w:tcPr>
          <w:p w14:paraId="02B88D2A" w14:textId="66F22644" w:rsidR="00546DB1" w:rsidRPr="00546DB1" w:rsidRDefault="00546DB1" w:rsidP="005F6927">
            <w:pPr>
              <w:tabs>
                <w:tab w:val="left" w:pos="426"/>
              </w:tabs>
              <w:rPr>
                <w:bCs/>
                <w:lang w:eastAsia="en-GB"/>
              </w:rPr>
            </w:pPr>
            <w:r w:rsidRPr="00546DB1">
              <w:rPr>
                <w:bCs/>
                <w:lang w:eastAsia="en-GB"/>
              </w:rPr>
              <w:t>Auf diese Stellenausschreibung können sich</w:t>
            </w:r>
            <w:r>
              <w:rPr>
                <w:bCs/>
                <w:lang w:eastAsia="en-GB"/>
              </w:rPr>
              <w:t xml:space="preserve"> Bedienstete</w:t>
            </w:r>
            <w:r w:rsidRPr="00546DB1">
              <w:rPr>
                <w:bCs/>
                <w:lang w:eastAsia="en-GB"/>
              </w:rPr>
              <w:t>:</w:t>
            </w:r>
          </w:p>
          <w:p w14:paraId="7D0C36C2" w14:textId="4ABD26D5" w:rsidR="00546DB1" w:rsidRPr="00546DB1" w:rsidRDefault="00105ED2" w:rsidP="005F6927">
            <w:pPr>
              <w:tabs>
                <w:tab w:val="left" w:pos="426"/>
              </w:tabs>
              <w:contextualSpacing/>
              <w:rPr>
                <w:bCs/>
                <w:szCs w:val="24"/>
                <w:lang w:eastAsia="en-GB"/>
              </w:rPr>
            </w:pPr>
            <w:sdt>
              <w:sdtPr>
                <w:rPr>
                  <w:bCs/>
                  <w:szCs w:val="24"/>
                  <w:lang w:eastAsia="en-GB"/>
                </w:rPr>
                <w:id w:val="-1853022140"/>
                <w14:checkbox>
                  <w14:checked w14:val="1"/>
                  <w14:checkedState w14:val="2612" w14:font="MS Gothic"/>
                  <w14:uncheckedState w14:val="2610" w14:font="MS Gothic"/>
                </w14:checkbox>
              </w:sdtPr>
              <w:sdtEndPr/>
              <w:sdtContent>
                <w:r w:rsidR="00B40648">
                  <w:rPr>
                    <w:rFonts w:ascii="MS Gothic" w:eastAsia="MS Gothic" w:hAnsi="MS Gothic" w:hint="eastAsia"/>
                    <w:bCs/>
                    <w:szCs w:val="24"/>
                    <w:lang w:eastAsia="en-GB"/>
                  </w:rPr>
                  <w:t>☒</w:t>
                </w:r>
              </w:sdtContent>
            </w:sdt>
            <w:r w:rsidR="00546DB1" w:rsidRPr="00546DB1">
              <w:rPr>
                <w:bCs/>
                <w:szCs w:val="24"/>
                <w:lang w:eastAsia="en-GB"/>
              </w:rPr>
              <w:t xml:space="preserve"> </w:t>
            </w:r>
            <w:r w:rsidR="00546DB1">
              <w:rPr>
                <w:bCs/>
                <w:szCs w:val="24"/>
                <w:lang w:eastAsia="en-GB"/>
              </w:rPr>
              <w:t xml:space="preserve">der </w:t>
            </w:r>
            <w:r w:rsidR="00546DB1" w:rsidRPr="00546DB1">
              <w:rPr>
                <w:bCs/>
                <w:szCs w:val="24"/>
                <w:lang w:eastAsia="en-GB"/>
              </w:rPr>
              <w:t>EU-</w:t>
            </w:r>
            <w:r w:rsidR="001203F8">
              <w:rPr>
                <w:bCs/>
                <w:szCs w:val="24"/>
                <w:lang w:eastAsia="en-GB"/>
              </w:rPr>
              <w:t>Mitglieds</w:t>
            </w:r>
            <w:r w:rsidR="00546DB1" w:rsidRPr="00546DB1">
              <w:rPr>
                <w:bCs/>
                <w:szCs w:val="24"/>
                <w:lang w:eastAsia="en-GB"/>
              </w:rPr>
              <w:t>taaten</w:t>
            </w:r>
            <w:r w:rsidR="00546DB1">
              <w:rPr>
                <w:bCs/>
                <w:szCs w:val="24"/>
                <w:lang w:eastAsia="en-GB"/>
              </w:rPr>
              <w:t xml:space="preserve"> bewerben</w:t>
            </w:r>
          </w:p>
          <w:p w14:paraId="589D9AA7" w14:textId="7D8A3256" w:rsidR="00546DB1" w:rsidRPr="00546DB1" w:rsidRDefault="00105ED2" w:rsidP="005F6927">
            <w:pPr>
              <w:tabs>
                <w:tab w:val="left" w:pos="426"/>
              </w:tabs>
              <w:rPr>
                <w:bCs/>
                <w:lang w:eastAsia="en-GB"/>
              </w:rPr>
            </w:pPr>
            <w:sdt>
              <w:sdtPr>
                <w:rPr>
                  <w:bCs/>
                  <w:szCs w:val="24"/>
                  <w:lang w:eastAsia="en-GB"/>
                </w:rPr>
                <w:id w:val="2041318910"/>
                <w14:checkbox>
                  <w14:checked w14:val="0"/>
                  <w14:checkedState w14:val="2612" w14:font="MS Gothic"/>
                  <w14:uncheckedState w14:val="2610" w14:font="MS Gothic"/>
                </w14:checkbox>
              </w:sdtPr>
              <w:sdtEndPr/>
              <w:sdtContent>
                <w:r w:rsidR="005E71FB">
                  <w:rPr>
                    <w:rFonts w:ascii="MS Gothic" w:eastAsia="MS Gothic" w:hAnsi="MS Gothic" w:hint="eastAsia"/>
                    <w:bCs/>
                    <w:szCs w:val="24"/>
                    <w:lang w:eastAsia="en-GB"/>
                  </w:rPr>
                  <w:t>☐</w:t>
                </w:r>
              </w:sdtContent>
            </w:sdt>
            <w:r w:rsidR="00546DB1" w:rsidRPr="00546DB1">
              <w:rPr>
                <w:bCs/>
                <w:szCs w:val="24"/>
                <w:lang w:eastAsia="en-GB"/>
              </w:rPr>
              <w:t xml:space="preserve"> </w:t>
            </w:r>
            <w:r w:rsidR="00546DB1">
              <w:rPr>
                <w:bCs/>
                <w:szCs w:val="24"/>
                <w:lang w:eastAsia="en-GB"/>
              </w:rPr>
              <w:t xml:space="preserve">des </w:t>
            </w:r>
            <w:r w:rsidR="00546DB1" w:rsidRPr="00546DB1">
              <w:rPr>
                <w:bCs/>
                <w:szCs w:val="24"/>
                <w:lang w:eastAsia="en-GB"/>
              </w:rPr>
              <w:t xml:space="preserve">EFTA-EEA In-Kind </w:t>
            </w:r>
            <w:r w:rsidR="00546DB1">
              <w:rPr>
                <w:bCs/>
                <w:szCs w:val="24"/>
                <w:lang w:eastAsia="en-GB"/>
              </w:rPr>
              <w:t>Abkommens</w:t>
            </w:r>
            <w:r w:rsidR="00546DB1" w:rsidRPr="00546DB1">
              <w:rPr>
                <w:bCs/>
                <w:szCs w:val="24"/>
                <w:lang w:eastAsia="en-GB"/>
              </w:rPr>
              <w:t xml:space="preserve"> (I</w:t>
            </w:r>
            <w:r w:rsidR="00546DB1">
              <w:rPr>
                <w:bCs/>
                <w:szCs w:val="24"/>
                <w:lang w:eastAsia="en-GB"/>
              </w:rPr>
              <w:t>s</w:t>
            </w:r>
            <w:r w:rsidR="00546DB1" w:rsidRPr="00546DB1">
              <w:rPr>
                <w:bCs/>
                <w:szCs w:val="24"/>
                <w:lang w:eastAsia="en-GB"/>
              </w:rPr>
              <w:t>land, Liechtenstein, Norw</w:t>
            </w:r>
            <w:r w:rsidR="00546DB1">
              <w:rPr>
                <w:bCs/>
                <w:szCs w:val="24"/>
                <w:lang w:eastAsia="en-GB"/>
              </w:rPr>
              <w:t>egen</w:t>
            </w:r>
            <w:r w:rsidR="00546DB1" w:rsidRPr="00546DB1">
              <w:rPr>
                <w:bCs/>
                <w:szCs w:val="24"/>
                <w:lang w:eastAsia="en-GB"/>
              </w:rPr>
              <w:t xml:space="preserve">) </w:t>
            </w:r>
            <w:r w:rsidR="00546DB1">
              <w:rPr>
                <w:bCs/>
                <w:szCs w:val="24"/>
                <w:lang w:eastAsia="en-GB"/>
              </w:rPr>
              <w:t>bewerben</w:t>
            </w:r>
          </w:p>
        </w:tc>
      </w:tr>
      <w:tr w:rsidR="00546DB1" w:rsidRPr="00546DB1" w14:paraId="3617BA26" w14:textId="77777777" w:rsidTr="005F6927">
        <w:tc>
          <w:tcPr>
            <w:tcW w:w="8602" w:type="dxa"/>
            <w:gridSpan w:val="2"/>
          </w:tcPr>
          <w:p w14:paraId="6B7B97EE" w14:textId="32FD5DB0" w:rsidR="00546DB1" w:rsidRPr="00546DB1" w:rsidRDefault="00546DB1" w:rsidP="005F6927">
            <w:pPr>
              <w:tabs>
                <w:tab w:val="left" w:pos="426"/>
              </w:tabs>
              <w:rPr>
                <w:bCs/>
                <w:lang w:eastAsia="en-GB"/>
              </w:rPr>
            </w:pPr>
            <w:r w:rsidRPr="00546DB1">
              <w:rPr>
                <w:bCs/>
                <w:lang w:eastAsia="en-GB"/>
              </w:rPr>
              <w:t>Auf diese Stellenausschreibung können sich auch</w:t>
            </w:r>
            <w:r>
              <w:rPr>
                <w:bCs/>
                <w:lang w:eastAsia="en-GB"/>
              </w:rPr>
              <w:t xml:space="preserve"> Bedienstete</w:t>
            </w:r>
            <w:r w:rsidRPr="00546DB1">
              <w:rPr>
                <w:bCs/>
                <w:lang w:eastAsia="en-GB"/>
              </w:rPr>
              <w:t>:</w:t>
            </w:r>
          </w:p>
          <w:p w14:paraId="7F807FD1" w14:textId="3AB0DE72" w:rsidR="00546DB1" w:rsidRPr="00546DB1" w:rsidRDefault="00105ED2" w:rsidP="005F6927">
            <w:pPr>
              <w:tabs>
                <w:tab w:val="left" w:pos="426"/>
              </w:tabs>
              <w:contextualSpacing/>
              <w:rPr>
                <w:bCs/>
                <w:szCs w:val="24"/>
                <w:lang w:eastAsia="en-GB"/>
              </w:rPr>
            </w:pPr>
            <w:sdt>
              <w:sdtPr>
                <w:rPr>
                  <w:bCs/>
                  <w:szCs w:val="24"/>
                  <w:lang w:eastAsia="en-GB"/>
                </w:rPr>
                <w:id w:val="-68340659"/>
                <w14:checkbox>
                  <w14:checked w14:val="0"/>
                  <w14:checkedState w14:val="2612" w14:font="MS Gothic"/>
                  <w14:uncheckedState w14:val="2610" w14:font="MS Gothic"/>
                </w14:checkbox>
              </w:sdtPr>
              <w:sdtEndPr/>
              <w:sdtContent>
                <w:r w:rsidR="0035094A">
                  <w:rPr>
                    <w:rFonts w:ascii="MS Gothic" w:eastAsia="MS Gothic" w:hAnsi="MS Gothic" w:hint="eastAsia"/>
                    <w:bCs/>
                    <w:szCs w:val="24"/>
                    <w:lang w:eastAsia="en-GB"/>
                  </w:rPr>
                  <w:t>☐</w:t>
                </w:r>
              </w:sdtContent>
            </w:sdt>
            <w:r w:rsidR="00546DB1" w:rsidRPr="00546DB1">
              <w:rPr>
                <w:bCs/>
                <w:szCs w:val="24"/>
                <w:lang w:eastAsia="en-GB"/>
              </w:rPr>
              <w:tab/>
              <w:t>der folgenden EFTA-Staaten bewerben:</w:t>
            </w:r>
          </w:p>
          <w:p w14:paraId="7FB46697" w14:textId="0E0B94CF" w:rsidR="00546DB1" w:rsidRPr="00546DB1" w:rsidRDefault="00546DB1" w:rsidP="005F6927">
            <w:pPr>
              <w:tabs>
                <w:tab w:val="left" w:pos="426"/>
              </w:tabs>
              <w:contextualSpacing/>
              <w:rPr>
                <w:bCs/>
                <w:szCs w:val="24"/>
                <w:lang w:eastAsia="en-GB"/>
              </w:rPr>
            </w:pPr>
            <w:r w:rsidRPr="00546DB1">
              <w:rPr>
                <w:bCs/>
                <w:szCs w:val="24"/>
                <w:lang w:eastAsia="en-GB"/>
              </w:rPr>
              <w:tab/>
            </w:r>
            <w:sdt>
              <w:sdtPr>
                <w:rPr>
                  <w:bCs/>
                  <w:szCs w:val="24"/>
                  <w:lang w:eastAsia="en-GB"/>
                </w:rPr>
                <w:id w:val="-1990401639"/>
                <w14:checkbox>
                  <w14:checked w14:val="0"/>
                  <w14:checkedState w14:val="2612" w14:font="MS Gothic"/>
                  <w14:uncheckedState w14:val="2610" w14:font="MS Gothic"/>
                </w14:checkbox>
              </w:sdtPr>
              <w:sdtEndPr/>
              <w:sdtContent>
                <w:r w:rsidR="0035094A">
                  <w:rPr>
                    <w:rFonts w:ascii="MS Gothic" w:eastAsia="MS Gothic" w:hAnsi="MS Gothic" w:hint="eastAsia"/>
                    <w:bCs/>
                    <w:szCs w:val="24"/>
                    <w:lang w:eastAsia="en-GB"/>
                  </w:rPr>
                  <w:t>☐</w:t>
                </w:r>
              </w:sdtContent>
            </w:sdt>
            <w:r w:rsidRPr="00546DB1">
              <w:rPr>
                <w:bCs/>
                <w:szCs w:val="24"/>
                <w:lang w:eastAsia="en-GB"/>
              </w:rPr>
              <w:t xml:space="preserve"> I</w:t>
            </w:r>
            <w:r>
              <w:rPr>
                <w:bCs/>
                <w:szCs w:val="24"/>
                <w:lang w:eastAsia="en-GB"/>
              </w:rPr>
              <w:t>s</w:t>
            </w:r>
            <w:r w:rsidRPr="00546DB1">
              <w:rPr>
                <w:bCs/>
                <w:szCs w:val="24"/>
                <w:lang w:eastAsia="en-GB"/>
              </w:rPr>
              <w:t xml:space="preserve">land   </w:t>
            </w:r>
            <w:sdt>
              <w:sdtPr>
                <w:rPr>
                  <w:bCs/>
                  <w:szCs w:val="24"/>
                  <w:lang w:eastAsia="en-GB"/>
                </w:rPr>
                <w:id w:val="2059970484"/>
                <w14:checkbox>
                  <w14:checked w14:val="0"/>
                  <w14:checkedState w14:val="2612" w14:font="MS Gothic"/>
                  <w14:uncheckedState w14:val="2610" w14:font="MS Gothic"/>
                </w14:checkbox>
              </w:sdtPr>
              <w:sdtEndPr/>
              <w:sdtContent>
                <w:r w:rsidR="0035094A">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Liechtenstein</w:t>
            </w:r>
            <w:r w:rsidRPr="00546DB1">
              <w:rPr>
                <w:bCs/>
                <w:szCs w:val="24"/>
                <w:lang w:eastAsia="en-GB"/>
              </w:rPr>
              <w:t xml:space="preserve">   </w:t>
            </w:r>
            <w:sdt>
              <w:sdtPr>
                <w:rPr>
                  <w:bCs/>
                  <w:szCs w:val="24"/>
                  <w:lang w:eastAsia="en-GB"/>
                </w:rPr>
                <w:id w:val="347227220"/>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Norwegen</w:t>
            </w:r>
            <w:r w:rsidRPr="00546DB1">
              <w:rPr>
                <w:bCs/>
                <w:szCs w:val="24"/>
                <w:lang w:eastAsia="en-GB"/>
              </w:rPr>
              <w:t xml:space="preserve">   </w:t>
            </w:r>
            <w:sdt>
              <w:sdtPr>
                <w:rPr>
                  <w:bCs/>
                  <w:szCs w:val="24"/>
                  <w:lang w:eastAsia="en-GB"/>
                </w:rPr>
                <w:id w:val="-1937502850"/>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Schweiz</w:t>
            </w:r>
          </w:p>
          <w:p w14:paraId="46D09DD3" w14:textId="01B33991" w:rsidR="00546DB1" w:rsidRPr="00546DB1" w:rsidRDefault="00105ED2" w:rsidP="005F6927">
            <w:pPr>
              <w:tabs>
                <w:tab w:val="left" w:pos="426"/>
              </w:tabs>
              <w:contextualSpacing/>
              <w:rPr>
                <w:bCs/>
                <w:szCs w:val="24"/>
                <w:lang w:eastAsia="en-GB"/>
              </w:rPr>
            </w:pPr>
            <w:sdt>
              <w:sdtPr>
                <w:rPr>
                  <w:bCs/>
                  <w:szCs w:val="24"/>
                  <w:lang w:eastAsia="en-GB"/>
                </w:rPr>
                <w:id w:val="1754392874"/>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ab/>
              <w:t xml:space="preserve">der folgenden </w:t>
            </w:r>
            <w:r w:rsidR="00546DB1">
              <w:rPr>
                <w:bCs/>
                <w:szCs w:val="24"/>
                <w:lang w:eastAsia="en-GB"/>
              </w:rPr>
              <w:t>Drittländer bewerben</w:t>
            </w:r>
            <w:r w:rsidR="00546DB1" w:rsidRPr="00546DB1">
              <w:rPr>
                <w:bCs/>
                <w:szCs w:val="24"/>
                <w:lang w:eastAsia="en-GB"/>
              </w:rPr>
              <w:t xml:space="preserve">: </w:t>
            </w:r>
            <w:sdt>
              <w:sdtPr>
                <w:rPr>
                  <w:bCs/>
                  <w:szCs w:val="24"/>
                  <w:lang w:eastAsia="en-GB"/>
                </w:rPr>
                <w:id w:val="-729996552"/>
                <w:placeholder>
                  <w:docPart w:val="E48DD8E64A804E77BDE4E10C02F32911"/>
                </w:placeholder>
                <w:showingPlcHdr/>
              </w:sdtPr>
              <w:sdtEndPr/>
              <w:sdtContent>
                <w:r w:rsidR="00546DB1" w:rsidRPr="00546DB1">
                  <w:rPr>
                    <w:rStyle w:val="PlaceholderText"/>
                    <w:bCs/>
                  </w:rPr>
                  <w:t xml:space="preserve">     </w:t>
                </w:r>
              </w:sdtContent>
            </w:sdt>
          </w:p>
          <w:p w14:paraId="54DCCFAB" w14:textId="6497E071" w:rsidR="00546DB1" w:rsidRPr="00546DB1" w:rsidRDefault="00105ED2" w:rsidP="00803007">
            <w:pPr>
              <w:tabs>
                <w:tab w:val="left" w:pos="426"/>
              </w:tabs>
              <w:rPr>
                <w:bCs/>
                <w:szCs w:val="24"/>
                <w:lang w:eastAsia="en-GB"/>
              </w:rPr>
            </w:pPr>
            <w:sdt>
              <w:sdtPr>
                <w:rPr>
                  <w:bCs/>
                  <w:szCs w:val="24"/>
                  <w:lang w:eastAsia="en-GB"/>
                </w:rPr>
                <w:id w:val="127444912"/>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ab/>
              <w:t>folgender zwischenstaatlicher Organisationen bewerben:</w:t>
            </w:r>
            <w:r w:rsidR="00546DB1" w:rsidRPr="00546DB1">
              <w:rPr>
                <w:bCs/>
                <w:szCs w:val="24"/>
                <w:lang w:eastAsia="en-GB"/>
              </w:rPr>
              <w:tab/>
            </w:r>
            <w:sdt>
              <w:sdtPr>
                <w:rPr>
                  <w:bCs/>
                  <w:szCs w:val="24"/>
                  <w:lang w:eastAsia="en-GB"/>
                </w:rPr>
                <w:id w:val="-1659766257"/>
                <w:placeholder>
                  <w:docPart w:val="36301D3606894A0690BD2883E1BF1126"/>
                </w:placeholder>
                <w:showingPlcHdr/>
              </w:sdtPr>
              <w:sdtEndPr/>
              <w:sdtContent>
                <w:r w:rsidR="00546DB1" w:rsidRPr="00546DB1">
                  <w:rPr>
                    <w:rStyle w:val="PlaceholderText"/>
                    <w:bCs/>
                  </w:rPr>
                  <w:t xml:space="preserve">    </w:t>
                </w:r>
              </w:sdtContent>
            </w:sdt>
          </w:p>
        </w:tc>
      </w:tr>
      <w:tr w:rsidR="00546DB1" w:rsidRPr="00546DB1" w14:paraId="3EFCF018" w14:textId="77777777" w:rsidTr="005F6927">
        <w:tc>
          <w:tcPr>
            <w:tcW w:w="3111" w:type="dxa"/>
          </w:tcPr>
          <w:p w14:paraId="474D1447" w14:textId="5234C39C" w:rsidR="00546DB1" w:rsidRPr="00546DB1" w:rsidRDefault="007716E4" w:rsidP="005F6927">
            <w:pPr>
              <w:tabs>
                <w:tab w:val="left" w:pos="426"/>
              </w:tabs>
              <w:spacing w:after="0"/>
              <w:rPr>
                <w:bCs/>
                <w:lang w:eastAsia="en-GB"/>
              </w:rPr>
            </w:pPr>
            <w:r>
              <w:t>Bewerbungsschluss:</w:t>
            </w:r>
          </w:p>
        </w:tc>
        <w:tc>
          <w:tcPr>
            <w:tcW w:w="5491" w:type="dxa"/>
          </w:tcPr>
          <w:sdt>
            <w:sdtPr>
              <w:rPr>
                <w:bCs/>
                <w:szCs w:val="24"/>
                <w:lang w:eastAsia="en-GB"/>
              </w:rPr>
              <w:id w:val="489988191"/>
              <w:lock w:val="contentLocked"/>
              <w:placeholder>
                <w:docPart w:val="DefaultPlaceholder_-1854013440"/>
              </w:placeholder>
              <w:group/>
            </w:sdtPr>
            <w:sdtEndPr/>
            <w:sdtContent>
              <w:p w14:paraId="730FC4C7" w14:textId="1B8EF3DF" w:rsidR="00546DB1" w:rsidRPr="00546DB1" w:rsidRDefault="00105ED2" w:rsidP="005F6927">
                <w:pPr>
                  <w:tabs>
                    <w:tab w:val="left" w:pos="426"/>
                  </w:tabs>
                  <w:rPr>
                    <w:bCs/>
                    <w:lang w:eastAsia="en-GB"/>
                  </w:rPr>
                </w:pPr>
                <w:sdt>
                  <w:sdtPr>
                    <w:rPr>
                      <w:bCs/>
                      <w:szCs w:val="24"/>
                      <w:lang w:eastAsia="en-GB"/>
                    </w:rPr>
                    <w:id w:val="-1076366056"/>
                    <w14:checkbox>
                      <w14:checked w14:val="1"/>
                      <w14:checkedState w14:val="2612" w14:font="MS Gothic"/>
                      <w14:uncheckedState w14:val="2610" w14:font="MS Gothic"/>
                    </w14:checkbox>
                  </w:sdtPr>
                  <w:sdtEndPr/>
                  <w:sdtContent>
                    <w:r w:rsidR="00617E86">
                      <w:rPr>
                        <w:rFonts w:ascii="MS Gothic" w:eastAsia="MS Gothic" w:hAnsi="MS Gothic" w:hint="eastAsia"/>
                        <w:bCs/>
                        <w:szCs w:val="24"/>
                        <w:lang w:eastAsia="en-GB"/>
                      </w:rPr>
                      <w:t>☒</w:t>
                    </w:r>
                  </w:sdtContent>
                </w:sdt>
                <w:r w:rsidR="00546DB1" w:rsidRPr="00546DB1">
                  <w:rPr>
                    <w:bCs/>
                    <w:szCs w:val="24"/>
                    <w:lang w:eastAsia="en-GB"/>
                  </w:rPr>
                  <w:t xml:space="preserve"> 2 </w:t>
                </w:r>
                <w:r w:rsidR="00546DB1">
                  <w:rPr>
                    <w:bCs/>
                    <w:szCs w:val="24"/>
                    <w:lang w:eastAsia="en-GB"/>
                  </w:rPr>
                  <w:t>Monate</w:t>
                </w:r>
                <w:r w:rsidR="00546DB1" w:rsidRPr="00546DB1">
                  <w:rPr>
                    <w:bCs/>
                    <w:szCs w:val="24"/>
                    <w:lang w:eastAsia="en-GB"/>
                  </w:rPr>
                  <w:t xml:space="preserve">    </w:t>
                </w:r>
                <w:sdt>
                  <w:sdtPr>
                    <w:rPr>
                      <w:bCs/>
                      <w:szCs w:val="24"/>
                      <w:lang w:eastAsia="en-GB"/>
                    </w:rPr>
                    <w:id w:val="-1934659806"/>
                    <w14:checkbox>
                      <w14:checked w14:val="0"/>
                      <w14:checkedState w14:val="2612" w14:font="MS Gothic"/>
                      <w14:uncheckedState w14:val="2610" w14:font="MS Gothic"/>
                    </w14:checkbox>
                  </w:sdtPr>
                  <w:sdtEndPr/>
                  <w:sdtContent>
                    <w:r w:rsidR="00617E86">
                      <w:rPr>
                        <w:rFonts w:ascii="MS Gothic" w:eastAsia="MS Gothic" w:hAnsi="MS Gothic" w:hint="eastAsia"/>
                        <w:bCs/>
                        <w:szCs w:val="24"/>
                        <w:lang w:eastAsia="en-GB"/>
                      </w:rPr>
                      <w:t>☐</w:t>
                    </w:r>
                  </w:sdtContent>
                </w:sdt>
                <w:r w:rsidR="00546DB1" w:rsidRPr="00546DB1">
                  <w:rPr>
                    <w:bCs/>
                    <w:szCs w:val="24"/>
                    <w:lang w:eastAsia="en-GB"/>
                  </w:rPr>
                  <w:t xml:space="preserve"> 1 </w:t>
                </w:r>
                <w:r w:rsidR="00546DB1">
                  <w:rPr>
                    <w:bCs/>
                    <w:szCs w:val="24"/>
                    <w:lang w:eastAsia="en-GB"/>
                  </w:rPr>
                  <w:t>Monat</w:t>
                </w:r>
              </w:p>
            </w:sdtContent>
          </w:sdt>
        </w:tc>
      </w:tr>
    </w:tbl>
    <w:p w14:paraId="63A92EDE" w14:textId="77777777" w:rsidR="00546DB1" w:rsidRDefault="00546DB1" w:rsidP="00546DB1">
      <w:pPr>
        <w:tabs>
          <w:tab w:val="left" w:pos="426"/>
        </w:tabs>
        <w:spacing w:after="0"/>
        <w:rPr>
          <w:b/>
          <w:lang w:eastAsia="en-GB"/>
        </w:rPr>
      </w:pPr>
    </w:p>
    <w:p w14:paraId="2025E647" w14:textId="77777777" w:rsidR="00546DB1" w:rsidRDefault="00546DB1" w:rsidP="00546DB1">
      <w:pPr>
        <w:tabs>
          <w:tab w:val="left" w:pos="426"/>
        </w:tabs>
        <w:spacing w:after="0"/>
        <w:rPr>
          <w:b/>
          <w:lang w:eastAsia="en-GB"/>
        </w:rPr>
      </w:pPr>
    </w:p>
    <w:p w14:paraId="18EA7D7F" w14:textId="772DA3F2" w:rsidR="00803007" w:rsidRPr="00803007" w:rsidRDefault="00803007" w:rsidP="007C07D8">
      <w:pPr>
        <w:pStyle w:val="ListNumber"/>
        <w:numPr>
          <w:ilvl w:val="0"/>
          <w:numId w:val="0"/>
        </w:numPr>
        <w:ind w:left="709" w:hanging="709"/>
        <w:rPr>
          <w:b/>
          <w:bCs/>
          <w:lang w:eastAsia="en-GB"/>
        </w:rPr>
      </w:pPr>
      <w:r w:rsidRPr="00803007">
        <w:rPr>
          <w:b/>
          <w:bCs/>
          <w:lang w:eastAsia="en-GB"/>
        </w:rPr>
        <w:t>Wer wi</w:t>
      </w:r>
      <w:r w:rsidR="002F7504">
        <w:rPr>
          <w:b/>
          <w:bCs/>
          <w:lang w:eastAsia="en-GB"/>
        </w:rPr>
        <w:t>r</w:t>
      </w:r>
      <w:r w:rsidRPr="00803007">
        <w:rPr>
          <w:b/>
          <w:bCs/>
          <w:lang w:eastAsia="en-GB"/>
        </w:rPr>
        <w:t xml:space="preserve"> sind</w:t>
      </w:r>
    </w:p>
    <w:sdt>
      <w:sdtPr>
        <w:rPr>
          <w:lang w:val="en-US" w:eastAsia="en-GB"/>
        </w:rPr>
        <w:id w:val="1822233941"/>
        <w:placeholder>
          <w:docPart w:val="FE6C9874556B47B1A65A432926DB0BCE"/>
        </w:placeholder>
      </w:sdtPr>
      <w:sdtEndPr/>
      <w:sdtContent>
        <w:p w14:paraId="1BC3ED5C" w14:textId="77777777" w:rsidR="00B40648" w:rsidRPr="00A9070C" w:rsidRDefault="00B40648" w:rsidP="00B40648">
          <w:pPr>
            <w:rPr>
              <w:sz w:val="22"/>
              <w:szCs w:val="22"/>
            </w:rPr>
          </w:pPr>
          <w:r w:rsidRPr="00A9070C">
            <w:rPr>
              <w:sz w:val="22"/>
              <w:szCs w:val="22"/>
            </w:rPr>
            <w:t>Das Referat F2 – Umwelt und Ressourcen – bietet einen kosten</w:t>
          </w:r>
          <w:r>
            <w:rPr>
              <w:sz w:val="22"/>
              <w:szCs w:val="22"/>
            </w:rPr>
            <w:t>freien Posten als</w:t>
          </w:r>
          <w:r w:rsidRPr="00A9070C">
            <w:rPr>
              <w:sz w:val="22"/>
              <w:szCs w:val="22"/>
            </w:rPr>
            <w:t xml:space="preserve"> </w:t>
          </w:r>
          <w:r>
            <w:rPr>
              <w:sz w:val="22"/>
              <w:szCs w:val="22"/>
            </w:rPr>
            <w:t>A</w:t>
          </w:r>
          <w:r w:rsidRPr="00A9070C">
            <w:rPr>
              <w:sz w:val="22"/>
              <w:szCs w:val="22"/>
            </w:rPr>
            <w:t>bgeordnete</w:t>
          </w:r>
          <w:r>
            <w:rPr>
              <w:sz w:val="22"/>
              <w:szCs w:val="22"/>
            </w:rPr>
            <w:t>(r)</w:t>
          </w:r>
          <w:r w:rsidRPr="00A9070C">
            <w:rPr>
              <w:sz w:val="22"/>
              <w:szCs w:val="22"/>
            </w:rPr>
            <w:t xml:space="preserve"> </w:t>
          </w:r>
          <w:r>
            <w:rPr>
              <w:sz w:val="22"/>
              <w:szCs w:val="22"/>
            </w:rPr>
            <w:t>N</w:t>
          </w:r>
          <w:r w:rsidRPr="00A9070C">
            <w:rPr>
              <w:sz w:val="22"/>
              <w:szCs w:val="22"/>
            </w:rPr>
            <w:t>ationale</w:t>
          </w:r>
          <w:r>
            <w:rPr>
              <w:sz w:val="22"/>
              <w:szCs w:val="22"/>
            </w:rPr>
            <w:t>(r)</w:t>
          </w:r>
          <w:r w:rsidRPr="00A9070C">
            <w:rPr>
              <w:sz w:val="22"/>
              <w:szCs w:val="22"/>
            </w:rPr>
            <w:t xml:space="preserve"> Sachverständige</w:t>
          </w:r>
          <w:r>
            <w:rPr>
              <w:sz w:val="22"/>
              <w:szCs w:val="22"/>
            </w:rPr>
            <w:t>(r) (ANS)</w:t>
          </w:r>
          <w:r w:rsidRPr="00A9070C">
            <w:rPr>
              <w:sz w:val="22"/>
              <w:szCs w:val="22"/>
            </w:rPr>
            <w:t xml:space="preserve"> unter der Verantwortung des Referatsleiters an. </w:t>
          </w:r>
        </w:p>
        <w:p w14:paraId="27A58E7F" w14:textId="77777777" w:rsidR="00B40648" w:rsidRDefault="00B40648" w:rsidP="00B40648">
          <w:pPr>
            <w:rPr>
              <w:sz w:val="22"/>
              <w:szCs w:val="22"/>
            </w:rPr>
          </w:pPr>
          <w:r w:rsidRPr="00A9070C">
            <w:rPr>
              <w:sz w:val="22"/>
              <w:szCs w:val="22"/>
            </w:rPr>
            <w:t xml:space="preserve">Der europäische </w:t>
          </w:r>
          <w:r>
            <w:rPr>
              <w:sz w:val="22"/>
              <w:szCs w:val="22"/>
            </w:rPr>
            <w:t xml:space="preserve">Grüne </w:t>
          </w:r>
          <w:r w:rsidRPr="00A9070C">
            <w:rPr>
              <w:sz w:val="22"/>
              <w:szCs w:val="22"/>
            </w:rPr>
            <w:t>Deal legt das Ziel der Europäischen Union fest, bei den weltweiten Anstrengungen zur Verwirklichung der Klimaneutralität, zur Eindämmung des Verlusts an biologischer Vielfalt und zur Entkopplung des Wirtschaftswachstums von der Nutzung natürlicher Ressourcen eine Führungsrolle zu übernehmen. Dieses Ziel wurde in einer Reihe transformativer</w:t>
          </w:r>
          <w:r>
            <w:rPr>
              <w:sz w:val="22"/>
              <w:szCs w:val="22"/>
            </w:rPr>
            <w:t>,</w:t>
          </w:r>
          <w:r w:rsidRPr="00A9070C">
            <w:rPr>
              <w:sz w:val="22"/>
              <w:szCs w:val="22"/>
            </w:rPr>
            <w:t xml:space="preserve"> politischer und regulatorischer Rahmen umgesetzt</w:t>
          </w:r>
          <w:r>
            <w:rPr>
              <w:sz w:val="22"/>
              <w:szCs w:val="22"/>
            </w:rPr>
            <w:t>:</w:t>
          </w:r>
          <w:r w:rsidRPr="00A9070C">
            <w:rPr>
              <w:sz w:val="22"/>
              <w:szCs w:val="22"/>
            </w:rPr>
            <w:t xml:space="preserve"> darunter der Aktionsplan für die </w:t>
          </w:r>
          <w:r w:rsidRPr="00A9070C">
            <w:rPr>
              <w:sz w:val="22"/>
              <w:szCs w:val="22"/>
            </w:rPr>
            <w:lastRenderedPageBreak/>
            <w:t xml:space="preserve">Kreislaufwirtschaft, der EU-Aktionsplan für ein nachhaltiges Finanzwesen und Taxonomie, die Kunststoffstrategie und der Null-Schadstoff-Aktionsplan, die Biodiversitätsstrategie 2030 und die Strategie „Vom Hof auf den Tisch“: alle umfassen eine starke externe Dimension, die den Rahmen für die EU-Partnerschaften mit Drittländern bildet. </w:t>
          </w:r>
        </w:p>
        <w:p w14:paraId="7B508266" w14:textId="77777777" w:rsidR="00B40648" w:rsidRDefault="00B40648" w:rsidP="00B40648">
          <w:pPr>
            <w:rPr>
              <w:sz w:val="22"/>
              <w:szCs w:val="22"/>
            </w:rPr>
          </w:pPr>
          <w:r w:rsidRPr="00A9070C">
            <w:rPr>
              <w:sz w:val="22"/>
              <w:szCs w:val="22"/>
            </w:rPr>
            <w:t>D</w:t>
          </w:r>
          <w:r>
            <w:rPr>
              <w:sz w:val="22"/>
              <w:szCs w:val="22"/>
            </w:rPr>
            <w:t>ie Ambitionen</w:t>
          </w:r>
          <w:r w:rsidRPr="00A9070C">
            <w:rPr>
              <w:sz w:val="22"/>
              <w:szCs w:val="22"/>
            </w:rPr>
            <w:t xml:space="preserve"> des Grünen Deals </w:t>
          </w:r>
          <w:r>
            <w:rPr>
              <w:sz w:val="22"/>
              <w:szCs w:val="22"/>
            </w:rPr>
            <w:t>sind</w:t>
          </w:r>
          <w:r w:rsidRPr="00A9070C">
            <w:rPr>
              <w:sz w:val="22"/>
              <w:szCs w:val="22"/>
            </w:rPr>
            <w:t xml:space="preserve"> vollständig in die Mehrjahresprogramme der Initiativen eingebettet, die für den Zeitraum 2021-2027 auf nationaler, regionaler und globaler Ebene festgelegt wurden: in den meisten Fällen liegt der Schwerpunkt auf der grünen</w:t>
          </w:r>
          <w:r>
            <w:rPr>
              <w:sz w:val="22"/>
              <w:szCs w:val="22"/>
            </w:rPr>
            <w:t>-</w:t>
          </w:r>
          <w:r w:rsidRPr="00A9070C">
            <w:rPr>
              <w:sz w:val="22"/>
              <w:szCs w:val="22"/>
            </w:rPr>
            <w:t xml:space="preserve">/Kreislaufwirtschaft und grünen Investitionen. </w:t>
          </w:r>
        </w:p>
        <w:p w14:paraId="6572032B" w14:textId="77777777" w:rsidR="00B40648" w:rsidRDefault="00B40648" w:rsidP="00B40648">
          <w:pPr>
            <w:rPr>
              <w:sz w:val="22"/>
              <w:szCs w:val="22"/>
            </w:rPr>
          </w:pPr>
          <w:r w:rsidRPr="00A9070C">
            <w:rPr>
              <w:sz w:val="22"/>
              <w:szCs w:val="22"/>
            </w:rPr>
            <w:t>Das INTPA-Referat F2 hat die Aufgabe, Entwicklungsländer bei der Umsetzung der Umweltdimension der Agenda 2030 für nachhaltige Entwicklung im Einklang mit dem Europäischen Konsens über die Entwicklungspolitik zu unterstützen. Das Referat F2 fördert die Gestaltung und Umsetzung der externen Dimension des europäischen Grünen Deals. E</w:t>
          </w:r>
          <w:r>
            <w:rPr>
              <w:sz w:val="22"/>
              <w:szCs w:val="22"/>
            </w:rPr>
            <w:t>s</w:t>
          </w:r>
          <w:r w:rsidRPr="00A9070C">
            <w:rPr>
              <w:sz w:val="22"/>
              <w:szCs w:val="22"/>
            </w:rPr>
            <w:t xml:space="preserve"> unterstützt den Übergang zu einer grünen Wirtschaft und Kreislaufwirtschaft, die „Ökologisierung“ der Zusammenarbeit der EU mit Drittländern (durch die Einbeziehung (oder durchgängige Berücksichtigung) der ökologischen Nachhaltigkeit in Entwicklungsstrategien, -pläne</w:t>
          </w:r>
          <w:r>
            <w:rPr>
              <w:sz w:val="22"/>
              <w:szCs w:val="22"/>
            </w:rPr>
            <w:t>n</w:t>
          </w:r>
          <w:r w:rsidRPr="00A9070C">
            <w:rPr>
              <w:sz w:val="22"/>
              <w:szCs w:val="22"/>
            </w:rPr>
            <w:t xml:space="preserve"> und -investitionen in allen Bereichen und Instrumenten) und die Konzeption und Umsetzung spezifischer Maßnahmen zur Förderung einer Kreislaufwirtschaft, einer besseren Verwaltung der Umwelt und der natürlichen Ressourcen, der Erhaltung und nachhaltigen Nutzung der biologischen Vielfalt und der Ressourcen, einschließlich Land, Wasser, Ozeane</w:t>
          </w:r>
          <w:r>
            <w:rPr>
              <w:sz w:val="22"/>
              <w:szCs w:val="22"/>
            </w:rPr>
            <w:t>n</w:t>
          </w:r>
          <w:r w:rsidRPr="00A9070C">
            <w:rPr>
              <w:sz w:val="22"/>
              <w:szCs w:val="22"/>
            </w:rPr>
            <w:t xml:space="preserve"> und Wälder</w:t>
          </w:r>
          <w:r>
            <w:rPr>
              <w:sz w:val="22"/>
              <w:szCs w:val="22"/>
            </w:rPr>
            <w:t>n.</w:t>
          </w:r>
        </w:p>
        <w:p w14:paraId="635EFC97" w14:textId="77777777" w:rsidR="00B40648" w:rsidRPr="00A9070C" w:rsidRDefault="00B40648" w:rsidP="00B40648">
          <w:pPr>
            <w:rPr>
              <w:sz w:val="22"/>
              <w:szCs w:val="22"/>
            </w:rPr>
          </w:pPr>
          <w:r w:rsidRPr="00A9070C">
            <w:rPr>
              <w:sz w:val="22"/>
              <w:szCs w:val="22"/>
            </w:rPr>
            <w:t>Zu diesem Zweck ist INTPA F2 für drei Hauptarbeitsbereiche zuständig:</w:t>
          </w:r>
          <w:r>
            <w:rPr>
              <w:sz w:val="22"/>
              <w:szCs w:val="22"/>
            </w:rPr>
            <w:t xml:space="preserve"> </w:t>
          </w:r>
          <w:r w:rsidRPr="00A9070C">
            <w:rPr>
              <w:sz w:val="22"/>
              <w:szCs w:val="22"/>
            </w:rPr>
            <w:t xml:space="preserve">thematische Politikentwicklung; thematische Unterstützung (einschließlich der durchgängigen Berücksichtigung des Umweltaspekts) und politische Leitlinien für die EU-Delegationen und unsere Partner; </w:t>
          </w:r>
          <w:r>
            <w:rPr>
              <w:sz w:val="22"/>
              <w:szCs w:val="22"/>
            </w:rPr>
            <w:t xml:space="preserve">sowie </w:t>
          </w:r>
          <w:r w:rsidRPr="00A9070C">
            <w:rPr>
              <w:sz w:val="22"/>
              <w:szCs w:val="22"/>
            </w:rPr>
            <w:t>Programmierung und Durchführung</w:t>
          </w:r>
          <w:r>
            <w:rPr>
              <w:sz w:val="22"/>
              <w:szCs w:val="22"/>
            </w:rPr>
            <w:t xml:space="preserve"> von Ausgaben</w:t>
          </w:r>
          <w:r w:rsidRPr="00A9070C">
            <w:rPr>
              <w:sz w:val="22"/>
              <w:szCs w:val="22"/>
            </w:rPr>
            <w:t xml:space="preserve">. Diese Aufgaben umfassen auch den politischen Dialog, den Aufbau von Kapazitäten und Wissensmanagement, </w:t>
          </w:r>
          <w:r>
            <w:rPr>
              <w:sz w:val="22"/>
              <w:szCs w:val="22"/>
            </w:rPr>
            <w:t xml:space="preserve">sowie das Aufbauen/Pflegen von </w:t>
          </w:r>
          <w:r w:rsidRPr="00A9070C">
            <w:rPr>
              <w:sz w:val="22"/>
              <w:szCs w:val="22"/>
            </w:rPr>
            <w:t xml:space="preserve">Partnerschaften. </w:t>
          </w:r>
        </w:p>
        <w:p w14:paraId="76DD1EEA" w14:textId="0B6553BA" w:rsidR="00803007" w:rsidRPr="00B40648" w:rsidRDefault="00B40648" w:rsidP="00803007">
          <w:pPr>
            <w:rPr>
              <w:lang w:eastAsia="en-GB"/>
            </w:rPr>
          </w:pPr>
          <w:r w:rsidRPr="00A9070C">
            <w:rPr>
              <w:sz w:val="22"/>
              <w:szCs w:val="22"/>
            </w:rPr>
            <w:t>Die Arbeit in diesen Bereichen erfolgt mit Unterstützung von Einrichtungen für technische Hilfe und in enger Abstimmung mit dem für nachhaltige Energie und Klimawandel zuständigen Referat (F1); sie erfordert eine aktive Zusammenarbeit mit allen betroffenen Dienststellen, einschließlich der EU-Delegationen, der zuständigen Generaldirektionen, der Partnereinrichtungen und Regierungen, der Mitgliedstaaten und der Kolleginnen und Kollegen am Hauptsitz.</w:t>
          </w:r>
        </w:p>
      </w:sdtContent>
    </w:sdt>
    <w:p w14:paraId="3862387A" w14:textId="77777777" w:rsidR="00803007" w:rsidRPr="00B40648" w:rsidRDefault="00803007" w:rsidP="00803007">
      <w:pPr>
        <w:pStyle w:val="ListNumber"/>
        <w:numPr>
          <w:ilvl w:val="0"/>
          <w:numId w:val="0"/>
        </w:numPr>
        <w:ind w:left="709" w:hanging="709"/>
        <w:rPr>
          <w:b/>
          <w:bCs/>
          <w:lang w:eastAsia="en-GB"/>
        </w:rPr>
      </w:pPr>
    </w:p>
    <w:p w14:paraId="046800D0" w14:textId="24F3CD48" w:rsidR="007C07D8" w:rsidRPr="007C07D8" w:rsidRDefault="00803007" w:rsidP="00803007">
      <w:pPr>
        <w:pStyle w:val="ListNumber"/>
        <w:numPr>
          <w:ilvl w:val="0"/>
          <w:numId w:val="0"/>
        </w:numPr>
        <w:ind w:left="709" w:hanging="709"/>
        <w:rPr>
          <w:b/>
          <w:bCs/>
          <w:lang w:eastAsia="en-GB"/>
        </w:rPr>
      </w:pPr>
      <w:r w:rsidRPr="007C07D8">
        <w:rPr>
          <w:b/>
          <w:bCs/>
          <w:lang w:eastAsia="en-GB"/>
        </w:rPr>
        <w:t>Stellenprofil</w:t>
      </w:r>
      <w:r w:rsidR="007C07D8" w:rsidRPr="007C07D8">
        <w:rPr>
          <w:b/>
          <w:bCs/>
          <w:lang w:eastAsia="en-GB"/>
        </w:rPr>
        <w:t xml:space="preserve"> (wir schlagen vor)</w:t>
      </w:r>
    </w:p>
    <w:sdt>
      <w:sdtPr>
        <w:rPr>
          <w:lang w:val="en-US" w:eastAsia="en-GB"/>
        </w:rPr>
        <w:id w:val="-723136291"/>
        <w:placeholder>
          <w:docPart w:val="2D9A90DC0280475D996998F2F9FD95D5"/>
        </w:placeholder>
      </w:sdtPr>
      <w:sdtEndPr/>
      <w:sdtContent>
        <w:p w14:paraId="384F216F" w14:textId="77777777" w:rsidR="00B40648" w:rsidRPr="009F2371" w:rsidRDefault="00B40648" w:rsidP="00B40648">
          <w:pPr>
            <w:rPr>
              <w:sz w:val="22"/>
              <w:szCs w:val="22"/>
            </w:rPr>
          </w:pPr>
          <w:r w:rsidRPr="009F2371">
            <w:rPr>
              <w:sz w:val="22"/>
              <w:szCs w:val="22"/>
            </w:rPr>
            <w:t xml:space="preserve">Unter der Verantwortung des Referatsleiters und unter der direkten Aufsicht des Leiters des Bereichs Umwelt, Mainstreaming und Kreislaufwirtschaft wird der erfolgreiche Bewerber die Arbeit der </w:t>
          </w:r>
          <w:r>
            <w:rPr>
              <w:sz w:val="22"/>
              <w:szCs w:val="22"/>
            </w:rPr>
            <w:t xml:space="preserve">GD </w:t>
          </w:r>
          <w:r w:rsidRPr="009F2371">
            <w:rPr>
              <w:sz w:val="22"/>
              <w:szCs w:val="22"/>
            </w:rPr>
            <w:t xml:space="preserve">INTPA zur Förderung des Übergangs zu einer ressourceneffizienten Kreislaufwirtschaft und zur Ökologisierung von EU-geförderten Investitionen im Einklang mit den Zielen des europäischen Grünen Deals unterstützen. Dazu gehören i) die Unterstützung der politischen Arbeit der Kommission im Bereich der Kreislaufwirtschaft und des nachhaltigen Finanzwesens sowie die Teilnahme an dienststellenübergreifenden Konsultationen zu Fragen der Kreislaufwirtschaft, Unterstützung der Konzeption, Steuerung und Verwaltung des INTPA-Projektportfolios für die Kreislaufwirtschaft, insbesondere globaler Projekte; thematische Unterstützung der EU-Delegationen im Bereich der Kreislaufwirtschaft, insbesondere durch die Überprüfung der Programmplanungs- und Aktionsdokumente im Rahmen des Qualitätssicherungsverfahrens; Unterstützung der Integration – oder Mainstreaming – der Umwelt und der grünen/Kreislaufwirtschaft in Investitionen, die im Rahmen des Europäischen Fonds für nachhaltige Entwicklung (EFSD+) unterstützt werden, einschließlich Garantien und Mischfinanzierungen, sowie Budgethilfemaßnahmen und Verwaltung der öffentlichen Finanzen; dies kann mit Unterstützung der Fazilität für technische Hilfe die Entwicklung von Instrumenten und methodischen Leitlinien, die Zusammenarbeit mit Finanzinstituten und die Überprüfung der Qualität von Investitionsprogrammen und Investitionsvorschlägen umfassen. </w:t>
          </w:r>
        </w:p>
        <w:p w14:paraId="11E65D84" w14:textId="77777777" w:rsidR="00B40648" w:rsidRDefault="00B40648" w:rsidP="00B40648">
          <w:pPr>
            <w:rPr>
              <w:sz w:val="22"/>
              <w:szCs w:val="22"/>
            </w:rPr>
          </w:pPr>
          <w:r w:rsidRPr="009F2371">
            <w:rPr>
              <w:sz w:val="22"/>
              <w:szCs w:val="22"/>
            </w:rPr>
            <w:lastRenderedPageBreak/>
            <w:t>In diesem Zusammenhang nimmt der erfolgreiche Bewerber/die erfolgreiche Bewerberin folgende Aufgaben wahr:</w:t>
          </w:r>
        </w:p>
        <w:p w14:paraId="4D9E4BB2" w14:textId="77777777" w:rsidR="00B40648" w:rsidRDefault="00B40648" w:rsidP="00B40648">
          <w:pPr>
            <w:rPr>
              <w:sz w:val="22"/>
              <w:szCs w:val="22"/>
            </w:rPr>
          </w:pPr>
        </w:p>
        <w:p w14:paraId="4CCAD516" w14:textId="77777777" w:rsidR="00B40648" w:rsidRPr="009F2371" w:rsidRDefault="00B40648" w:rsidP="00B40648">
          <w:pPr>
            <w:rPr>
              <w:sz w:val="22"/>
              <w:szCs w:val="22"/>
            </w:rPr>
          </w:pPr>
          <w:r w:rsidRPr="009F2371">
            <w:rPr>
              <w:sz w:val="22"/>
              <w:szCs w:val="22"/>
            </w:rPr>
            <w:t xml:space="preserve">• Beitrag zur politischen und technischen Arbeit von </w:t>
          </w:r>
          <w:r>
            <w:rPr>
              <w:sz w:val="22"/>
              <w:szCs w:val="22"/>
            </w:rPr>
            <w:t xml:space="preserve">GD </w:t>
          </w:r>
          <w:r w:rsidRPr="009F2371">
            <w:rPr>
              <w:sz w:val="22"/>
              <w:szCs w:val="22"/>
            </w:rPr>
            <w:t xml:space="preserve">INTPA in Bezug auf grüne/Kreislaufwirtschaft, grüne Investitionen und Umwelt im weiteren Sinne. </w:t>
          </w:r>
        </w:p>
        <w:p w14:paraId="1C5D9CA3" w14:textId="77777777" w:rsidR="00B40648" w:rsidRPr="009F2371" w:rsidRDefault="00B40648" w:rsidP="00B40648">
          <w:pPr>
            <w:rPr>
              <w:sz w:val="22"/>
              <w:szCs w:val="22"/>
            </w:rPr>
          </w:pPr>
          <w:r w:rsidRPr="009F2371">
            <w:rPr>
              <w:sz w:val="22"/>
              <w:szCs w:val="22"/>
            </w:rPr>
            <w:t xml:space="preserve">• Unterstützung der Entwicklung und Verwaltung des Portfolios von INTPA für grüne/Kreislaufwirtschaft, Beitrag zur Gestaltung und Verwaltung von Kreislaufwirtschafts- und Umweltmaßnahmen, die im Rahmen der thematischen und geografischen Programme finanziert werden. </w:t>
          </w:r>
        </w:p>
        <w:p w14:paraId="4E4EE56B" w14:textId="77777777" w:rsidR="00B40648" w:rsidRPr="009F2371" w:rsidRDefault="00B40648" w:rsidP="00B40648">
          <w:pPr>
            <w:rPr>
              <w:sz w:val="22"/>
              <w:szCs w:val="22"/>
            </w:rPr>
          </w:pPr>
          <w:r w:rsidRPr="009F2371">
            <w:rPr>
              <w:sz w:val="22"/>
              <w:szCs w:val="22"/>
            </w:rPr>
            <w:t xml:space="preserve">• Beitrag zur Erfüllung der Aufgaben des Referats durch Gewährleistung einer wirksamen Durchführung der </w:t>
          </w:r>
          <w:r>
            <w:rPr>
              <w:sz w:val="22"/>
              <w:szCs w:val="22"/>
            </w:rPr>
            <w:t>ihm</w:t>
          </w:r>
          <w:r w:rsidRPr="009F2371">
            <w:rPr>
              <w:sz w:val="22"/>
              <w:szCs w:val="22"/>
            </w:rPr>
            <w:t xml:space="preserve"> übertragenen Aufgaben; dazu gehört insbesondere ein Beitrag zur Ausarbeitung von Arbeitsplänen, Berichten, Briefings, politischen und technischen Dokumenten und anderen institutionellen Prozessen. </w:t>
          </w:r>
        </w:p>
        <w:p w14:paraId="43C4094C" w14:textId="77777777" w:rsidR="00B40648" w:rsidRPr="009F2371" w:rsidRDefault="00B40648" w:rsidP="00B40648">
          <w:pPr>
            <w:rPr>
              <w:sz w:val="22"/>
              <w:szCs w:val="22"/>
            </w:rPr>
          </w:pPr>
          <w:r w:rsidRPr="009F2371">
            <w:rPr>
              <w:sz w:val="22"/>
              <w:szCs w:val="22"/>
            </w:rPr>
            <w:t xml:space="preserve">• Bereitstellung hochwertiger Unterstützung, methodischer Anleitung und Beratung in Bezug auf grüne/Kreislaufwirtschaft, grüne Investitionen und Umweltfragen für Kolleginnen und Kollegen in den EU-Delegationen und am Hauptsitz, unter anderem durch die Mobilisierung und Überwachung der </w:t>
          </w:r>
          <w:r>
            <w:rPr>
              <w:sz w:val="22"/>
              <w:szCs w:val="22"/>
            </w:rPr>
            <w:t xml:space="preserve">„Greening Facility </w:t>
          </w:r>
          <w:r w:rsidRPr="009F2371">
            <w:rPr>
              <w:sz w:val="22"/>
              <w:szCs w:val="22"/>
            </w:rPr>
            <w:t>INTPA</w:t>
          </w:r>
          <w:r>
            <w:rPr>
              <w:sz w:val="22"/>
              <w:szCs w:val="22"/>
            </w:rPr>
            <w:t>“</w:t>
          </w:r>
          <w:r w:rsidRPr="009F2371">
            <w:rPr>
              <w:sz w:val="22"/>
              <w:szCs w:val="22"/>
            </w:rPr>
            <w:t xml:space="preserve"> und der „Switch </w:t>
          </w:r>
          <w:proofErr w:type="spellStart"/>
          <w:r w:rsidRPr="009F2371">
            <w:rPr>
              <w:sz w:val="22"/>
              <w:szCs w:val="22"/>
            </w:rPr>
            <w:t>to</w:t>
          </w:r>
          <w:proofErr w:type="spellEnd"/>
          <w:r w:rsidRPr="009F2371">
            <w:rPr>
              <w:sz w:val="22"/>
              <w:szCs w:val="22"/>
            </w:rPr>
            <w:t xml:space="preserve"> Green Facility“. </w:t>
          </w:r>
        </w:p>
        <w:p w14:paraId="52A570C4" w14:textId="77777777" w:rsidR="00B40648" w:rsidRPr="009F2371" w:rsidRDefault="00B40648" w:rsidP="00B40648">
          <w:pPr>
            <w:rPr>
              <w:sz w:val="22"/>
              <w:szCs w:val="22"/>
            </w:rPr>
          </w:pPr>
          <w:r w:rsidRPr="009F2371">
            <w:rPr>
              <w:sz w:val="22"/>
              <w:szCs w:val="22"/>
            </w:rPr>
            <w:t xml:space="preserve">• Beitrag zum Qualitätssicherungsprozess und Unterstützung der Konzeption neuer Programme durch Teilnahme an Sitzungen zur Qualitätsüberprüfung, an länderspezifischen/regionalen Koordinierungsteams und an anderen einschlägigen Prozessen. </w:t>
          </w:r>
        </w:p>
        <w:p w14:paraId="2FE3E5F9" w14:textId="77777777" w:rsidR="00B40648" w:rsidRPr="009F2371" w:rsidRDefault="00B40648" w:rsidP="00B40648">
          <w:pPr>
            <w:rPr>
              <w:sz w:val="22"/>
              <w:szCs w:val="22"/>
            </w:rPr>
          </w:pPr>
          <w:r w:rsidRPr="009F2371">
            <w:rPr>
              <w:sz w:val="22"/>
              <w:szCs w:val="22"/>
            </w:rPr>
            <w:t xml:space="preserve">• Beitrag zur analytischen Arbeit und zur Entwicklung von Wissen, Instrumenten und Konzepten in Bezug auf grüne/Kreislaufwirtschaft, grüne Investitionen und die durchgängige Berücksichtigung von Umweltbelangen. </w:t>
          </w:r>
        </w:p>
        <w:p w14:paraId="54FA41F8" w14:textId="77777777" w:rsidR="00B40648" w:rsidRPr="009F2371" w:rsidRDefault="00B40648" w:rsidP="00B40648">
          <w:pPr>
            <w:rPr>
              <w:sz w:val="22"/>
              <w:szCs w:val="22"/>
            </w:rPr>
          </w:pPr>
          <w:r w:rsidRPr="009F2371">
            <w:rPr>
              <w:sz w:val="22"/>
              <w:szCs w:val="22"/>
            </w:rPr>
            <w:t xml:space="preserve">• Überprüfung von Strategiepapieren, Programmplanungsdokumenten, Maßnahmendokumenten, Umsetzungsberichten sowie Anregungen und Kommentaren zur Stärkung der Kreislaufwirtschaft und der Umweltdimension. </w:t>
          </w:r>
        </w:p>
        <w:p w14:paraId="1FC1AFFF" w14:textId="77777777" w:rsidR="00B40648" w:rsidRPr="009F2371" w:rsidRDefault="00B40648" w:rsidP="00B40648">
          <w:pPr>
            <w:rPr>
              <w:sz w:val="22"/>
              <w:szCs w:val="22"/>
            </w:rPr>
          </w:pPr>
          <w:r w:rsidRPr="009F2371">
            <w:rPr>
              <w:sz w:val="22"/>
              <w:szCs w:val="22"/>
            </w:rPr>
            <w:t xml:space="preserve">• Überprüfung von Investitionsvorschlägen im Rahmen der EU-Investitionsoffensive, des EFSD+ und der EU-Investitionsfazilitäten. </w:t>
          </w:r>
        </w:p>
        <w:p w14:paraId="64898880" w14:textId="77777777" w:rsidR="00B40648" w:rsidRPr="009F2371" w:rsidRDefault="00B40648" w:rsidP="00B40648">
          <w:pPr>
            <w:rPr>
              <w:sz w:val="22"/>
              <w:szCs w:val="22"/>
            </w:rPr>
          </w:pPr>
          <w:r w:rsidRPr="009F2371">
            <w:rPr>
              <w:sz w:val="22"/>
              <w:szCs w:val="22"/>
            </w:rPr>
            <w:t xml:space="preserve">• Unterstützung des </w:t>
          </w:r>
          <w:r>
            <w:rPr>
              <w:sz w:val="22"/>
              <w:szCs w:val="22"/>
            </w:rPr>
            <w:t>Netzwerks</w:t>
          </w:r>
          <w:r w:rsidRPr="009F2371">
            <w:rPr>
              <w:sz w:val="22"/>
              <w:szCs w:val="22"/>
            </w:rPr>
            <w:t xml:space="preserve"> von Anlaufstellen für Umwelt und Klima in den EU-Delegationen sowie von Schulungs- und Wissensentwicklungs- und -austauschmaßnahmen, um die Kapazitäten des Personals und der Partner der EU zu verbessern. </w:t>
          </w:r>
        </w:p>
        <w:p w14:paraId="0B467F8E" w14:textId="77777777" w:rsidR="00B40648" w:rsidRPr="009F2371" w:rsidRDefault="00B40648" w:rsidP="00B40648">
          <w:pPr>
            <w:rPr>
              <w:sz w:val="22"/>
              <w:szCs w:val="22"/>
            </w:rPr>
          </w:pPr>
          <w:r w:rsidRPr="009F2371">
            <w:rPr>
              <w:sz w:val="22"/>
              <w:szCs w:val="22"/>
            </w:rPr>
            <w:t xml:space="preserve">• Durchführung von Unterstützungsmissionen in Partnerländern zur Bereitstellung politischer und technischer Unterstützung im Bereich grüne/Kreislaufwirtschaft und </w:t>
          </w:r>
          <w:proofErr w:type="spellStart"/>
          <w:r w:rsidRPr="009F2371">
            <w:rPr>
              <w:sz w:val="22"/>
              <w:szCs w:val="22"/>
            </w:rPr>
            <w:t>Ökologisierungsinvestitionen</w:t>
          </w:r>
          <w:proofErr w:type="spellEnd"/>
          <w:r w:rsidRPr="009F2371">
            <w:rPr>
              <w:sz w:val="22"/>
              <w:szCs w:val="22"/>
            </w:rPr>
            <w:t xml:space="preserve">. </w:t>
          </w:r>
        </w:p>
        <w:p w14:paraId="2A981107" w14:textId="77777777" w:rsidR="00B40648" w:rsidRPr="009F2371" w:rsidRDefault="00B40648" w:rsidP="00B40648">
          <w:pPr>
            <w:rPr>
              <w:sz w:val="22"/>
              <w:szCs w:val="22"/>
            </w:rPr>
          </w:pPr>
          <w:r w:rsidRPr="009F2371">
            <w:rPr>
              <w:sz w:val="22"/>
              <w:szCs w:val="22"/>
            </w:rPr>
            <w:t xml:space="preserve">• Auf Anfrage Kolleginnen und Kollegen in INTPA und EU-Delegationen bei politischen Dialogen im Zusammenhang mit dem europäischen Grünen Deal unterstützen. Unterstützung der Organisation von </w:t>
          </w:r>
          <w:r>
            <w:rPr>
              <w:sz w:val="22"/>
              <w:szCs w:val="22"/>
            </w:rPr>
            <w:t>Arbeitsreisen</w:t>
          </w:r>
          <w:r w:rsidRPr="009F2371">
            <w:rPr>
              <w:sz w:val="22"/>
              <w:szCs w:val="22"/>
            </w:rPr>
            <w:t xml:space="preserve"> zur Kreislaufwirtschaft.  </w:t>
          </w:r>
        </w:p>
        <w:p w14:paraId="26D1F3FD" w14:textId="77777777" w:rsidR="00B40648" w:rsidRDefault="00B40648" w:rsidP="00B40648">
          <w:pPr>
            <w:rPr>
              <w:sz w:val="22"/>
              <w:szCs w:val="22"/>
            </w:rPr>
          </w:pPr>
          <w:r w:rsidRPr="009F2371">
            <w:rPr>
              <w:sz w:val="22"/>
              <w:szCs w:val="22"/>
            </w:rPr>
            <w:t>• Enge Abstimmung mit anderen betroffenen Referaten (insbesondere INTPA F1, INTPA E2 Privatsektor,</w:t>
          </w:r>
          <w:r>
            <w:rPr>
              <w:sz w:val="22"/>
              <w:szCs w:val="22"/>
            </w:rPr>
            <w:t xml:space="preserve"> INTPA</w:t>
          </w:r>
          <w:r w:rsidRPr="009F2371">
            <w:rPr>
              <w:sz w:val="22"/>
              <w:szCs w:val="22"/>
            </w:rPr>
            <w:t xml:space="preserve"> E3 </w:t>
          </w:r>
          <w:proofErr w:type="spellStart"/>
          <w:r w:rsidRPr="009F2371">
            <w:rPr>
              <w:sz w:val="22"/>
              <w:szCs w:val="22"/>
            </w:rPr>
            <w:t>Sustainable</w:t>
          </w:r>
          <w:proofErr w:type="spellEnd"/>
          <w:r w:rsidRPr="009F2371">
            <w:rPr>
              <w:sz w:val="22"/>
              <w:szCs w:val="22"/>
            </w:rPr>
            <w:t xml:space="preserve"> Finance und </w:t>
          </w:r>
          <w:r>
            <w:rPr>
              <w:sz w:val="22"/>
              <w:szCs w:val="22"/>
            </w:rPr>
            <w:t xml:space="preserve">INTPA </w:t>
          </w:r>
          <w:r w:rsidRPr="009F2371">
            <w:rPr>
              <w:sz w:val="22"/>
              <w:szCs w:val="22"/>
            </w:rPr>
            <w:t>E4 EFSD +), Generaldirektionen (GD ENV), EU-Delegationen, EU-Mitgliedstaaten und Partnerorganisationen.</w:t>
          </w:r>
        </w:p>
        <w:p w14:paraId="5F89FE76" w14:textId="77777777" w:rsidR="00B40648" w:rsidRDefault="00B40648" w:rsidP="00B40648">
          <w:pPr>
            <w:rPr>
              <w:sz w:val="22"/>
              <w:szCs w:val="22"/>
            </w:rPr>
          </w:pPr>
        </w:p>
        <w:p w14:paraId="12B9C59B" w14:textId="20AD4DC9" w:rsidR="00803007" w:rsidRPr="009F216F" w:rsidRDefault="00B40648" w:rsidP="00803007">
          <w:pPr>
            <w:rPr>
              <w:lang w:eastAsia="en-GB"/>
            </w:rPr>
          </w:pPr>
          <w:r w:rsidRPr="009F2371">
            <w:rPr>
              <w:sz w:val="22"/>
              <w:szCs w:val="22"/>
            </w:rPr>
            <w:lastRenderedPageBreak/>
            <w:t>Der</w:t>
          </w:r>
          <w:r>
            <w:rPr>
              <w:sz w:val="22"/>
              <w:szCs w:val="22"/>
            </w:rPr>
            <w:t>/Die</w:t>
          </w:r>
          <w:r w:rsidRPr="009F2371">
            <w:rPr>
              <w:sz w:val="22"/>
              <w:szCs w:val="22"/>
            </w:rPr>
            <w:t xml:space="preserve"> abgeordnete nationale Sachverständige übernimmt auch alle sonstigen relevanten Aufgaben zur Unterstützung der Arbeit des Referats und der GD, die ihm vom Referatsleiter oder vom Teamleiter zugewiesen werden.</w:t>
          </w:r>
        </w:p>
      </w:sdtContent>
    </w:sdt>
    <w:p w14:paraId="221E4883" w14:textId="77777777" w:rsidR="00803007" w:rsidRPr="009F216F" w:rsidRDefault="00803007" w:rsidP="00803007">
      <w:pPr>
        <w:pStyle w:val="ListNumber"/>
        <w:numPr>
          <w:ilvl w:val="0"/>
          <w:numId w:val="0"/>
        </w:numPr>
        <w:ind w:left="709" w:hanging="709"/>
        <w:rPr>
          <w:b/>
          <w:bCs/>
          <w:lang w:eastAsia="en-GB"/>
        </w:rPr>
      </w:pPr>
    </w:p>
    <w:p w14:paraId="7BDE8AFF" w14:textId="31F4D018" w:rsidR="00803007" w:rsidRPr="007C07D8" w:rsidRDefault="00803007" w:rsidP="00803007">
      <w:pPr>
        <w:pStyle w:val="ListNumber"/>
        <w:numPr>
          <w:ilvl w:val="0"/>
          <w:numId w:val="0"/>
        </w:numPr>
        <w:ind w:left="709" w:hanging="709"/>
        <w:rPr>
          <w:b/>
          <w:bCs/>
          <w:lang w:eastAsia="en-GB"/>
        </w:rPr>
      </w:pPr>
      <w:r w:rsidRPr="007C07D8">
        <w:rPr>
          <w:b/>
          <w:bCs/>
          <w:lang w:eastAsia="en-GB"/>
        </w:rPr>
        <w:t>Auswahlkriterien</w:t>
      </w:r>
      <w:r w:rsidR="007C07D8" w:rsidRPr="007C07D8">
        <w:rPr>
          <w:b/>
          <w:bCs/>
          <w:lang w:eastAsia="en-GB"/>
        </w:rPr>
        <w:t xml:space="preserve"> (wir suchen)</w:t>
      </w:r>
    </w:p>
    <w:sdt>
      <w:sdtPr>
        <w:rPr>
          <w:b/>
          <w:bCs/>
          <w:lang w:eastAsia="en-GB"/>
        </w:rPr>
        <w:id w:val="-689827953"/>
        <w:placeholder>
          <w:docPart w:val="0623C2C4607F4C2C8BD24DBE22928098"/>
        </w:placeholder>
      </w:sdtPr>
      <w:sdtEndPr/>
      <w:sdtContent>
        <w:p w14:paraId="551C8845" w14:textId="77777777" w:rsidR="00B40648" w:rsidRPr="005F324D" w:rsidRDefault="00B40648" w:rsidP="00B40648">
          <w:pPr>
            <w:tabs>
              <w:tab w:val="left" w:pos="709"/>
            </w:tabs>
            <w:ind w:left="709" w:right="60"/>
            <w:rPr>
              <w:sz w:val="22"/>
              <w:szCs w:val="22"/>
            </w:rPr>
          </w:pPr>
          <w:r w:rsidRPr="005F324D">
            <w:rPr>
              <w:sz w:val="22"/>
              <w:szCs w:val="22"/>
              <w:u w:val="single"/>
            </w:rPr>
            <w:t>Bildungsabschluss</w:t>
          </w:r>
          <w:r w:rsidRPr="005F324D">
            <w:rPr>
              <w:sz w:val="22"/>
              <w:szCs w:val="22"/>
            </w:rPr>
            <w:t xml:space="preserve"> </w:t>
          </w:r>
        </w:p>
        <w:p w14:paraId="42A49AEE" w14:textId="77777777" w:rsidR="00B40648" w:rsidRPr="005F324D" w:rsidRDefault="00B40648" w:rsidP="00B40648">
          <w:pPr>
            <w:tabs>
              <w:tab w:val="left" w:pos="709"/>
            </w:tabs>
            <w:ind w:left="709" w:right="1317"/>
            <w:rPr>
              <w:sz w:val="22"/>
              <w:szCs w:val="22"/>
            </w:rPr>
          </w:pPr>
          <w:r w:rsidRPr="005F324D">
            <w:rPr>
              <w:sz w:val="22"/>
              <w:szCs w:val="22"/>
            </w:rPr>
            <w:t>- ein Universitätsabschluss oder</w:t>
          </w:r>
        </w:p>
        <w:p w14:paraId="3FD86A76" w14:textId="77777777" w:rsidR="00B40648" w:rsidRPr="005F324D" w:rsidRDefault="00B40648" w:rsidP="00B40648">
          <w:pPr>
            <w:tabs>
              <w:tab w:val="left" w:pos="709"/>
            </w:tabs>
            <w:ind w:left="709" w:right="1317"/>
            <w:rPr>
              <w:sz w:val="22"/>
              <w:szCs w:val="22"/>
            </w:rPr>
          </w:pPr>
          <w:r w:rsidRPr="005F324D">
            <w:rPr>
              <w:sz w:val="22"/>
              <w:szCs w:val="22"/>
            </w:rPr>
            <w:t>- eine gleichwertige Berufsausbildung oder Berufserfahrung</w:t>
          </w:r>
        </w:p>
        <w:p w14:paraId="7B1DED9A" w14:textId="77777777" w:rsidR="00B40648" w:rsidRPr="005F324D" w:rsidRDefault="00B40648" w:rsidP="00B40648">
          <w:pPr>
            <w:tabs>
              <w:tab w:val="left" w:pos="709"/>
            </w:tabs>
            <w:ind w:left="709" w:right="60"/>
            <w:rPr>
              <w:sz w:val="22"/>
              <w:szCs w:val="22"/>
            </w:rPr>
          </w:pPr>
          <w:r w:rsidRPr="005F324D">
            <w:rPr>
              <w:sz w:val="22"/>
              <w:szCs w:val="22"/>
            </w:rPr>
            <w:t xml:space="preserve">  im Bereich:</w:t>
          </w:r>
        </w:p>
        <w:p w14:paraId="46313324" w14:textId="77777777" w:rsidR="00B40648" w:rsidRPr="005F324D" w:rsidRDefault="00B40648" w:rsidP="00B40648">
          <w:pPr>
            <w:tabs>
              <w:tab w:val="left" w:pos="709"/>
            </w:tabs>
            <w:ind w:left="709" w:right="60"/>
            <w:rPr>
              <w:sz w:val="22"/>
              <w:szCs w:val="22"/>
            </w:rPr>
          </w:pPr>
          <w:r w:rsidRPr="009F2371">
            <w:rPr>
              <w:sz w:val="22"/>
              <w:szCs w:val="22"/>
            </w:rPr>
            <w:t>Umwelt, grüne/Kreislaufwirtschaft, natürliche Ressourcen und/oder nachhaltige Entwicklung</w:t>
          </w:r>
        </w:p>
        <w:p w14:paraId="242404D6" w14:textId="77777777" w:rsidR="00B40648" w:rsidRPr="005F324D" w:rsidRDefault="00B40648" w:rsidP="00B40648">
          <w:pPr>
            <w:tabs>
              <w:tab w:val="left" w:pos="709"/>
            </w:tabs>
            <w:ind w:left="709" w:right="60"/>
            <w:rPr>
              <w:sz w:val="22"/>
              <w:szCs w:val="22"/>
              <w:u w:val="single"/>
            </w:rPr>
          </w:pPr>
          <w:r w:rsidRPr="005F324D">
            <w:rPr>
              <w:sz w:val="22"/>
              <w:szCs w:val="22"/>
              <w:u w:val="single"/>
            </w:rPr>
            <w:t>Berufserfahrung</w:t>
          </w:r>
        </w:p>
        <w:p w14:paraId="14F41272" w14:textId="77777777" w:rsidR="00B40648" w:rsidRPr="009F2371" w:rsidRDefault="00B40648" w:rsidP="00B40648">
          <w:pPr>
            <w:tabs>
              <w:tab w:val="left" w:pos="709"/>
            </w:tabs>
            <w:ind w:left="709" w:right="60"/>
            <w:rPr>
              <w:sz w:val="22"/>
              <w:szCs w:val="22"/>
            </w:rPr>
          </w:pPr>
          <w:r w:rsidRPr="009F2371">
            <w:rPr>
              <w:sz w:val="22"/>
              <w:szCs w:val="22"/>
            </w:rPr>
            <w:t xml:space="preserve">Mindestens fünf Jahre nachgewiesene Berufserfahrung in Vollzeit in Bereichen, die für die Entwicklungszusammenarbeit, die Umwelt/natürliche Ressourcen und/oder die grüne/Kreislaufwirtschaft relevant sind, vorzugsweise auch auf politischer/strategischer Ebene und auf Projekt-/Programmebene. </w:t>
          </w:r>
        </w:p>
        <w:p w14:paraId="76EFA037" w14:textId="77777777" w:rsidR="00B40648" w:rsidRPr="009F2371" w:rsidRDefault="00B40648" w:rsidP="00B40648">
          <w:pPr>
            <w:tabs>
              <w:tab w:val="left" w:pos="709"/>
            </w:tabs>
            <w:ind w:left="709" w:right="60"/>
            <w:rPr>
              <w:sz w:val="22"/>
              <w:szCs w:val="22"/>
            </w:rPr>
          </w:pPr>
          <w:r w:rsidRPr="009F2371">
            <w:rPr>
              <w:sz w:val="22"/>
              <w:szCs w:val="22"/>
            </w:rPr>
            <w:t>Ausgezeichnetes Verständnis von Fragen der Umwelt/grünen Wirtschaft und der Kreislaufwirtschaft</w:t>
          </w:r>
          <w:r>
            <w:rPr>
              <w:sz w:val="22"/>
              <w:szCs w:val="22"/>
            </w:rPr>
            <w:t xml:space="preserve"> auf internationaler Ebene</w:t>
          </w:r>
        </w:p>
        <w:p w14:paraId="61E265AD" w14:textId="77777777" w:rsidR="00B40648" w:rsidRPr="009F2371" w:rsidRDefault="00B40648" w:rsidP="00B40648">
          <w:pPr>
            <w:tabs>
              <w:tab w:val="left" w:pos="709"/>
            </w:tabs>
            <w:ind w:left="709" w:right="60"/>
            <w:rPr>
              <w:sz w:val="22"/>
              <w:szCs w:val="22"/>
            </w:rPr>
          </w:pPr>
          <w:r w:rsidRPr="009F2371">
            <w:rPr>
              <w:sz w:val="22"/>
              <w:szCs w:val="22"/>
            </w:rPr>
            <w:t xml:space="preserve">Erfahrung mit dem Zyklus von Maßnahmen und Finanzierungsinstrumenten im Rahmen der Entwicklungszusammenarbeit, vorzugsweise einschließlich innovativer Finanzierungsinstrumente. </w:t>
          </w:r>
        </w:p>
        <w:p w14:paraId="456375E3" w14:textId="77777777" w:rsidR="00B40648" w:rsidRPr="009F2371" w:rsidRDefault="00B40648" w:rsidP="00B40648">
          <w:pPr>
            <w:tabs>
              <w:tab w:val="left" w:pos="709"/>
            </w:tabs>
            <w:ind w:left="709" w:right="60"/>
            <w:rPr>
              <w:sz w:val="22"/>
              <w:szCs w:val="22"/>
            </w:rPr>
          </w:pPr>
          <w:r w:rsidRPr="009F2371">
            <w:rPr>
              <w:sz w:val="22"/>
              <w:szCs w:val="22"/>
            </w:rPr>
            <w:t xml:space="preserve">Erfahrung in den Bereichen Investitionen, Entwicklung des Privatsektors und grüne Unternehmen wären von Vorteil. </w:t>
          </w:r>
        </w:p>
        <w:p w14:paraId="13AE6FB7" w14:textId="77777777" w:rsidR="00B40648" w:rsidRPr="009F2371" w:rsidRDefault="00B40648" w:rsidP="00B40648">
          <w:pPr>
            <w:tabs>
              <w:tab w:val="left" w:pos="709"/>
            </w:tabs>
            <w:ind w:left="709" w:right="60"/>
            <w:rPr>
              <w:sz w:val="22"/>
              <w:szCs w:val="22"/>
            </w:rPr>
          </w:pPr>
          <w:r w:rsidRPr="009F2371">
            <w:rPr>
              <w:sz w:val="22"/>
              <w:szCs w:val="22"/>
            </w:rPr>
            <w:t xml:space="preserve">Erfahrung mit der Einbeziehung oder </w:t>
          </w:r>
          <w:r>
            <w:rPr>
              <w:sz w:val="22"/>
              <w:szCs w:val="22"/>
            </w:rPr>
            <w:t>Mainstreaming</w:t>
          </w:r>
          <w:r w:rsidRPr="009F2371">
            <w:rPr>
              <w:sz w:val="22"/>
              <w:szCs w:val="22"/>
            </w:rPr>
            <w:t xml:space="preserve"> von Umweltbelangen in Strategien, Pläne und/oder Projekte wäre von Vorteil. </w:t>
          </w:r>
        </w:p>
        <w:p w14:paraId="260088B0" w14:textId="77777777" w:rsidR="00B40648" w:rsidRPr="009F2371" w:rsidRDefault="00B40648" w:rsidP="00B40648">
          <w:pPr>
            <w:tabs>
              <w:tab w:val="left" w:pos="709"/>
            </w:tabs>
            <w:ind w:left="709" w:right="60"/>
            <w:rPr>
              <w:sz w:val="22"/>
              <w:szCs w:val="22"/>
            </w:rPr>
          </w:pPr>
          <w:r w:rsidRPr="009F2371">
            <w:rPr>
              <w:sz w:val="22"/>
              <w:szCs w:val="22"/>
            </w:rPr>
            <w:t xml:space="preserve">Ausgezeichnetes Verständnis der Realität </w:t>
          </w:r>
          <w:r>
            <w:rPr>
              <w:sz w:val="22"/>
              <w:szCs w:val="22"/>
            </w:rPr>
            <w:t>von</w:t>
          </w:r>
          <w:r w:rsidRPr="009F2371">
            <w:rPr>
              <w:sz w:val="22"/>
              <w:szCs w:val="22"/>
            </w:rPr>
            <w:t xml:space="preserve"> Entwicklungsländer</w:t>
          </w:r>
          <w:r>
            <w:rPr>
              <w:sz w:val="22"/>
              <w:szCs w:val="22"/>
            </w:rPr>
            <w:t>n</w:t>
          </w:r>
          <w:r w:rsidRPr="009F2371">
            <w:rPr>
              <w:sz w:val="22"/>
              <w:szCs w:val="22"/>
            </w:rPr>
            <w:t xml:space="preserve">. Erfahrungen in Entwicklungsländern sind von Vorteil. </w:t>
          </w:r>
        </w:p>
        <w:p w14:paraId="7D888D2B" w14:textId="77777777" w:rsidR="00B40648" w:rsidRPr="009F2371" w:rsidRDefault="00B40648" w:rsidP="00B40648">
          <w:pPr>
            <w:tabs>
              <w:tab w:val="left" w:pos="709"/>
            </w:tabs>
            <w:ind w:left="709" w:right="60"/>
            <w:rPr>
              <w:sz w:val="22"/>
              <w:szCs w:val="22"/>
            </w:rPr>
          </w:pPr>
          <w:r w:rsidRPr="009F2371">
            <w:rPr>
              <w:sz w:val="22"/>
              <w:szCs w:val="22"/>
            </w:rPr>
            <w:t xml:space="preserve">Fähigkeit, komplexe Dossiers zu bearbeiten und unter Druck zu arbeiten. </w:t>
          </w:r>
        </w:p>
        <w:p w14:paraId="7A9CA487" w14:textId="77777777" w:rsidR="00B40648" w:rsidRPr="009F2371" w:rsidRDefault="00B40648" w:rsidP="00B40648">
          <w:pPr>
            <w:tabs>
              <w:tab w:val="left" w:pos="709"/>
            </w:tabs>
            <w:ind w:left="709" w:right="60"/>
            <w:rPr>
              <w:sz w:val="22"/>
              <w:szCs w:val="22"/>
            </w:rPr>
          </w:pPr>
          <w:r w:rsidRPr="009F2371">
            <w:rPr>
              <w:sz w:val="22"/>
              <w:szCs w:val="22"/>
            </w:rPr>
            <w:t xml:space="preserve">Teamarbeiter mit starkem Initiativgeist, Fähigkeit, konstruktive Arbeitsbeziehungen mit einer Vielzahl von Kollegen und Partnern aufzubauen, und Fähigkeit, in einem multidisziplinären Umfeld zu arbeiten.  </w:t>
          </w:r>
        </w:p>
        <w:p w14:paraId="6660BD43" w14:textId="77777777" w:rsidR="00B40648" w:rsidRPr="0071210B" w:rsidRDefault="00B40648" w:rsidP="00B40648">
          <w:pPr>
            <w:tabs>
              <w:tab w:val="left" w:pos="709"/>
            </w:tabs>
            <w:ind w:left="709" w:right="60"/>
            <w:rPr>
              <w:sz w:val="22"/>
              <w:szCs w:val="22"/>
              <w:u w:val="single"/>
            </w:rPr>
          </w:pPr>
          <w:r w:rsidRPr="009F2371">
            <w:rPr>
              <w:sz w:val="22"/>
              <w:szCs w:val="22"/>
            </w:rPr>
            <w:t>Die nachgewiesene Fähigkeit zur Analyse, Synthese von Berichten und Empfehlungsentwürfen wäre von Vorteil.</w:t>
          </w:r>
        </w:p>
        <w:p w14:paraId="284994AC" w14:textId="77777777" w:rsidR="00B40648" w:rsidRPr="005F324D" w:rsidRDefault="00B40648" w:rsidP="00B40648">
          <w:pPr>
            <w:tabs>
              <w:tab w:val="left" w:pos="709"/>
            </w:tabs>
            <w:ind w:left="709" w:right="60"/>
            <w:rPr>
              <w:sz w:val="22"/>
              <w:szCs w:val="22"/>
              <w:u w:val="single"/>
            </w:rPr>
          </w:pPr>
          <w:r w:rsidRPr="005F324D">
            <w:rPr>
              <w:sz w:val="22"/>
              <w:szCs w:val="22"/>
              <w:u w:val="single"/>
            </w:rPr>
            <w:t>Zur Ausübung der Tätigkeit erforderliche Sprachkenntnisse</w:t>
          </w:r>
        </w:p>
        <w:p w14:paraId="2387419D" w14:textId="5E0238B9" w:rsidR="00803007" w:rsidRPr="009F216F" w:rsidRDefault="00B40648" w:rsidP="00B40648">
          <w:pPr>
            <w:tabs>
              <w:tab w:val="left" w:pos="709"/>
            </w:tabs>
            <w:ind w:left="709" w:right="60"/>
            <w:rPr>
              <w:b/>
              <w:bCs/>
              <w:lang w:eastAsia="en-GB"/>
            </w:rPr>
          </w:pPr>
          <w:r w:rsidRPr="00FA2968">
            <w:rPr>
              <w:sz w:val="22"/>
              <w:szCs w:val="22"/>
            </w:rPr>
            <w:t>Ausgezeichnete schriftliche und mündliche</w:t>
          </w:r>
          <w:r>
            <w:rPr>
              <w:sz w:val="22"/>
              <w:szCs w:val="22"/>
            </w:rPr>
            <w:t xml:space="preserve"> Kommunikation</w:t>
          </w:r>
          <w:r w:rsidRPr="00FA2968">
            <w:rPr>
              <w:sz w:val="22"/>
              <w:szCs w:val="22"/>
            </w:rPr>
            <w:t xml:space="preserve"> in englischer und/oder französischer </w:t>
          </w:r>
          <w:r>
            <w:rPr>
              <w:sz w:val="22"/>
              <w:szCs w:val="22"/>
            </w:rPr>
            <w:t>Sprache.</w:t>
          </w:r>
        </w:p>
      </w:sdtContent>
    </w:sdt>
    <w:p w14:paraId="3CF70F22" w14:textId="77777777" w:rsidR="00546DB1" w:rsidRPr="009F216F" w:rsidRDefault="00546DB1" w:rsidP="00546DB1">
      <w:pPr>
        <w:tabs>
          <w:tab w:val="left" w:pos="426"/>
        </w:tabs>
        <w:spacing w:after="0"/>
        <w:rPr>
          <w:b/>
          <w:lang w:eastAsia="en-GB"/>
        </w:rPr>
      </w:pPr>
    </w:p>
    <w:p w14:paraId="07ED341C" w14:textId="77777777" w:rsidR="007C07D8" w:rsidRDefault="007C07D8" w:rsidP="00546DB1">
      <w:pPr>
        <w:spacing w:after="0"/>
        <w:ind w:left="426"/>
        <w:rPr>
          <w:b/>
          <w:lang w:eastAsia="en-GB"/>
        </w:rPr>
      </w:pPr>
    </w:p>
    <w:p w14:paraId="0C0698E7" w14:textId="666391D3" w:rsidR="00546DB1" w:rsidRPr="007C07D8" w:rsidRDefault="007C07D8" w:rsidP="007C07D8">
      <w:pPr>
        <w:pStyle w:val="ListNumber"/>
        <w:numPr>
          <w:ilvl w:val="0"/>
          <w:numId w:val="0"/>
        </w:numPr>
        <w:ind w:left="709" w:hanging="709"/>
        <w:rPr>
          <w:b/>
          <w:bCs/>
          <w:u w:val="single"/>
          <w:lang w:eastAsia="en-GB"/>
        </w:rPr>
      </w:pPr>
      <w:r w:rsidRPr="007C07D8">
        <w:rPr>
          <w:b/>
          <w:bCs/>
          <w:u w:val="single"/>
          <w:lang w:eastAsia="en-GB"/>
        </w:rPr>
        <w:t>Zulassungsbedingungen</w:t>
      </w:r>
    </w:p>
    <w:p w14:paraId="107D341A" w14:textId="2E447A9A" w:rsidR="007C07D8" w:rsidRDefault="007C07D8" w:rsidP="007C07D8">
      <w:pPr>
        <w:rPr>
          <w:lang w:eastAsia="en-GB"/>
        </w:rPr>
      </w:pPr>
      <w:r w:rsidRPr="00950BA5">
        <w:rPr>
          <w:lang w:eastAsia="en-GB"/>
        </w:rPr>
        <w:t xml:space="preserve">Abordnungen fallen unter den </w:t>
      </w:r>
      <w:r w:rsidRPr="00950BA5">
        <w:rPr>
          <w:b/>
          <w:lang w:eastAsia="en-GB"/>
        </w:rPr>
        <w:t xml:space="preserve">Beschluss </w:t>
      </w:r>
      <w:proofErr w:type="gramStart"/>
      <w:r w:rsidRPr="00950BA5">
        <w:rPr>
          <w:b/>
          <w:lang w:eastAsia="en-GB"/>
        </w:rPr>
        <w:t>C(</w:t>
      </w:r>
      <w:proofErr w:type="gramEnd"/>
      <w:r w:rsidRPr="00950BA5">
        <w:rPr>
          <w:b/>
          <w:lang w:eastAsia="en-GB"/>
        </w:rPr>
        <w:t>2008) 6866 der Kommission vom 12.11.2008</w:t>
      </w:r>
      <w:r w:rsidRPr="00950BA5">
        <w:rPr>
          <w:lang w:eastAsia="en-GB"/>
        </w:rPr>
        <w:t xml:space="preserve"> über die Regelung für zur Kommission abgeordnete oder sich zu Zwecken der beruflichen Weiterbildung bei der Kommission aufhaltende nationale Sachverständige (ANS-Beschluss).</w:t>
      </w:r>
    </w:p>
    <w:p w14:paraId="56462DDE" w14:textId="77777777" w:rsidR="007C07D8" w:rsidRDefault="007C07D8" w:rsidP="007C07D8">
      <w:pPr>
        <w:spacing w:after="0"/>
        <w:rPr>
          <w:lang w:eastAsia="en-GB"/>
        </w:rPr>
      </w:pPr>
      <w:r w:rsidRPr="007C07D8">
        <w:rPr>
          <w:lang w:eastAsia="en-GB"/>
        </w:rPr>
        <w:t xml:space="preserve">Gemäß dem ANS-Beschluss muss ein nationaler Sachverständiger </w:t>
      </w:r>
      <w:r w:rsidRPr="007C07D8">
        <w:rPr>
          <w:b/>
          <w:bCs/>
          <w:lang w:eastAsia="en-GB"/>
        </w:rPr>
        <w:t>zu Beginn der Abordnung</w:t>
      </w:r>
      <w:r w:rsidRPr="007C07D8">
        <w:rPr>
          <w:lang w:eastAsia="en-GB"/>
        </w:rPr>
        <w:t xml:space="preserve"> die folgenden Zulassungskriterien erfüllen:</w:t>
      </w:r>
    </w:p>
    <w:p w14:paraId="01801EF3" w14:textId="77777777" w:rsidR="00546DB1" w:rsidRPr="00950BA5" w:rsidRDefault="00546DB1" w:rsidP="00546DB1">
      <w:pPr>
        <w:spacing w:after="0"/>
        <w:ind w:left="426"/>
        <w:rPr>
          <w:lang w:eastAsia="en-GB"/>
        </w:rPr>
      </w:pPr>
    </w:p>
    <w:p w14:paraId="2B2FF37F" w14:textId="530B647B" w:rsidR="00546DB1" w:rsidRPr="00950BA5" w:rsidRDefault="00546DB1" w:rsidP="007C07D8">
      <w:pPr>
        <w:rPr>
          <w:lang w:eastAsia="en-GB"/>
        </w:rPr>
      </w:pPr>
      <w:r w:rsidRPr="00950BA5">
        <w:rPr>
          <w:u w:val="single"/>
          <w:lang w:eastAsia="en-GB"/>
        </w:rPr>
        <w:t>Berufserfahrung</w:t>
      </w:r>
      <w:r w:rsidRPr="007C07D8">
        <w:rPr>
          <w:u w:val="single"/>
          <w:lang w:eastAsia="en-GB"/>
        </w:rPr>
        <w:t>:</w:t>
      </w:r>
      <w:r w:rsidRPr="00950BA5">
        <w:rPr>
          <w:lang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499C45A3" w14:textId="3BF61B85" w:rsidR="00546DB1" w:rsidRPr="00950BA5" w:rsidRDefault="00546DB1" w:rsidP="007C07D8">
      <w:pPr>
        <w:rPr>
          <w:lang w:eastAsia="en-GB"/>
        </w:rPr>
      </w:pPr>
      <w:r w:rsidRPr="00950BA5">
        <w:rPr>
          <w:u w:val="single"/>
          <w:lang w:eastAsia="en-GB"/>
        </w:rPr>
        <w:t>Dienstalter</w:t>
      </w:r>
      <w:r w:rsidRPr="00950BA5">
        <w:rPr>
          <w:lang w:eastAsia="en-GB"/>
        </w:rPr>
        <w:t xml:space="preserve">: ein Dienstalter von mindestens einem Jahr </w:t>
      </w:r>
      <w:r w:rsidR="007C07D8">
        <w:rPr>
          <w:lang w:eastAsia="en-GB"/>
        </w:rPr>
        <w:t xml:space="preserve">(12 Monate) </w:t>
      </w:r>
      <w:r w:rsidRPr="00950BA5">
        <w:rPr>
          <w:lang w:eastAsia="en-GB"/>
        </w:rPr>
        <w:t>bei</w:t>
      </w:r>
      <w:r w:rsidR="000D7B5E">
        <w:rPr>
          <w:lang w:eastAsia="en-GB"/>
        </w:rPr>
        <w:t>m</w:t>
      </w:r>
      <w:r w:rsidRPr="00950BA5">
        <w:rPr>
          <w:lang w:eastAsia="en-GB"/>
        </w:rPr>
        <w:t xml:space="preserve"> Arbeitgeber in einem dienst- oder vertragsrechtlichen Verhältnis.  </w:t>
      </w:r>
    </w:p>
    <w:p w14:paraId="0B28567C" w14:textId="2A103873" w:rsidR="00546DB1" w:rsidRPr="00950BA5" w:rsidRDefault="007C07D8" w:rsidP="007C07D8">
      <w:pPr>
        <w:rPr>
          <w:lang w:eastAsia="en-GB"/>
        </w:rPr>
      </w:pPr>
      <w:r w:rsidRPr="000D7B5E">
        <w:rPr>
          <w:u w:val="single"/>
          <w:lang w:eastAsia="en-GB"/>
        </w:rPr>
        <w:t>Arbeitgeber:</w:t>
      </w:r>
      <w:r w:rsidRPr="007C07D8">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bei dem Arbeitgeber um eine öffentliche Stelle (z. B. eine Agentur oder ein Regulierungsinstitut), eine Universität oder ein unabhängiges Forschungsinstitut handelt.</w:t>
      </w:r>
    </w:p>
    <w:p w14:paraId="258A857A" w14:textId="6543A867" w:rsidR="00546DB1" w:rsidRDefault="00546DB1" w:rsidP="007C07D8">
      <w:pPr>
        <w:rPr>
          <w:lang w:eastAsia="en-GB"/>
        </w:rPr>
      </w:pPr>
      <w:r w:rsidRPr="000D7B5E">
        <w:rPr>
          <w:u w:val="single"/>
          <w:lang w:eastAsia="en-GB"/>
        </w:rPr>
        <w:t>Sprachkenntnisse:</w:t>
      </w:r>
      <w:r w:rsidRPr="00950BA5">
        <w:rPr>
          <w:lang w:eastAsia="en-GB"/>
        </w:rPr>
        <w:t xml:space="preserve"> gründliche Kenntnisse einer Sprache der Europäischen Union und ausreichende Kenntnisse einer weiteren Sprache der Europäischen Union in dem für die Wahrnehmung </w:t>
      </w:r>
      <w:r w:rsidR="000D7B5E">
        <w:rPr>
          <w:lang w:eastAsia="en-GB"/>
        </w:rPr>
        <w:t>d</w:t>
      </w:r>
      <w:r w:rsidRPr="00950BA5">
        <w:rPr>
          <w:lang w:eastAsia="en-GB"/>
        </w:rPr>
        <w:t xml:space="preserve">er Funktion erforderlichen Maße. Ein nationaler Sachverständiger aus einem Drittland muss nachweisen, dass er über gründliche Kenntnisse in </w:t>
      </w:r>
      <w:r w:rsidR="000D7B5E">
        <w:rPr>
          <w:lang w:eastAsia="en-GB"/>
        </w:rPr>
        <w:t>der</w:t>
      </w:r>
      <w:r w:rsidRPr="00950BA5">
        <w:rPr>
          <w:lang w:eastAsia="en-GB"/>
        </w:rPr>
        <w:t xml:space="preserve"> zur Ausübung seiner Tätigkeit erforderlichen Sprache der Europäischen Union verfügt.</w:t>
      </w:r>
    </w:p>
    <w:p w14:paraId="21E64871" w14:textId="77777777" w:rsidR="00546DB1" w:rsidRPr="00950BA5" w:rsidRDefault="00546DB1" w:rsidP="00546DB1">
      <w:pPr>
        <w:tabs>
          <w:tab w:val="left" w:pos="709"/>
        </w:tabs>
        <w:spacing w:after="0"/>
        <w:ind w:left="709" w:right="60"/>
        <w:rPr>
          <w:lang w:eastAsia="en-GB"/>
        </w:rPr>
      </w:pPr>
    </w:p>
    <w:p w14:paraId="5A0F8122" w14:textId="470FCE9B" w:rsidR="000D7B5E" w:rsidRPr="009442BE" w:rsidRDefault="000D7B5E" w:rsidP="009442BE">
      <w:pPr>
        <w:pStyle w:val="ListNumber"/>
        <w:numPr>
          <w:ilvl w:val="0"/>
          <w:numId w:val="0"/>
        </w:numPr>
        <w:ind w:left="709" w:hanging="709"/>
        <w:rPr>
          <w:b/>
          <w:bCs/>
          <w:u w:val="single"/>
          <w:lang w:eastAsia="en-GB"/>
        </w:rPr>
      </w:pPr>
      <w:r w:rsidRPr="009442BE">
        <w:rPr>
          <w:b/>
          <w:bCs/>
          <w:u w:val="single"/>
          <w:lang w:eastAsia="en-GB"/>
        </w:rPr>
        <w:t>Bedingungen für die Abordnung nationaler Sachverständiger</w:t>
      </w:r>
    </w:p>
    <w:p w14:paraId="3D706995" w14:textId="2337FA9A" w:rsidR="000D7B5E" w:rsidRPr="00950BA5" w:rsidRDefault="000D7B5E" w:rsidP="000D7B5E">
      <w:pPr>
        <w:rPr>
          <w:lang w:eastAsia="en-GB"/>
        </w:rPr>
      </w:pPr>
      <w:r w:rsidRPr="00950BA5">
        <w:rPr>
          <w:lang w:eastAsia="en-GB"/>
        </w:rPr>
        <w:t>Der</w:t>
      </w:r>
      <w:r w:rsidR="0089735C">
        <w:rPr>
          <w:lang w:eastAsia="en-GB"/>
        </w:rPr>
        <w:t>/Die</w:t>
      </w:r>
      <w:r w:rsidRPr="00950BA5">
        <w:rPr>
          <w:lang w:eastAsia="en-GB"/>
        </w:rPr>
        <w:t xml:space="preserve"> nationale Sachverständige bleibt während der gesamten Dauer der Abordnung bei seinem</w:t>
      </w:r>
      <w:r w:rsidR="0089735C">
        <w:rPr>
          <w:lang w:eastAsia="en-GB"/>
        </w:rPr>
        <w:t>/ihrem</w:t>
      </w:r>
      <w:r w:rsidRPr="00950BA5">
        <w:rPr>
          <w:lang w:eastAsia="en-GB"/>
        </w:rPr>
        <w:t xml:space="preserve"> Arbeitgeber angestellt und erhält seine</w:t>
      </w:r>
      <w:r w:rsidR="0089735C">
        <w:rPr>
          <w:lang w:eastAsia="en-GB"/>
        </w:rPr>
        <w:t>/ihre</w:t>
      </w:r>
      <w:r w:rsidRPr="00950BA5">
        <w:rPr>
          <w:lang w:eastAsia="en-GB"/>
        </w:rPr>
        <w:t xml:space="preserve"> Bezüge von diesem</w:t>
      </w:r>
      <w:r>
        <w:rPr>
          <w:lang w:eastAsia="en-GB"/>
        </w:rPr>
        <w:t xml:space="preserve"> und i</w:t>
      </w:r>
      <w:r w:rsidRPr="00950BA5">
        <w:rPr>
          <w:lang w:eastAsia="en-GB"/>
        </w:rPr>
        <w:t>st auch weiterhin seinem</w:t>
      </w:r>
      <w:r w:rsidR="0089735C">
        <w:rPr>
          <w:lang w:eastAsia="en-GB"/>
        </w:rPr>
        <w:t>/ihrem</w:t>
      </w:r>
      <w:r w:rsidRPr="00950BA5">
        <w:rPr>
          <w:lang w:eastAsia="en-GB"/>
        </w:rPr>
        <w:t xml:space="preserve"> </w:t>
      </w:r>
      <w:r>
        <w:rPr>
          <w:lang w:eastAsia="en-GB"/>
        </w:rPr>
        <w:t>(</w:t>
      </w:r>
      <w:r w:rsidRPr="00950BA5">
        <w:rPr>
          <w:lang w:eastAsia="en-GB"/>
        </w:rPr>
        <w:t>nationalen</w:t>
      </w:r>
      <w:r>
        <w:rPr>
          <w:lang w:eastAsia="en-GB"/>
        </w:rPr>
        <w:t>)</w:t>
      </w:r>
      <w:r w:rsidRPr="00950BA5">
        <w:rPr>
          <w:lang w:eastAsia="en-GB"/>
        </w:rPr>
        <w:t xml:space="preserve"> Sozialversicherungssystem angeschlossen.</w:t>
      </w:r>
    </w:p>
    <w:p w14:paraId="43A7463E" w14:textId="617EDFA4" w:rsidR="000D7B5E" w:rsidRDefault="000D7B5E" w:rsidP="000D7B5E">
      <w:pPr>
        <w:rPr>
          <w:lang w:eastAsia="en-GB"/>
        </w:rPr>
      </w:pPr>
      <w:r>
        <w:rPr>
          <w:lang w:eastAsia="en-GB"/>
        </w:rPr>
        <w:t>Er</w:t>
      </w:r>
      <w:r w:rsidR="0089735C">
        <w:rPr>
          <w:lang w:eastAsia="en-GB"/>
        </w:rPr>
        <w:t>/Sie</w:t>
      </w:r>
      <w:r>
        <w:rPr>
          <w:lang w:eastAsia="en-GB"/>
        </w:rPr>
        <w:t xml:space="preserve"> übt seine</w:t>
      </w:r>
      <w:r w:rsidR="0089735C">
        <w:rPr>
          <w:lang w:eastAsia="en-GB"/>
        </w:rPr>
        <w:t>/ihre</w:t>
      </w:r>
      <w:r>
        <w:rPr>
          <w:lang w:eastAsia="en-GB"/>
        </w:rPr>
        <w:t xml:space="preserve"> Aufgaben innerhalb der Kommission nach Maßgabe des genannten ANS-Beschlusses aus und unterliegt den darin festgelegten Bestimmungen über Vertraulichkeit, Loyalität und Nichtvorliegen von Interessenkonflikten.  </w:t>
      </w:r>
    </w:p>
    <w:p w14:paraId="1C8F3D04" w14:textId="7EEE4B70" w:rsidR="000D7B5E" w:rsidRPr="00950BA5" w:rsidRDefault="000D7B5E" w:rsidP="000D7B5E">
      <w:pPr>
        <w:rPr>
          <w:lang w:eastAsia="en-GB"/>
        </w:rPr>
      </w:pPr>
      <w:r>
        <w:rPr>
          <w:lang w:eastAsia="en-GB"/>
        </w:rPr>
        <w:t>Tagegelder können nur gewährt werden, wenn der</w:t>
      </w:r>
      <w:r w:rsidR="0089735C">
        <w:rPr>
          <w:lang w:eastAsia="en-GB"/>
        </w:rPr>
        <w:t>/die</w:t>
      </w:r>
      <w:r>
        <w:rPr>
          <w:lang w:eastAsia="en-GB"/>
        </w:rPr>
        <w:t xml:space="preserve"> nationale Sachverständige die Bedingungen gemäß Artikel 17 des ANS-Beschlusses erfüllt.</w:t>
      </w:r>
    </w:p>
    <w:p w14:paraId="4553B535" w14:textId="3BB18C81" w:rsidR="000D7B5E" w:rsidRDefault="000D7B5E" w:rsidP="000D7B5E">
      <w:pPr>
        <w:rPr>
          <w:lang w:eastAsia="en-GB"/>
        </w:rPr>
      </w:pPr>
      <w:r w:rsidRPr="00950BA5">
        <w:t>Mitarbeiter</w:t>
      </w:r>
      <w:r w:rsidR="0089735C">
        <w:t>/Mitarbeiterinnen</w:t>
      </w:r>
      <w:r w:rsidRPr="00950BA5">
        <w:t xml:space="preserve">, die in eine </w:t>
      </w:r>
      <w:r w:rsidRPr="000D7B5E">
        <w:rPr>
          <w:bCs/>
        </w:rPr>
        <w:t>Delegation der Europäischen Union</w:t>
      </w:r>
      <w:r w:rsidRPr="00950BA5">
        <w:t xml:space="preserve"> entsandt werden, benötigen eine Sicherheitsüberprüfung (nach SECRET UE/EU SECRET Niveau gemäß der Entscheidung der Kommission (EU-Euratom) 2015/444, O.J. L 72, 17.03.2015, p.53).  </w:t>
      </w:r>
      <w:r w:rsidRPr="00950BA5">
        <w:rPr>
          <w:lang w:eastAsia="en-GB"/>
        </w:rPr>
        <w:t>Der</w:t>
      </w:r>
      <w:r w:rsidR="0089735C">
        <w:rPr>
          <w:lang w:eastAsia="en-GB"/>
        </w:rPr>
        <w:t>/Die</w:t>
      </w:r>
      <w:r w:rsidRPr="00950BA5">
        <w:rPr>
          <w:lang w:eastAsia="en-GB"/>
        </w:rPr>
        <w:t xml:space="preserve"> </w:t>
      </w:r>
      <w:r>
        <w:rPr>
          <w:lang w:eastAsia="en-GB"/>
        </w:rPr>
        <w:t xml:space="preserve">nationale Sachverständige </w:t>
      </w:r>
      <w:r w:rsidRPr="00950BA5">
        <w:rPr>
          <w:lang w:eastAsia="en-GB"/>
        </w:rPr>
        <w:t>ist verpflichtet, das Überprüfungsverfahren vor der Abordnung einzuleiten.</w:t>
      </w:r>
    </w:p>
    <w:p w14:paraId="481B2BC2" w14:textId="77777777" w:rsidR="000D7B5E" w:rsidRPr="00950BA5" w:rsidRDefault="000D7B5E" w:rsidP="000D7B5E">
      <w:pPr>
        <w:rPr>
          <w:lang w:eastAsia="en-GB"/>
        </w:rPr>
      </w:pPr>
    </w:p>
    <w:p w14:paraId="1A75D71E" w14:textId="35F381C2" w:rsidR="00546DB1" w:rsidRPr="009442BE" w:rsidRDefault="00546DB1" w:rsidP="009442BE">
      <w:pPr>
        <w:pStyle w:val="ListNumber"/>
        <w:numPr>
          <w:ilvl w:val="0"/>
          <w:numId w:val="0"/>
        </w:numPr>
        <w:ind w:left="709" w:hanging="709"/>
        <w:rPr>
          <w:b/>
          <w:bCs/>
          <w:u w:val="single"/>
          <w:lang w:eastAsia="en-GB"/>
        </w:rPr>
      </w:pPr>
      <w:r w:rsidRPr="009442BE">
        <w:rPr>
          <w:b/>
          <w:bCs/>
          <w:u w:val="single"/>
          <w:lang w:eastAsia="en-GB"/>
        </w:rPr>
        <w:lastRenderedPageBreak/>
        <w:t>Bewerbung und Auswahlverfahren</w:t>
      </w:r>
    </w:p>
    <w:p w14:paraId="4DC4F7FE" w14:textId="65CD26DA" w:rsidR="009442BE" w:rsidRDefault="00546DB1" w:rsidP="000D7B5E">
      <w:pPr>
        <w:rPr>
          <w:b/>
          <w:lang w:eastAsia="en-GB"/>
        </w:rPr>
      </w:pPr>
      <w:r w:rsidRPr="00950BA5">
        <w:rPr>
          <w:lang w:eastAsia="en-GB"/>
        </w:rPr>
        <w:t>Die Bewerberinnen und Bewerber senden ihren</w:t>
      </w:r>
      <w:r w:rsidRPr="00950BA5">
        <w:rPr>
          <w:b/>
          <w:lang w:eastAsia="en-GB"/>
        </w:rPr>
        <w:t xml:space="preserve"> Lebenslauf im Europass-Format </w:t>
      </w:r>
      <w:r w:rsidRPr="00950BA5">
        <w:rPr>
          <w:lang w:eastAsia="en-GB"/>
        </w:rPr>
        <w:t>(</w:t>
      </w:r>
      <w:hyperlink r:id="rId15" w:history="1">
        <w:r w:rsidR="009442BE">
          <w:rPr>
            <w:rStyle w:val="Hyperlink"/>
          </w:rPr>
          <w:t>Home | Europass</w:t>
        </w:r>
      </w:hyperlink>
      <w:r w:rsidRPr="00950BA5">
        <w:rPr>
          <w:lang w:eastAsia="en-GB"/>
        </w:rPr>
        <w:t>)</w:t>
      </w:r>
      <w:r w:rsidRPr="00950BA5">
        <w:rPr>
          <w:b/>
          <w:lang w:eastAsia="en-GB"/>
        </w:rPr>
        <w:t xml:space="preserve"> </w:t>
      </w:r>
      <w:r w:rsidRPr="00950BA5">
        <w:rPr>
          <w:lang w:eastAsia="en-GB"/>
        </w:rPr>
        <w:t>auf deutsch, englisch oder französisch</w:t>
      </w:r>
      <w:r w:rsidRPr="00950BA5">
        <w:rPr>
          <w:b/>
          <w:lang w:eastAsia="en-GB"/>
        </w:rPr>
        <w:t xml:space="preserve"> </w:t>
      </w:r>
      <w:r w:rsidRPr="00950BA5">
        <w:rPr>
          <w:b/>
          <w:u w:val="single"/>
          <w:lang w:eastAsia="en-GB"/>
        </w:rPr>
        <w:t>ausschließlich an die Ständige Vertretung / diplomatische Mission ihres Landes bei der EU</w:t>
      </w:r>
      <w:r w:rsidRPr="00950BA5">
        <w:rPr>
          <w:lang w:eastAsia="en-GB"/>
        </w:rPr>
        <w:t>. Diese leitet die Bewerbungen innerhalb der Fristen für das Auswahlverfahren an die zuständigen Kommissionsdienststellen weiter.</w:t>
      </w:r>
      <w:r w:rsidRPr="00950BA5">
        <w:rPr>
          <w:b/>
          <w:lang w:eastAsia="en-GB"/>
        </w:rPr>
        <w:t xml:space="preserve"> </w:t>
      </w:r>
      <w:r w:rsidRPr="00950BA5">
        <w:rPr>
          <w:lang w:eastAsia="en-GB"/>
        </w:rPr>
        <w:t>Der Lebenslauf muss das Geburtsdatum und die Staatsangehörigkeit des Kandidaten</w:t>
      </w:r>
      <w:r w:rsidR="0089735C">
        <w:rPr>
          <w:lang w:eastAsia="en-GB"/>
        </w:rPr>
        <w:t>/der Kandidatin</w:t>
      </w:r>
      <w:r w:rsidRPr="00950BA5">
        <w:rPr>
          <w:lang w:eastAsia="en-GB"/>
        </w:rPr>
        <w:t xml:space="preserve"> enthalten.</w:t>
      </w:r>
      <w:r w:rsidRPr="00950BA5">
        <w:rPr>
          <w:b/>
          <w:lang w:eastAsia="en-GB"/>
        </w:rPr>
        <w:t xml:space="preserve"> </w:t>
      </w:r>
    </w:p>
    <w:p w14:paraId="2EC4B981" w14:textId="186ABAFF" w:rsidR="00546DB1" w:rsidRPr="00950BA5" w:rsidRDefault="00546DB1" w:rsidP="000D7B5E">
      <w:pPr>
        <w:rPr>
          <w:lang w:eastAsia="en-GB"/>
        </w:rPr>
      </w:pPr>
      <w:r w:rsidRPr="00950BA5">
        <w:rPr>
          <w:lang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14:paraId="1FF13EFB" w14:textId="77777777" w:rsidR="00546DB1" w:rsidRPr="00950BA5" w:rsidRDefault="00546DB1" w:rsidP="00546DB1">
      <w:pPr>
        <w:spacing w:after="0"/>
        <w:rPr>
          <w:lang w:eastAsia="en-GB"/>
        </w:rPr>
      </w:pPr>
    </w:p>
    <w:p w14:paraId="0509E6EC" w14:textId="64F431A5" w:rsidR="00546DB1" w:rsidRDefault="00546DB1" w:rsidP="009442BE">
      <w:pPr>
        <w:pStyle w:val="ListNumber"/>
        <w:numPr>
          <w:ilvl w:val="0"/>
          <w:numId w:val="0"/>
        </w:numPr>
        <w:ind w:left="709" w:hanging="709"/>
        <w:rPr>
          <w:b/>
          <w:bCs/>
          <w:u w:val="single"/>
          <w:lang w:eastAsia="en-GB"/>
        </w:rPr>
      </w:pPr>
      <w:r w:rsidRPr="009442BE">
        <w:rPr>
          <w:b/>
          <w:bCs/>
          <w:u w:val="single"/>
          <w:lang w:eastAsia="en-GB"/>
        </w:rPr>
        <w:t>Verarbeitung personenbezogener Daten</w:t>
      </w:r>
    </w:p>
    <w:p w14:paraId="20E56DF8" w14:textId="1900D334" w:rsidR="007716E4" w:rsidRPr="007716E4" w:rsidRDefault="007716E4" w:rsidP="007716E4">
      <w:pPr>
        <w:rPr>
          <w:lang w:eastAsia="en-GB"/>
        </w:rPr>
      </w:pPr>
      <w:r w:rsidRPr="007716E4">
        <w:rPr>
          <w:lang w:eastAsia="en-GB"/>
        </w:rPr>
        <w:t>Die Kommission trägt dafür Sorge, dass die personenbezogenen Daten der Bewerber/innen gemäß den Anforderungen der Verordnung (EU) 2018/1725 des Europäischen Parlaments und des Rates</w:t>
      </w:r>
      <w:r>
        <w:rPr>
          <w:lang w:eastAsia="en-GB"/>
        </w:rPr>
        <w:t xml:space="preserve"> </w:t>
      </w:r>
      <w:r w:rsidRPr="007716E4">
        <w:rPr>
          <w:lang w:eastAsia="en-GB"/>
        </w:rPr>
        <w:t>verarbeitet werden (</w:t>
      </w:r>
      <w:r>
        <w:rPr>
          <w:rStyle w:val="FootnoteReference"/>
          <w:lang w:eastAsia="en-GB"/>
        </w:rPr>
        <w:footnoteReference w:id="1"/>
      </w:r>
      <w:r>
        <w:rPr>
          <w:lang w:eastAsia="en-GB"/>
        </w:rPr>
        <w:t>)</w:t>
      </w:r>
      <w:r w:rsidRPr="007716E4">
        <w:rPr>
          <w:lang w:eastAsia="en-GB"/>
        </w:rPr>
        <w:t>. Dies gilt insbesondere für die Vertraulichkeit und Sicherheit dieser Daten.</w:t>
      </w:r>
      <w:r>
        <w:rPr>
          <w:lang w:eastAsia="en-GB"/>
        </w:rPr>
        <w:t xml:space="preserve"> </w:t>
      </w:r>
      <w:r w:rsidRPr="007716E4">
        <w:t>Bevor Sie sich bewerben, lesen Sie bitte die beigefügte Datenschutzerklärung.</w:t>
      </w:r>
    </w:p>
    <w:sectPr w:rsidR="007716E4" w:rsidRPr="007716E4">
      <w:headerReference w:type="even" r:id="rId16"/>
      <w:headerReference w:type="default" r:id="rId17"/>
      <w:footerReference w:type="even" r:id="rId18"/>
      <w:footerReference w:type="default" r:id="rId19"/>
      <w:headerReference w:type="first" r:id="rId20"/>
      <w:footerReference w:type="first" r:id="rId2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6EE4D5" w14:textId="77777777" w:rsidR="00546DB1" w:rsidRDefault="00546DB1">
      <w:pPr>
        <w:spacing w:after="0"/>
      </w:pPr>
      <w:r>
        <w:separator/>
      </w:r>
    </w:p>
  </w:endnote>
  <w:endnote w:type="continuationSeparator" w:id="0">
    <w:p w14:paraId="20D40F5C" w14:textId="77777777" w:rsidR="00546DB1" w:rsidRDefault="00546DB1">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690E39A9" w:rsidR="007D0EC6" w:rsidRDefault="007716E4">
    <w:pPr>
      <w:pStyle w:val="FooterLine"/>
      <w:jc w:val="center"/>
    </w:pPr>
    <w:r>
      <w:fldChar w:fldCharType="begin"/>
    </w:r>
    <w:r>
      <w:instrText>PAGE   \* MERGEFORMAT</w:instrText>
    </w:r>
    <w:r>
      <w:fldChar w:fldCharType="separate"/>
    </w:r>
    <w:r w:rsidR="008D52CF">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CCDF49" w14:textId="77777777" w:rsidR="00546DB1" w:rsidRDefault="00546DB1">
      <w:pPr>
        <w:spacing w:after="0"/>
      </w:pPr>
      <w:r>
        <w:separator/>
      </w:r>
    </w:p>
  </w:footnote>
  <w:footnote w:type="continuationSeparator" w:id="0">
    <w:p w14:paraId="0FEBCE9C" w14:textId="77777777" w:rsidR="00546DB1" w:rsidRDefault="00546DB1">
      <w:pPr>
        <w:spacing w:after="0"/>
      </w:pPr>
      <w:r>
        <w:continuationSeparator/>
      </w:r>
    </w:p>
  </w:footnote>
  <w:footnote w:id="1">
    <w:p w14:paraId="6B21068C" w14:textId="1B06F57A" w:rsidR="007716E4" w:rsidRPr="007716E4" w:rsidRDefault="007716E4">
      <w:pPr>
        <w:pStyle w:val="FootnoteText"/>
        <w:rPr>
          <w:lang w:val="fr-BE"/>
        </w:rPr>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1"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16cid:durableId="768352975">
    <w:abstractNumId w:val="0"/>
  </w:num>
  <w:num w:numId="2" w16cid:durableId="750010896">
    <w:abstractNumId w:val="11"/>
  </w:num>
  <w:num w:numId="3" w16cid:durableId="1803648488">
    <w:abstractNumId w:val="7"/>
  </w:num>
  <w:num w:numId="4" w16cid:durableId="1345133806">
    <w:abstractNumId w:val="12"/>
  </w:num>
  <w:num w:numId="5" w16cid:durableId="1484001909">
    <w:abstractNumId w:val="17"/>
  </w:num>
  <w:num w:numId="6" w16cid:durableId="773328393">
    <w:abstractNumId w:val="19"/>
  </w:num>
  <w:num w:numId="7" w16cid:durableId="105732114">
    <w:abstractNumId w:val="1"/>
  </w:num>
  <w:num w:numId="8" w16cid:durableId="385377974">
    <w:abstractNumId w:val="6"/>
  </w:num>
  <w:num w:numId="9" w16cid:durableId="526991876">
    <w:abstractNumId w:val="14"/>
  </w:num>
  <w:num w:numId="10" w16cid:durableId="564218535">
    <w:abstractNumId w:val="2"/>
  </w:num>
  <w:num w:numId="11" w16cid:durableId="1038512878">
    <w:abstractNumId w:val="4"/>
  </w:num>
  <w:num w:numId="12" w16cid:durableId="1162895123">
    <w:abstractNumId w:val="5"/>
  </w:num>
  <w:num w:numId="13" w16cid:durableId="225267355">
    <w:abstractNumId w:val="8"/>
  </w:num>
  <w:num w:numId="14" w16cid:durableId="1302420880">
    <w:abstractNumId w:val="13"/>
  </w:num>
  <w:num w:numId="15" w16cid:durableId="1649935422">
    <w:abstractNumId w:val="16"/>
  </w:num>
  <w:num w:numId="16" w16cid:durableId="57359822">
    <w:abstractNumId w:val="20"/>
  </w:num>
  <w:num w:numId="17" w16cid:durableId="229002306">
    <w:abstractNumId w:val="9"/>
  </w:num>
  <w:num w:numId="18" w16cid:durableId="630205849">
    <w:abstractNumId w:val="10"/>
  </w:num>
  <w:num w:numId="19" w16cid:durableId="2102024247">
    <w:abstractNumId w:val="21"/>
  </w:num>
  <w:num w:numId="20" w16cid:durableId="759369245">
    <w:abstractNumId w:val="15"/>
  </w:num>
  <w:num w:numId="21" w16cid:durableId="975991476">
    <w:abstractNumId w:val="18"/>
  </w:num>
  <w:num w:numId="22" w16cid:durableId="449011082">
    <w:abstractNumId w:val="3"/>
  </w:num>
  <w:num w:numId="23" w16cid:durableId="1680430503">
    <w:abstractNumId w:val="2"/>
  </w:num>
  <w:num w:numId="24" w16cid:durableId="77404849">
    <w:abstractNumId w:val="2"/>
  </w:num>
  <w:num w:numId="25" w16cid:durableId="1127695552">
    <w:abstractNumId w:val="2"/>
  </w:num>
  <w:num w:numId="26" w16cid:durableId="804157292">
    <w:abstractNumId w:val="2"/>
  </w:num>
  <w:num w:numId="27" w16cid:durableId="1286699480">
    <w:abstractNumId w:val="2"/>
  </w:num>
  <w:num w:numId="28" w16cid:durableId="1593584724">
    <w:abstractNumId w:val="2"/>
  </w:num>
  <w:num w:numId="29" w16cid:durableId="209134895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18433"/>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331EC"/>
    <w:rsid w:val="000D7B5E"/>
    <w:rsid w:val="00105ED2"/>
    <w:rsid w:val="001203F8"/>
    <w:rsid w:val="002F7504"/>
    <w:rsid w:val="0035094A"/>
    <w:rsid w:val="003874E2"/>
    <w:rsid w:val="00546DB1"/>
    <w:rsid w:val="005E71FB"/>
    <w:rsid w:val="00617E86"/>
    <w:rsid w:val="00624815"/>
    <w:rsid w:val="006F44C9"/>
    <w:rsid w:val="007716E4"/>
    <w:rsid w:val="007C07D8"/>
    <w:rsid w:val="007D0EC6"/>
    <w:rsid w:val="00803007"/>
    <w:rsid w:val="0089735C"/>
    <w:rsid w:val="008D52CF"/>
    <w:rsid w:val="009442BE"/>
    <w:rsid w:val="009F216F"/>
    <w:rsid w:val="00B40648"/>
    <w:rsid w:val="00EC5C6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yperlink" Target="https://europa.eu/europass/de" TargetMode="External"/><Relationship Id="rId23" Type="http://schemas.openxmlformats.org/officeDocument/2006/relationships/glossaryDocument" Target="glossary/document.xml"/><Relationship Id="rId10" Type="http://schemas.openxmlformats.org/officeDocument/2006/relationships/settings" Target="setting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DB168D" w:rsidP="00DB168D">
          <w:pPr>
            <w:pStyle w:val="9BF4E35295BA4808A107977098D3401D2"/>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DB168D" w:rsidP="00DB168D">
          <w:pPr>
            <w:pStyle w:val="67908C2613794ACB86549542C854C0CC2"/>
          </w:pPr>
          <w:r w:rsidRPr="009F216F">
            <w:rPr>
              <w:rStyle w:val="PlaceholderText"/>
              <w:bCs/>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DB168D" w:rsidP="00DB168D">
          <w:pPr>
            <w:pStyle w:val="5C55B5726F8E46C0ABC71DC35F2501E72"/>
          </w:pPr>
          <w:r w:rsidRPr="00546DB1">
            <w:rPr>
              <w:rStyle w:val="PlaceholderText"/>
            </w:rPr>
            <w:t>Click or tap here to enter text.</w:t>
          </w:r>
        </w:p>
      </w:docPartBody>
    </w:docPart>
    <w:docPart>
      <w:docPartPr>
        <w:name w:val="E48DD8E64A804E77BDE4E10C02F32911"/>
        <w:category>
          <w:name w:val="General"/>
          <w:gallery w:val="placeholder"/>
        </w:category>
        <w:types>
          <w:type w:val="bbPlcHdr"/>
        </w:types>
        <w:behaviors>
          <w:behavior w:val="content"/>
        </w:behaviors>
        <w:guid w:val="{E2AEEE16-67DD-4202-B4BE-A19D5C8579AA}"/>
      </w:docPartPr>
      <w:docPartBody>
        <w:p w:rsidR="008A7C76" w:rsidRDefault="00DB168D" w:rsidP="00DB168D">
          <w:pPr>
            <w:pStyle w:val="E48DD8E64A804E77BDE4E10C02F329112"/>
          </w:pPr>
          <w:r w:rsidRPr="00546DB1">
            <w:rPr>
              <w:rStyle w:val="PlaceholderText"/>
              <w:bCs/>
            </w:rPr>
            <w:t xml:space="preserve">     </w:t>
          </w:r>
        </w:p>
      </w:docPartBody>
    </w:docPart>
    <w:docPart>
      <w:docPartPr>
        <w:name w:val="36301D3606894A0690BD2883E1BF1126"/>
        <w:category>
          <w:name w:val="General"/>
          <w:gallery w:val="placeholder"/>
        </w:category>
        <w:types>
          <w:type w:val="bbPlcHdr"/>
        </w:types>
        <w:behaviors>
          <w:behavior w:val="content"/>
        </w:behaviors>
        <w:guid w:val="{5A3773C3-CAFD-4FB9-A36B-A5B2FA84BA2A}"/>
      </w:docPartPr>
      <w:docPartBody>
        <w:p w:rsidR="008A7C76" w:rsidRDefault="00DB168D" w:rsidP="00DB168D">
          <w:pPr>
            <w:pStyle w:val="36301D3606894A0690BD2883E1BF11262"/>
          </w:pPr>
          <w:r w:rsidRPr="00546DB1">
            <w:rPr>
              <w:rStyle w:val="PlaceholderText"/>
              <w:bCs/>
            </w:rPr>
            <w:t xml:space="preserve">    </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DB168D" w:rsidP="00DB168D">
          <w:pPr>
            <w:pStyle w:val="1087BB5618EE43E98A5732E797DCF4EE2"/>
          </w:pPr>
          <w:r w:rsidRPr="00546DB1">
            <w:rPr>
              <w:rStyle w:val="PlaceholderText"/>
              <w:bCs/>
              <w:lang w:val="en-IE"/>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DB168D" w:rsidP="00DB168D">
          <w:pPr>
            <w:pStyle w:val="FE6C9874556B47B1A65A432926DB0BCE2"/>
          </w:pPr>
          <w:r w:rsidRPr="00803007">
            <w:rPr>
              <w:rStyle w:val="PlaceholderText"/>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DB168D" w:rsidP="00DB168D">
          <w:pPr>
            <w:pStyle w:val="2D9A90DC0280475D996998F2F9FD95D52"/>
          </w:pPr>
          <w:r w:rsidRPr="00BD2312">
            <w:rPr>
              <w:rStyle w:val="PlaceholderText"/>
            </w:rPr>
            <w:t>Click or tap here to enter text.</w:t>
          </w:r>
        </w:p>
      </w:docPartBody>
    </w:docPart>
    <w:docPart>
      <w:docPartPr>
        <w:name w:val="0623C2C4607F4C2C8BD24DBE22928098"/>
        <w:category>
          <w:name w:val="General"/>
          <w:gallery w:val="placeholder"/>
        </w:category>
        <w:types>
          <w:type w:val="bbPlcHdr"/>
        </w:types>
        <w:behaviors>
          <w:behavior w:val="content"/>
        </w:behaviors>
        <w:guid w:val="{5C4E9134-609F-43DB-A770-4216F73802C5}"/>
      </w:docPartPr>
      <w:docPartBody>
        <w:p w:rsidR="008A7C76" w:rsidRDefault="00DB168D" w:rsidP="00DB168D">
          <w:pPr>
            <w:pStyle w:val="0623C2C4607F4C2C8BD24DBE229280982"/>
          </w:pPr>
          <w:r w:rsidRPr="009F216F">
            <w:rPr>
              <w:rStyle w:val="PlaceholderText"/>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414BF2" w:rsidRDefault="00DB168D" w:rsidP="00DB168D">
          <w:pPr>
            <w:pStyle w:val="44AECFE6B28A48F3A0A774E0802A2F271"/>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414BF2" w:rsidRDefault="00DB168D" w:rsidP="00DB168D">
          <w:pPr>
            <w:pStyle w:val="3BF321A2261548CCB9BF40ACF64F09A31"/>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414BF2" w:rsidRDefault="00DB168D">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414BF2" w:rsidRDefault="00DB168D" w:rsidP="00DB168D">
          <w:pPr>
            <w:pStyle w:val="6801C21AD23447B88917F1258506DBA11"/>
          </w:pPr>
          <w:r>
            <w:rPr>
              <w:b/>
            </w:rPr>
            <w:t xml:space="preserve">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47127F4"/>
    <w:multiLevelType w:val="multilevel"/>
    <w:tmpl w:val="076059C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772819866">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A4922"/>
    <w:rsid w:val="00414BF2"/>
    <w:rsid w:val="008A7C76"/>
    <w:rsid w:val="008D04E3"/>
    <w:rsid w:val="00DB168D"/>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DB168D"/>
    <w:rPr>
      <w:color w:val="288061"/>
    </w:rPr>
  </w:style>
  <w:style w:type="paragraph" w:customStyle="1" w:styleId="44AECFE6B28A48F3A0A774E0802A2F271">
    <w:name w:val="44AECFE6B28A48F3A0A774E0802A2F271"/>
    <w:rsid w:val="00DB168D"/>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1">
    <w:name w:val="3BF321A2261548CCB9BF40ACF64F09A31"/>
    <w:rsid w:val="00DB168D"/>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1">
    <w:name w:val="6801C21AD23447B88917F1258506DBA11"/>
    <w:rsid w:val="00DB168D"/>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2">
    <w:name w:val="1087BB5618EE43E98A5732E797DCF4EE2"/>
    <w:rsid w:val="00DB168D"/>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2">
    <w:name w:val="9BF4E35295BA4808A107977098D3401D2"/>
    <w:rsid w:val="00DB168D"/>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2">
    <w:name w:val="67908C2613794ACB86549542C854C0CC2"/>
    <w:rsid w:val="00DB168D"/>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2">
    <w:name w:val="5C55B5726F8E46C0ABC71DC35F2501E72"/>
    <w:rsid w:val="00DB168D"/>
    <w:pPr>
      <w:spacing w:after="240" w:line="240" w:lineRule="auto"/>
      <w:jc w:val="both"/>
    </w:pPr>
    <w:rPr>
      <w:rFonts w:ascii="Times New Roman" w:eastAsia="Times New Roman" w:hAnsi="Times New Roman" w:cs="Times New Roman"/>
      <w:sz w:val="24"/>
      <w:szCs w:val="20"/>
      <w:lang w:val="de-DE"/>
    </w:rPr>
  </w:style>
  <w:style w:type="paragraph" w:customStyle="1" w:styleId="E48DD8E64A804E77BDE4E10C02F329112">
    <w:name w:val="E48DD8E64A804E77BDE4E10C02F329112"/>
    <w:rsid w:val="00DB168D"/>
    <w:pPr>
      <w:spacing w:after="240" w:line="240" w:lineRule="auto"/>
      <w:jc w:val="both"/>
    </w:pPr>
    <w:rPr>
      <w:rFonts w:ascii="Times New Roman" w:eastAsia="Times New Roman" w:hAnsi="Times New Roman" w:cs="Times New Roman"/>
      <w:sz w:val="24"/>
      <w:szCs w:val="20"/>
      <w:lang w:val="de-DE"/>
    </w:rPr>
  </w:style>
  <w:style w:type="paragraph" w:customStyle="1" w:styleId="36301D3606894A0690BD2883E1BF11262">
    <w:name w:val="36301D3606894A0690BD2883E1BF11262"/>
    <w:rsid w:val="00DB168D"/>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2">
    <w:name w:val="FE6C9874556B47B1A65A432926DB0BCE2"/>
    <w:rsid w:val="00DB168D"/>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2">
    <w:name w:val="2D9A90DC0280475D996998F2F9FD95D52"/>
    <w:rsid w:val="00DB168D"/>
    <w:pPr>
      <w:spacing w:after="240" w:line="240" w:lineRule="auto"/>
      <w:jc w:val="both"/>
    </w:pPr>
    <w:rPr>
      <w:rFonts w:ascii="Times New Roman" w:eastAsia="Times New Roman" w:hAnsi="Times New Roman" w:cs="Times New Roman"/>
      <w:sz w:val="24"/>
      <w:szCs w:val="20"/>
      <w:lang w:val="de-DE"/>
    </w:rPr>
  </w:style>
  <w:style w:type="paragraph" w:customStyle="1" w:styleId="0623C2C4607F4C2C8BD24DBE229280982">
    <w:name w:val="0623C2C4607F4C2C8BD24DBE229280982"/>
    <w:rsid w:val="00DB168D"/>
    <w:pPr>
      <w:tabs>
        <w:tab w:val="num" w:pos="709"/>
      </w:tabs>
      <w:spacing w:after="240" w:line="240" w:lineRule="auto"/>
      <w:ind w:left="709" w:hanging="709"/>
      <w:jc w:val="both"/>
    </w:pPr>
    <w:rPr>
      <w:rFonts w:ascii="Times New Roman" w:eastAsia="Times New Roman" w:hAnsi="Times New Roman" w:cs="Times New Roman"/>
      <w:sz w:val="24"/>
      <w:szCs w:val="20"/>
      <w:lang w:val="de-D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EC_Common_Keyword xmlns="http://schemas.microsoft.com/sharepoint/v3/fields" xsi:nil="true"/>
    <EC_Common_Languages xmlns="http://schemas.microsoft.com/sharepoint/v3/fields">EN,FR,DE</EC_Common_Languages>
    <_DCDateModified xmlns="http://schemas.microsoft.com/sharepoint/v3/fields" xsi:nil="true"/>
    <EC_Portal_SM_DocumentGroupID xmlns="a41a97bf-0494-41d8-ba3d-259bd7771890" xsi:nil="true"/>
    <EC_Portal_SM_Description xmlns="1929b814-5a78-4bdc-9841-d8b9ef424f65" xsi:nil="true"/>
    <EC_Portal_SM_Audiences xmlns="1929b814-5a78-4bdc-9841-d8b9ef424f65">COM A EACEA A EACI A EAHC A ERCEA A HADEA A REA A TENEA A</EC_Portal_SM_Audiences>
    <EC_Portal_SM_IsProfessional xmlns="1929b814-5a78-4bdc-9841-d8b9ef424f65">false</EC_Portal_SM_IsProfessional>
    <EC_Portal_SM_Pages xmlns="a41a97bf-0494-41d8-ba3d-259bd7771890" xsi:nil="true"/>
  </documentManagement>
</p:properties>
</file>

<file path=customXml/item3.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4.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09f0bf5436caed1f18dcc16980a75e8f">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8687dc0e363bf095c80b192ad024d435"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7.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Props1.xml><?xml version="1.0" encoding="utf-8"?>
<ds:datastoreItem xmlns:ds="http://schemas.openxmlformats.org/officeDocument/2006/customXml" ds:itemID="{57720EE8-E11D-436E-9787-42565953EEC1}">
  <ds:schemaRefs>
    <ds:schemaRef ds:uri="http://schemas.microsoft.com/sharepoint/v3/contenttype/forms"/>
  </ds:schemaRefs>
</ds:datastoreItem>
</file>

<file path=customXml/itemProps2.xml><?xml version="1.0" encoding="utf-8"?>
<ds:datastoreItem xmlns:ds="http://schemas.openxmlformats.org/officeDocument/2006/customXml" ds:itemID="{B71C6387-72F1-41F5-8048-0AC230B2EE26}">
  <ds:schemaRefs>
    <ds:schemaRef ds:uri="http://www.w3.org/XML/1998/namespace"/>
    <ds:schemaRef ds:uri="1929b814-5a78-4bdc-9841-d8b9ef424f65"/>
    <ds:schemaRef ds:uri="http://purl.org/dc/elements/1.1/"/>
    <ds:schemaRef ds:uri="a41a97bf-0494-41d8-ba3d-259bd7771890"/>
    <ds:schemaRef ds:uri="http://schemas.microsoft.com/office/2006/documentManagement/types"/>
    <ds:schemaRef ds:uri="http://purl.org/dc/terms/"/>
    <ds:schemaRef ds:uri="http://schemas.microsoft.com/sharepoint/v3/fields"/>
    <ds:schemaRef ds:uri="http://schemas.microsoft.com/office/2006/metadata/properties"/>
    <ds:schemaRef ds:uri="http://schemas.microsoft.com/office/infopath/2007/PartnerControls"/>
    <ds:schemaRef ds:uri="http://schemas.openxmlformats.org/package/2006/metadata/core-properties"/>
    <ds:schemaRef ds:uri="08927195-b699-4be0-9ee2-6c66dc215b5a"/>
    <ds:schemaRef ds:uri="http://purl.org/dc/dcmitype/"/>
  </ds:schemaRefs>
</ds:datastoreItem>
</file>

<file path=customXml/itemProps3.xml><?xml version="1.0" encoding="utf-8"?>
<ds:datastoreItem xmlns:ds="http://schemas.openxmlformats.org/officeDocument/2006/customXml" ds:itemID="{1DB72EFA-9A9F-4F5B-AB9B-0434A59B82CF}">
  <ds:schemaRefs/>
</ds:datastoreItem>
</file>

<file path=customXml/itemProps4.xml><?xml version="1.0" encoding="utf-8"?>
<ds:datastoreItem xmlns:ds="http://schemas.openxmlformats.org/officeDocument/2006/customXml" ds:itemID="{36F5FA2F-663B-4D89-82CB-D73BFE942DF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F283C63B-0050-4B06-B787-B880BD92C8DE}">
  <ds:schemaRefs>
    <ds:schemaRef ds:uri="http://schemas.openxmlformats.org/officeDocument/2006/bibliography"/>
  </ds:schemaRefs>
</ds:datastoreItem>
</file>

<file path=customXml/itemProps6.xml><?xml version="1.0" encoding="utf-8"?>
<ds:datastoreItem xmlns:ds="http://schemas.openxmlformats.org/officeDocument/2006/customXml" ds:itemID="{4EF90DE6-88B6-4264-9629-4D8DFDFE87D2}">
  <ds:schemaRefs/>
</ds:datastoreItem>
</file>

<file path=customXml/itemProps7.xml><?xml version="1.0" encoding="utf-8"?>
<ds:datastoreItem xmlns:ds="http://schemas.openxmlformats.org/officeDocument/2006/customXml" ds:itemID="{D3EA5527-7367-4268-9D83-5125C98D0ED2}">
  <ds:schemaRefs/>
</ds:datastoreItem>
</file>

<file path=docProps/app.xml><?xml version="1.0" encoding="utf-8"?>
<Properties xmlns="http://schemas.openxmlformats.org/officeDocument/2006/extended-properties" xmlns:vt="http://schemas.openxmlformats.org/officeDocument/2006/docPropsVTypes">
  <Template>Eurolook</Template>
  <TotalTime>0</TotalTime>
  <Pages>6</Pages>
  <Words>1800</Words>
  <Characters>12765</Characters>
  <Application>Microsoft Office Word</Application>
  <DocSecurity>4</DocSecurity>
  <PresentationFormat>Microsoft Word 14.0</PresentationFormat>
  <Lines>265</Lines>
  <Paragraphs>112</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14453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PAPADOPOULOU Roza (HR)</cp:lastModifiedBy>
  <cp:revision>2</cp:revision>
  <dcterms:created xsi:type="dcterms:W3CDTF">2023-07-05T11:55:00Z</dcterms:created>
  <dcterms:modified xsi:type="dcterms:W3CDTF">2023-07-05T11:55:00Z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y fmtid="{D5CDD505-2E9C-101B-9397-08002B2CF9AE}" pid="9" name="ContentTypeId">
    <vt:lpwstr>0x010100B115F2CDA271DD4BBE79039B2B10322D005972CF4DFAC7AC44A3C80A3589CF2E1E</vt:lpwstr>
  </property>
  <property fmtid="{D5CDD505-2E9C-101B-9397-08002B2CF9AE}" pid="10" name="EC_Portal_SM_LocationTaxHTField0">
    <vt:lpwstr>Brussels|a2fd1745-7a8b-472f-87d8-c065744c40dd;Luxembourg|83ddf54f-ddb9-4640-a49c-ddc026ae519f;Other EU cities|d7af267d-1fe5-4f44-81e3-3d2959f76565;Non-EU cities|e2ed3b20-65ba-43c5-813e-9bd8e4201ac9</vt:lpwstr>
  </property>
  <property fmtid="{D5CDD505-2E9C-101B-9397-08002B2CF9AE}" pid="11" name="EC_Portal_SM_NavigationLanguageTaxHTField0">
    <vt:lpwstr>English|256b0f03-2527-4c41-b261-a16799168ae6;French|797213b8-07f2-436e-a021-30df8c8bbd6c</vt:lpwstr>
  </property>
  <property fmtid="{D5CDD505-2E9C-101B-9397-08002B2CF9AE}" pid="12" name="TaxCatchAll">
    <vt:lpwstr>4;#Non-EU cities|e2ed3b20-65ba-43c5-813e-9bd8e4201ac9;#6;#French|797213b8-07f2-436e-a021-30df8c8bbd6c;#5;#English|256b0f03-2527-4c41-b261-a16799168ae6;#55;#Seconded national experts|8541174c-e865-48c8-ad74-a224e0cea60d;#3;#Other EU cities|d7af267d-1fe5-4f44-81e3-3d2959f76565;#2;#Luxembourg|83ddf54f-ddb9-4640-a49c-ddc026ae519f;#1;#Brussels|a2fd1745-7a8b-472f-87d8-c065744c40dd</vt:lpwstr>
  </property>
  <property fmtid="{D5CDD505-2E9C-101B-9397-08002B2CF9AE}" pid="13" name="EC_Portal_SM_Location">
    <vt:lpwstr>1;#Brussels|a2fd1745-7a8b-472f-87d8-c065744c40dd;#2;#Luxembourg|83ddf54f-ddb9-4640-a49c-ddc026ae519f;#3;#Other EU cities|d7af267d-1fe5-4f44-81e3-3d2959f76565;#4;#Non-EU cities|e2ed3b20-65ba-43c5-813e-9bd8e4201ac9</vt:lpwstr>
  </property>
  <property fmtid="{D5CDD505-2E9C-101B-9397-08002B2CF9AE}" pid="14" name="EC_Portal_SM_DocumentType">
    <vt:lpwstr/>
  </property>
  <property fmtid="{D5CDD505-2E9C-101B-9397-08002B2CF9AE}" pid="15" name="EC_Portal_SM_NavigationLanguage">
    <vt:lpwstr>5;#English|256b0f03-2527-4c41-b261-a16799168ae6;#6;#French|797213b8-07f2-436e-a021-30df8c8bbd6c</vt:lpwstr>
  </property>
  <property fmtid="{D5CDD505-2E9C-101B-9397-08002B2CF9AE}" pid="16" name="EC_Portal_SM_Topics">
    <vt:lpwstr>55;#Seconded national experts|8541174c-e865-48c8-ad74-a224e0cea60d</vt:lpwstr>
  </property>
  <property fmtid="{D5CDD505-2E9C-101B-9397-08002B2CF9AE}" pid="17" name="EC_Portal_SM_TopicsTaxHTField0">
    <vt:lpwstr>Seconded national experts|8541174c-e865-48c8-ad74-a224e0cea60d</vt:lpwstr>
  </property>
  <property fmtid="{D5CDD505-2E9C-101B-9397-08002B2CF9AE}" pid="18" name="EC_Portal_SM_DocumentTypeTaxHTField0">
    <vt:lpwstr/>
  </property>
</Properties>
</file>