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CD4CF" w14:textId="77777777" w:rsidR="00DB7613" w:rsidRDefault="0080211C">
      <w:pPr>
        <w:pStyle w:val="BodyText"/>
        <w:ind w:left="116"/>
        <w:rPr>
          <w:sz w:val="20"/>
        </w:rPr>
      </w:pPr>
      <w:r>
        <w:rPr>
          <w:noProof/>
          <w:sz w:val="20"/>
        </w:rPr>
        <w:drawing>
          <wp:inline distT="0" distB="0" distL="0" distR="0" wp14:anchorId="4540DCB7" wp14:editId="64602E0C">
            <wp:extent cx="1386840" cy="68275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386840" cy="682751"/>
                    </a:xfrm>
                    <a:prstGeom prst="rect">
                      <a:avLst/>
                    </a:prstGeom>
                  </pic:spPr>
                </pic:pic>
              </a:graphicData>
            </a:graphic>
          </wp:inline>
        </w:drawing>
      </w:r>
    </w:p>
    <w:p w14:paraId="2BBCB4A9" w14:textId="77777777" w:rsidR="00DB7613" w:rsidRDefault="0080211C">
      <w:pPr>
        <w:spacing w:before="69"/>
        <w:ind w:left="3597" w:right="3911"/>
        <w:jc w:val="center"/>
        <w:rPr>
          <w:b/>
          <w:sz w:val="24"/>
        </w:rPr>
      </w:pPr>
      <w:r>
        <w:rPr>
          <w:b/>
          <w:spacing w:val="-2"/>
          <w:sz w:val="24"/>
        </w:rPr>
        <w:t>STELLENAUSSCHREIBUNG</w:t>
      </w:r>
    </w:p>
    <w:p w14:paraId="016B785D" w14:textId="77777777" w:rsidR="00DB7613" w:rsidRDefault="00DB7613">
      <w:pPr>
        <w:pStyle w:val="BodyText"/>
        <w:rPr>
          <w:b/>
          <w:sz w:val="24"/>
        </w:rPr>
      </w:pPr>
    </w:p>
    <w:p w14:paraId="12F52768" w14:textId="77777777" w:rsidR="00DB7613" w:rsidRDefault="0080211C">
      <w:pPr>
        <w:ind w:left="1762" w:right="1285" w:firstLine="1332"/>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14:paraId="61F58D48" w14:textId="77777777" w:rsidR="00DB7613" w:rsidRDefault="00DB7613">
      <w:pPr>
        <w:pStyle w:val="BodyText"/>
        <w:spacing w:before="1"/>
        <w:rPr>
          <w:b/>
          <w:sz w:val="24"/>
        </w:rPr>
      </w:pPr>
    </w:p>
    <w:tbl>
      <w:tblPr>
        <w:tblW w:w="0" w:type="auto"/>
        <w:tblInd w:w="5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8"/>
        <w:gridCol w:w="5596"/>
      </w:tblGrid>
      <w:tr w:rsidR="00DB7613" w14:paraId="5DB6A601" w14:textId="77777777">
        <w:trPr>
          <w:trHeight w:val="611"/>
        </w:trPr>
        <w:tc>
          <w:tcPr>
            <w:tcW w:w="4358" w:type="dxa"/>
          </w:tcPr>
          <w:p w14:paraId="2439F9F5" w14:textId="77777777" w:rsidR="00DB7613" w:rsidRDefault="0080211C">
            <w:pPr>
              <w:pStyle w:val="TableParagraph"/>
              <w:spacing w:before="1" w:line="274" w:lineRule="exact"/>
              <w:rPr>
                <w:b/>
                <w:sz w:val="24"/>
              </w:rPr>
            </w:pPr>
            <w:r>
              <w:rPr>
                <w:b/>
                <w:sz w:val="24"/>
              </w:rPr>
              <w:t>Identifizierung</w:t>
            </w:r>
            <w:r>
              <w:rPr>
                <w:b/>
                <w:spacing w:val="-2"/>
                <w:sz w:val="24"/>
              </w:rPr>
              <w:t xml:space="preserve"> </w:t>
            </w:r>
            <w:r>
              <w:rPr>
                <w:b/>
                <w:sz w:val="24"/>
              </w:rPr>
              <w:t>der</w:t>
            </w:r>
            <w:r>
              <w:rPr>
                <w:b/>
                <w:spacing w:val="-2"/>
                <w:sz w:val="24"/>
              </w:rPr>
              <w:t xml:space="preserve"> Stelle:</w:t>
            </w:r>
          </w:p>
          <w:p w14:paraId="5F36F249" w14:textId="77777777" w:rsidR="00DB7613" w:rsidRDefault="0080211C">
            <w:pPr>
              <w:pStyle w:val="TableParagraph"/>
              <w:spacing w:line="274" w:lineRule="exact"/>
              <w:rPr>
                <w:sz w:val="24"/>
              </w:rPr>
            </w:pPr>
            <w:r>
              <w:rPr>
                <w:spacing w:val="-2"/>
                <w:sz w:val="24"/>
              </w:rPr>
              <w:t>(GD-DIR-</w:t>
            </w:r>
            <w:r>
              <w:rPr>
                <w:spacing w:val="-4"/>
                <w:sz w:val="24"/>
              </w:rPr>
              <w:t>REF)</w:t>
            </w:r>
          </w:p>
        </w:tc>
        <w:tc>
          <w:tcPr>
            <w:tcW w:w="5596" w:type="dxa"/>
          </w:tcPr>
          <w:p w14:paraId="59F9C2E5" w14:textId="77777777" w:rsidR="00DB7613" w:rsidRDefault="0080211C">
            <w:pPr>
              <w:pStyle w:val="TableParagraph"/>
              <w:spacing w:before="167"/>
              <w:rPr>
                <w:b/>
                <w:sz w:val="24"/>
              </w:rPr>
            </w:pPr>
            <w:r>
              <w:rPr>
                <w:b/>
                <w:spacing w:val="-2"/>
                <w:sz w:val="24"/>
              </w:rPr>
              <w:t>RTD-A-</w:t>
            </w:r>
            <w:r>
              <w:rPr>
                <w:b/>
                <w:spacing w:val="-10"/>
                <w:sz w:val="24"/>
              </w:rPr>
              <w:t>4</w:t>
            </w:r>
          </w:p>
        </w:tc>
      </w:tr>
      <w:tr w:rsidR="00DB7613" w14:paraId="3DA5F3E4" w14:textId="77777777">
        <w:trPr>
          <w:trHeight w:val="2301"/>
        </w:trPr>
        <w:tc>
          <w:tcPr>
            <w:tcW w:w="4358" w:type="dxa"/>
            <w:vMerge w:val="restart"/>
          </w:tcPr>
          <w:p w14:paraId="430B53E6" w14:textId="77777777" w:rsidR="00DB7613" w:rsidRDefault="0080211C">
            <w:pPr>
              <w:pStyle w:val="TableParagraph"/>
              <w:spacing w:line="251" w:lineRule="exact"/>
              <w:rPr>
                <w:b/>
              </w:rPr>
            </w:pPr>
            <w:r>
              <w:rPr>
                <w:b/>
                <w:spacing w:val="-2"/>
              </w:rPr>
              <w:t>Referatsleiter:</w:t>
            </w:r>
          </w:p>
          <w:p w14:paraId="249E68BC" w14:textId="77777777" w:rsidR="00DB7613" w:rsidRDefault="0080211C">
            <w:pPr>
              <w:pStyle w:val="TableParagraph"/>
              <w:spacing w:before="1" w:line="252" w:lineRule="exact"/>
              <w:rPr>
                <w:b/>
              </w:rPr>
            </w:pPr>
            <w:r>
              <w:rPr>
                <w:b/>
                <w:spacing w:val="-2"/>
              </w:rPr>
              <w:t>E-Mail-Adresse:</w:t>
            </w:r>
          </w:p>
          <w:p w14:paraId="6C24C764" w14:textId="77777777" w:rsidR="00DB7613" w:rsidRDefault="0080211C">
            <w:pPr>
              <w:pStyle w:val="TableParagraph"/>
              <w:spacing w:line="252" w:lineRule="exact"/>
              <w:rPr>
                <w:b/>
              </w:rPr>
            </w:pPr>
            <w:r>
              <w:rPr>
                <w:b/>
                <w:spacing w:val="-2"/>
              </w:rPr>
              <w:t>Telefon:</w:t>
            </w:r>
          </w:p>
          <w:p w14:paraId="5A023206" w14:textId="77777777" w:rsidR="00DB7613" w:rsidRDefault="0080211C">
            <w:pPr>
              <w:pStyle w:val="TableParagraph"/>
              <w:spacing w:before="2"/>
              <w:ind w:right="529"/>
              <w:rPr>
                <w:b/>
              </w:rPr>
            </w:pPr>
            <w:r>
              <w:rPr>
                <w:b/>
              </w:rPr>
              <w:t>Anzahl</w:t>
            </w:r>
            <w:r>
              <w:rPr>
                <w:b/>
                <w:spacing w:val="-8"/>
              </w:rPr>
              <w:t xml:space="preserve"> </w:t>
            </w:r>
            <w:r>
              <w:rPr>
                <w:b/>
              </w:rPr>
              <w:t>der</w:t>
            </w:r>
            <w:r>
              <w:rPr>
                <w:b/>
                <w:spacing w:val="-9"/>
              </w:rPr>
              <w:t xml:space="preserve"> </w:t>
            </w:r>
            <w:r>
              <w:rPr>
                <w:b/>
              </w:rPr>
              <w:t>zu</w:t>
            </w:r>
            <w:r>
              <w:rPr>
                <w:b/>
                <w:spacing w:val="-9"/>
              </w:rPr>
              <w:t xml:space="preserve"> </w:t>
            </w:r>
            <w:r>
              <w:rPr>
                <w:b/>
              </w:rPr>
              <w:t>besetzenden</w:t>
            </w:r>
            <w:r>
              <w:rPr>
                <w:b/>
                <w:spacing w:val="-11"/>
              </w:rPr>
              <w:t xml:space="preserve"> </w:t>
            </w:r>
            <w:r>
              <w:rPr>
                <w:b/>
              </w:rPr>
              <w:t>Stellen: Gewünschter Dienstantritt: Gewünschte Dauer der</w:t>
            </w:r>
          </w:p>
          <w:p w14:paraId="21460332" w14:textId="77777777" w:rsidR="00DB7613" w:rsidRDefault="0080211C">
            <w:pPr>
              <w:pStyle w:val="TableParagraph"/>
              <w:ind w:right="2855"/>
              <w:rPr>
                <w:b/>
              </w:rPr>
            </w:pPr>
            <w:r>
              <w:rPr>
                <w:b/>
              </w:rPr>
              <w:t>1.</w:t>
            </w:r>
            <w:r>
              <w:rPr>
                <w:b/>
                <w:spacing w:val="-14"/>
              </w:rPr>
              <w:t xml:space="preserve"> </w:t>
            </w:r>
            <w:r>
              <w:rPr>
                <w:b/>
              </w:rPr>
              <w:t xml:space="preserve">Abordnung: </w:t>
            </w:r>
            <w:r>
              <w:rPr>
                <w:b/>
                <w:spacing w:val="-2"/>
              </w:rPr>
              <w:t>Dienstort:</w:t>
            </w:r>
          </w:p>
        </w:tc>
        <w:tc>
          <w:tcPr>
            <w:tcW w:w="5596" w:type="dxa"/>
          </w:tcPr>
          <w:p w14:paraId="15F5680A" w14:textId="77777777" w:rsidR="00DB7613" w:rsidRDefault="0080211C">
            <w:pPr>
              <w:pStyle w:val="TableParagraph"/>
              <w:ind w:right="931"/>
              <w:rPr>
                <w:b/>
              </w:rPr>
            </w:pPr>
            <w:r>
              <w:rPr>
                <w:b/>
              </w:rPr>
              <w:t xml:space="preserve">Michael Arentoft </w:t>
            </w:r>
            <w:hyperlink r:id="rId8">
              <w:r>
                <w:rPr>
                  <w:b/>
                  <w:color w:val="0000FF"/>
                  <w:spacing w:val="-2"/>
                  <w:u w:val="single" w:color="0000FF"/>
                </w:rPr>
                <w:t>Michael.Arentoft@ec.europa.eu</w:t>
              </w:r>
            </w:hyperlink>
          </w:p>
          <w:p w14:paraId="02A4F711" w14:textId="77777777" w:rsidR="00DB7613" w:rsidRDefault="0080211C">
            <w:pPr>
              <w:pStyle w:val="TableParagraph"/>
              <w:rPr>
                <w:b/>
              </w:rPr>
            </w:pPr>
            <w:r>
              <w:rPr>
                <w:b/>
              </w:rPr>
              <w:t xml:space="preserve">+32 2 </w:t>
            </w:r>
            <w:r>
              <w:rPr>
                <w:b/>
                <w:spacing w:val="-2"/>
              </w:rPr>
              <w:t>2963886</w:t>
            </w:r>
          </w:p>
          <w:p w14:paraId="0DA6F9D5" w14:textId="77777777" w:rsidR="00DB7613" w:rsidRDefault="0080211C">
            <w:pPr>
              <w:pStyle w:val="TableParagraph"/>
              <w:spacing w:line="252" w:lineRule="exact"/>
              <w:ind w:left="139"/>
              <w:rPr>
                <w:b/>
              </w:rPr>
            </w:pPr>
            <w:r>
              <w:rPr>
                <w:b/>
              </w:rPr>
              <w:t>1</w:t>
            </w:r>
          </w:p>
          <w:p w14:paraId="59CB0BC3" w14:textId="77777777" w:rsidR="00DB7613" w:rsidRDefault="0080211C">
            <w:pPr>
              <w:pStyle w:val="TableParagraph"/>
              <w:spacing w:line="252" w:lineRule="exact"/>
              <w:rPr>
                <w:b/>
              </w:rPr>
            </w:pPr>
            <w:r>
              <w:rPr>
                <w:b/>
              </w:rPr>
              <w:t>1.</w:t>
            </w:r>
            <w:r>
              <w:rPr>
                <w:b/>
                <w:spacing w:val="-3"/>
              </w:rPr>
              <w:t xml:space="preserve"> </w:t>
            </w:r>
            <w:r>
              <w:rPr>
                <w:b/>
              </w:rPr>
              <w:t xml:space="preserve">Quartal </w:t>
            </w:r>
            <w:r>
              <w:rPr>
                <w:b/>
                <w:spacing w:val="-4"/>
              </w:rPr>
              <w:t>2023</w:t>
            </w:r>
            <w:r>
              <w:rPr>
                <w:b/>
                <w:spacing w:val="-4"/>
                <w:vertAlign w:val="superscript"/>
              </w:rPr>
              <w:t>1</w:t>
            </w:r>
          </w:p>
          <w:p w14:paraId="5D8F2F33" w14:textId="77777777" w:rsidR="00DB7613" w:rsidRDefault="0080211C">
            <w:pPr>
              <w:pStyle w:val="TableParagraph"/>
              <w:spacing w:line="252" w:lineRule="exact"/>
              <w:rPr>
                <w:b/>
              </w:rPr>
            </w:pPr>
            <w:r>
              <w:rPr>
                <w:b/>
              </w:rPr>
              <w:t xml:space="preserve">2 </w:t>
            </w:r>
            <w:r>
              <w:rPr>
                <w:b/>
                <w:spacing w:val="-2"/>
              </w:rPr>
              <w:t>Jahre</w:t>
            </w:r>
            <w:r>
              <w:rPr>
                <w:b/>
                <w:spacing w:val="-2"/>
                <w:vertAlign w:val="superscript"/>
              </w:rPr>
              <w:t>1</w:t>
            </w:r>
          </w:p>
          <w:p w14:paraId="59129EED" w14:textId="77777777" w:rsidR="00DB7613" w:rsidRDefault="00DB7613">
            <w:pPr>
              <w:pStyle w:val="TableParagraph"/>
              <w:ind w:left="0"/>
              <w:rPr>
                <w:b/>
              </w:rPr>
            </w:pPr>
          </w:p>
          <w:p w14:paraId="3A67DD6A" w14:textId="77777777" w:rsidR="00DB7613" w:rsidRDefault="0080211C">
            <w:pPr>
              <w:pStyle w:val="TableParagraph"/>
              <w:tabs>
                <w:tab w:val="left" w:pos="1521"/>
              </w:tabs>
              <w:rPr>
                <w:b/>
              </w:rPr>
            </w:pPr>
            <w:r>
              <w:rPr>
                <w:rFonts w:ascii="Wingdings 2" w:hAnsi="Wingdings 2"/>
              </w:rPr>
              <w:t></w:t>
            </w:r>
            <w:r>
              <w:rPr>
                <w:spacing w:val="27"/>
              </w:rPr>
              <w:t xml:space="preserve">  </w:t>
            </w:r>
            <w:r>
              <w:rPr>
                <w:b/>
                <w:spacing w:val="-2"/>
              </w:rPr>
              <w:t>Brüssel</w:t>
            </w:r>
            <w:r>
              <w:rPr>
                <w:b/>
              </w:rPr>
              <w:tab/>
            </w:r>
            <w:r>
              <w:rPr>
                <w:rFonts w:ascii="Wingdings 2" w:hAnsi="Wingdings 2"/>
              </w:rPr>
              <w:t></w:t>
            </w:r>
            <w:r>
              <w:rPr>
                <w:spacing w:val="26"/>
              </w:rPr>
              <w:t xml:space="preserve">  </w:t>
            </w:r>
            <w:r>
              <w:rPr>
                <w:b/>
              </w:rPr>
              <w:t>Luxemburg</w:t>
            </w:r>
            <w:r>
              <w:rPr>
                <w:b/>
                <w:spacing w:val="78"/>
                <w:w w:val="150"/>
              </w:rPr>
              <w:t xml:space="preserve"> </w:t>
            </w:r>
            <w:r>
              <w:rPr>
                <w:rFonts w:ascii="Wingdings 2" w:hAnsi="Wingdings 2"/>
              </w:rPr>
              <w:t></w:t>
            </w:r>
            <w:r>
              <w:rPr>
                <w:spacing w:val="-1"/>
              </w:rPr>
              <w:t xml:space="preserve"> </w:t>
            </w:r>
            <w:r>
              <w:rPr>
                <w:b/>
                <w:spacing w:val="-2"/>
              </w:rPr>
              <w:t>Anderer:</w:t>
            </w:r>
          </w:p>
        </w:tc>
      </w:tr>
      <w:tr w:rsidR="00DB7613" w14:paraId="527EDF18" w14:textId="77777777">
        <w:trPr>
          <w:trHeight w:val="544"/>
        </w:trPr>
        <w:tc>
          <w:tcPr>
            <w:tcW w:w="4358" w:type="dxa"/>
            <w:vMerge/>
            <w:tcBorders>
              <w:top w:val="nil"/>
            </w:tcBorders>
          </w:tcPr>
          <w:p w14:paraId="228A3724" w14:textId="77777777" w:rsidR="00DB7613" w:rsidRDefault="00DB7613">
            <w:pPr>
              <w:rPr>
                <w:sz w:val="2"/>
                <w:szCs w:val="2"/>
              </w:rPr>
            </w:pPr>
          </w:p>
        </w:tc>
        <w:tc>
          <w:tcPr>
            <w:tcW w:w="5596" w:type="dxa"/>
          </w:tcPr>
          <w:p w14:paraId="2B72143B" w14:textId="77777777" w:rsidR="00DB7613" w:rsidRDefault="0080211C">
            <w:pPr>
              <w:pStyle w:val="TableParagraph"/>
              <w:spacing w:before="145"/>
              <w:rPr>
                <w:b/>
              </w:rPr>
            </w:pPr>
            <w:r>
              <w:rPr>
                <w:rFonts w:ascii="Wingdings 2" w:hAnsi="Wingdings 2"/>
              </w:rPr>
              <w:t></w:t>
            </w:r>
            <w:r>
              <w:rPr>
                <w:spacing w:val="52"/>
              </w:rPr>
              <w:t xml:space="preserve"> </w:t>
            </w:r>
            <w:r>
              <w:rPr>
                <w:b/>
              </w:rPr>
              <w:t>Mit</w:t>
            </w:r>
            <w:r>
              <w:rPr>
                <w:b/>
                <w:spacing w:val="-1"/>
              </w:rPr>
              <w:t xml:space="preserve"> </w:t>
            </w:r>
            <w:r>
              <w:rPr>
                <w:b/>
              </w:rPr>
              <w:t>Vergütungen</w:t>
            </w:r>
            <w:r>
              <w:rPr>
                <w:b/>
                <w:spacing w:val="78"/>
                <w:w w:val="150"/>
              </w:rPr>
              <w:t xml:space="preserve"> </w:t>
            </w:r>
            <w:r>
              <w:rPr>
                <w:rFonts w:ascii="Wingdings 2" w:hAnsi="Wingdings 2"/>
              </w:rPr>
              <w:t></w:t>
            </w:r>
            <w:r>
              <w:rPr>
                <w:spacing w:val="50"/>
              </w:rPr>
              <w:t xml:space="preserve"> </w:t>
            </w:r>
            <w:r>
              <w:rPr>
                <w:b/>
              </w:rPr>
              <w:t>Unentgeltlich</w:t>
            </w:r>
            <w:r>
              <w:rPr>
                <w:b/>
                <w:spacing w:val="-5"/>
              </w:rPr>
              <w:t xml:space="preserve"> </w:t>
            </w:r>
            <w:r>
              <w:rPr>
                <w:b/>
                <w:spacing w:val="-2"/>
              </w:rPr>
              <w:t>Abgeordnet</w:t>
            </w:r>
          </w:p>
        </w:tc>
      </w:tr>
      <w:tr w:rsidR="00DB7613" w14:paraId="02C2614B" w14:textId="77777777">
        <w:trPr>
          <w:trHeight w:val="2111"/>
        </w:trPr>
        <w:tc>
          <w:tcPr>
            <w:tcW w:w="9954" w:type="dxa"/>
            <w:gridSpan w:val="2"/>
          </w:tcPr>
          <w:p w14:paraId="68417661" w14:textId="77777777" w:rsidR="00DB7613" w:rsidRDefault="0080211C">
            <w:pPr>
              <w:pStyle w:val="TableParagraph"/>
              <w:spacing w:before="169"/>
              <w:rPr>
                <w:b/>
              </w:rPr>
            </w:pPr>
            <w:r>
              <w:rPr>
                <w:b/>
              </w:rPr>
              <w:t>Auf</w:t>
            </w:r>
            <w:r>
              <w:rPr>
                <w:b/>
                <w:spacing w:val="-2"/>
              </w:rPr>
              <w:t xml:space="preserve"> </w:t>
            </w:r>
            <w:r>
              <w:rPr>
                <w:b/>
              </w:rPr>
              <w:t>diese</w:t>
            </w:r>
            <w:r>
              <w:rPr>
                <w:b/>
                <w:spacing w:val="-4"/>
              </w:rPr>
              <w:t xml:space="preserve"> </w:t>
            </w:r>
            <w:r>
              <w:rPr>
                <w:b/>
              </w:rPr>
              <w:t>Stellenausschreibung</w:t>
            </w:r>
            <w:r>
              <w:rPr>
                <w:b/>
                <w:spacing w:val="-4"/>
              </w:rPr>
              <w:t xml:space="preserve"> </w:t>
            </w:r>
            <w:r>
              <w:rPr>
                <w:b/>
              </w:rPr>
              <w:t>können</w:t>
            </w:r>
            <w:r>
              <w:rPr>
                <w:b/>
                <w:spacing w:val="-6"/>
              </w:rPr>
              <w:t xml:space="preserve"> </w:t>
            </w:r>
            <w:r>
              <w:rPr>
                <w:b/>
              </w:rPr>
              <w:t>sich</w:t>
            </w:r>
            <w:r>
              <w:rPr>
                <w:b/>
                <w:spacing w:val="-5"/>
              </w:rPr>
              <w:t xml:space="preserve"> </w:t>
            </w:r>
            <w:r>
              <w:rPr>
                <w:b/>
                <w:spacing w:val="-4"/>
              </w:rPr>
              <w:t>auch</w:t>
            </w:r>
          </w:p>
          <w:p w14:paraId="32675F33" w14:textId="77777777" w:rsidR="00DB7613" w:rsidRDefault="00DB7613">
            <w:pPr>
              <w:pStyle w:val="TableParagraph"/>
              <w:ind w:left="0"/>
              <w:rPr>
                <w:b/>
              </w:rPr>
            </w:pPr>
          </w:p>
          <w:p w14:paraId="42BBF9F3" w14:textId="77777777" w:rsidR="00DB7613" w:rsidRDefault="0080211C">
            <w:pPr>
              <w:pStyle w:val="TableParagraph"/>
              <w:tabs>
                <w:tab w:val="left" w:pos="523"/>
              </w:tabs>
              <w:spacing w:line="252" w:lineRule="exact"/>
              <w:rPr>
                <w:b/>
              </w:rPr>
            </w:pPr>
            <w:r>
              <w:rPr>
                <w:rFonts w:ascii="Wingdings 2" w:hAnsi="Wingdings 2"/>
                <w:spacing w:val="-10"/>
              </w:rPr>
              <w:t></w:t>
            </w:r>
            <w:r>
              <w:tab/>
            </w:r>
            <w:r>
              <w:rPr>
                <w:b/>
              </w:rPr>
              <w:t>Bedienstete</w:t>
            </w:r>
            <w:r>
              <w:rPr>
                <w:b/>
                <w:spacing w:val="-6"/>
              </w:rPr>
              <w:t xml:space="preserve"> </w:t>
            </w:r>
            <w:r>
              <w:rPr>
                <w:b/>
              </w:rPr>
              <w:t>der</w:t>
            </w:r>
            <w:r>
              <w:rPr>
                <w:b/>
                <w:spacing w:val="-6"/>
              </w:rPr>
              <w:t xml:space="preserve"> </w:t>
            </w:r>
            <w:r>
              <w:rPr>
                <w:b/>
              </w:rPr>
              <w:t>folgenden</w:t>
            </w:r>
            <w:r>
              <w:rPr>
                <w:b/>
                <w:spacing w:val="-6"/>
              </w:rPr>
              <w:t xml:space="preserve"> </w:t>
            </w:r>
            <w:r>
              <w:rPr>
                <w:b/>
              </w:rPr>
              <w:t>EFTA-Staaten</w:t>
            </w:r>
            <w:r>
              <w:rPr>
                <w:b/>
                <w:spacing w:val="-5"/>
              </w:rPr>
              <w:t xml:space="preserve"> </w:t>
            </w:r>
            <w:r>
              <w:rPr>
                <w:b/>
                <w:spacing w:val="-2"/>
              </w:rPr>
              <w:t>bewerben:</w:t>
            </w:r>
          </w:p>
          <w:p w14:paraId="4070B1A0" w14:textId="77777777" w:rsidR="00DB7613" w:rsidRDefault="0080211C">
            <w:pPr>
              <w:pStyle w:val="TableParagraph"/>
              <w:numPr>
                <w:ilvl w:val="0"/>
                <w:numId w:val="5"/>
              </w:numPr>
              <w:tabs>
                <w:tab w:val="left" w:pos="816"/>
              </w:tabs>
              <w:spacing w:line="252" w:lineRule="exact"/>
              <w:ind w:hanging="253"/>
              <w:rPr>
                <w:b/>
              </w:rPr>
            </w:pPr>
            <w:r>
              <w:rPr>
                <w:b/>
              </w:rPr>
              <w:t>Island</w:t>
            </w:r>
            <w:r>
              <w:rPr>
                <w:b/>
                <w:spacing w:val="-6"/>
              </w:rPr>
              <w:t xml:space="preserve"> </w:t>
            </w:r>
            <w:r>
              <w:rPr>
                <w:rFonts w:ascii="Wingdings 2" w:hAnsi="Wingdings 2"/>
              </w:rPr>
              <w:t></w:t>
            </w:r>
            <w:r>
              <w:rPr>
                <w:spacing w:val="-3"/>
              </w:rPr>
              <w:t xml:space="preserve"> </w:t>
            </w:r>
            <w:r>
              <w:rPr>
                <w:b/>
              </w:rPr>
              <w:t>Liechtenstein</w:t>
            </w:r>
            <w:r>
              <w:rPr>
                <w:b/>
                <w:spacing w:val="-6"/>
              </w:rPr>
              <w:t xml:space="preserve"> </w:t>
            </w:r>
            <w:r>
              <w:rPr>
                <w:rFonts w:ascii="Wingdings 2" w:hAnsi="Wingdings 2"/>
              </w:rPr>
              <w:t></w:t>
            </w:r>
            <w:r>
              <w:rPr>
                <w:spacing w:val="-1"/>
              </w:rPr>
              <w:t xml:space="preserve"> </w:t>
            </w:r>
            <w:r>
              <w:rPr>
                <w:b/>
              </w:rPr>
              <w:t>Norwegen</w:t>
            </w:r>
            <w:r>
              <w:rPr>
                <w:b/>
                <w:spacing w:val="-5"/>
              </w:rPr>
              <w:t xml:space="preserve"> </w:t>
            </w:r>
            <w:r>
              <w:rPr>
                <w:rFonts w:ascii="Wingdings 2" w:hAnsi="Wingdings 2"/>
              </w:rPr>
              <w:t></w:t>
            </w:r>
            <w:r>
              <w:rPr>
                <w:spacing w:val="-3"/>
              </w:rPr>
              <w:t xml:space="preserve"> </w:t>
            </w:r>
            <w:r>
              <w:rPr>
                <w:b/>
              </w:rPr>
              <w:t>die</w:t>
            </w:r>
            <w:r>
              <w:rPr>
                <w:b/>
                <w:spacing w:val="-2"/>
              </w:rPr>
              <w:t xml:space="preserve"> Schweiz</w:t>
            </w:r>
          </w:p>
          <w:p w14:paraId="3E5B1281" w14:textId="77777777" w:rsidR="00DB7613" w:rsidRDefault="0080211C">
            <w:pPr>
              <w:pStyle w:val="TableParagraph"/>
              <w:numPr>
                <w:ilvl w:val="0"/>
                <w:numId w:val="5"/>
              </w:numPr>
              <w:tabs>
                <w:tab w:val="left" w:pos="816"/>
              </w:tabs>
              <w:spacing w:before="1" w:line="252" w:lineRule="exact"/>
              <w:ind w:hanging="253"/>
              <w:rPr>
                <w:b/>
              </w:rPr>
            </w:pPr>
            <w:r>
              <w:rPr>
                <w:b/>
              </w:rPr>
              <w:t>EFTA-EEA</w:t>
            </w:r>
            <w:r>
              <w:rPr>
                <w:b/>
                <w:spacing w:val="-6"/>
              </w:rPr>
              <w:t xml:space="preserve"> </w:t>
            </w:r>
            <w:r>
              <w:rPr>
                <w:b/>
              </w:rPr>
              <w:t>in</w:t>
            </w:r>
            <w:r>
              <w:rPr>
                <w:b/>
                <w:spacing w:val="-6"/>
              </w:rPr>
              <w:t xml:space="preserve"> </w:t>
            </w:r>
            <w:r>
              <w:rPr>
                <w:b/>
              </w:rPr>
              <w:t>Kind</w:t>
            </w:r>
            <w:r>
              <w:rPr>
                <w:b/>
                <w:spacing w:val="-4"/>
              </w:rPr>
              <w:t xml:space="preserve"> </w:t>
            </w:r>
            <w:r>
              <w:rPr>
                <w:b/>
              </w:rPr>
              <w:t>Abkommen</w:t>
            </w:r>
            <w:r>
              <w:rPr>
                <w:b/>
                <w:spacing w:val="-6"/>
              </w:rPr>
              <w:t xml:space="preserve"> </w:t>
            </w:r>
            <w:r>
              <w:rPr>
                <w:b/>
              </w:rPr>
              <w:t>(Island,</w:t>
            </w:r>
            <w:r>
              <w:rPr>
                <w:b/>
                <w:spacing w:val="-3"/>
              </w:rPr>
              <w:t xml:space="preserve"> </w:t>
            </w:r>
            <w:r>
              <w:rPr>
                <w:b/>
              </w:rPr>
              <w:t>Liechtenstein,</w:t>
            </w:r>
            <w:r>
              <w:rPr>
                <w:b/>
                <w:spacing w:val="-2"/>
              </w:rPr>
              <w:t xml:space="preserve"> Norwegen)</w:t>
            </w:r>
          </w:p>
          <w:p w14:paraId="46E1AE5D" w14:textId="77777777" w:rsidR="00DB7613" w:rsidRDefault="0080211C">
            <w:pPr>
              <w:pStyle w:val="TableParagraph"/>
              <w:numPr>
                <w:ilvl w:val="0"/>
                <w:numId w:val="4"/>
              </w:numPr>
              <w:tabs>
                <w:tab w:val="left" w:pos="522"/>
                <w:tab w:val="left" w:pos="523"/>
              </w:tabs>
              <w:spacing w:line="252" w:lineRule="exact"/>
              <w:rPr>
                <w:b/>
              </w:rPr>
            </w:pPr>
            <w:r>
              <w:rPr>
                <w:b/>
              </w:rPr>
              <w:t>Bedienstete</w:t>
            </w:r>
            <w:r>
              <w:rPr>
                <w:b/>
                <w:spacing w:val="-4"/>
              </w:rPr>
              <w:t xml:space="preserve"> </w:t>
            </w:r>
            <w:r>
              <w:rPr>
                <w:b/>
              </w:rPr>
              <w:t>der</w:t>
            </w:r>
            <w:r>
              <w:rPr>
                <w:b/>
                <w:spacing w:val="-7"/>
              </w:rPr>
              <w:t xml:space="preserve"> </w:t>
            </w:r>
            <w:r>
              <w:rPr>
                <w:b/>
              </w:rPr>
              <w:t>folgenden</w:t>
            </w:r>
            <w:r>
              <w:rPr>
                <w:b/>
                <w:spacing w:val="-7"/>
              </w:rPr>
              <w:t xml:space="preserve"> </w:t>
            </w:r>
            <w:r>
              <w:rPr>
                <w:b/>
              </w:rPr>
              <w:t>Drittländer</w:t>
            </w:r>
            <w:r>
              <w:rPr>
                <w:b/>
                <w:spacing w:val="-4"/>
              </w:rPr>
              <w:t xml:space="preserve"> </w:t>
            </w:r>
            <w:r>
              <w:rPr>
                <w:b/>
                <w:spacing w:val="-2"/>
              </w:rPr>
              <w:t>bewerben:</w:t>
            </w:r>
          </w:p>
          <w:p w14:paraId="5AEAF4E8" w14:textId="77777777" w:rsidR="00DB7613" w:rsidRDefault="0080211C">
            <w:pPr>
              <w:pStyle w:val="TableParagraph"/>
              <w:numPr>
                <w:ilvl w:val="0"/>
                <w:numId w:val="4"/>
              </w:numPr>
              <w:tabs>
                <w:tab w:val="left" w:pos="522"/>
                <w:tab w:val="left" w:pos="523"/>
              </w:tabs>
              <w:spacing w:before="2"/>
              <w:rPr>
                <w:b/>
              </w:rPr>
            </w:pPr>
            <w:r>
              <w:rPr>
                <w:b/>
              </w:rPr>
              <w:t>Bedienstete</w:t>
            </w:r>
            <w:r>
              <w:rPr>
                <w:b/>
                <w:spacing w:val="-11"/>
              </w:rPr>
              <w:t xml:space="preserve"> </w:t>
            </w:r>
            <w:r>
              <w:rPr>
                <w:b/>
              </w:rPr>
              <w:t>folgender</w:t>
            </w:r>
            <w:r>
              <w:rPr>
                <w:b/>
                <w:spacing w:val="-10"/>
              </w:rPr>
              <w:t xml:space="preserve"> </w:t>
            </w:r>
            <w:r>
              <w:rPr>
                <w:b/>
              </w:rPr>
              <w:t>zwischenstaatlicher</w:t>
            </w:r>
            <w:r>
              <w:rPr>
                <w:b/>
                <w:spacing w:val="-9"/>
              </w:rPr>
              <w:t xml:space="preserve"> </w:t>
            </w:r>
            <w:r>
              <w:rPr>
                <w:b/>
              </w:rPr>
              <w:t>Organisationen</w:t>
            </w:r>
            <w:r>
              <w:rPr>
                <w:b/>
                <w:spacing w:val="-9"/>
              </w:rPr>
              <w:t xml:space="preserve"> </w:t>
            </w:r>
            <w:r>
              <w:rPr>
                <w:b/>
                <w:spacing w:val="-2"/>
              </w:rPr>
              <w:t>bewerben:</w:t>
            </w:r>
          </w:p>
        </w:tc>
      </w:tr>
    </w:tbl>
    <w:p w14:paraId="761B3B22" w14:textId="77777777" w:rsidR="00DB7613" w:rsidRDefault="00DB7613">
      <w:pPr>
        <w:pStyle w:val="BodyText"/>
        <w:rPr>
          <w:b/>
          <w:sz w:val="24"/>
        </w:rPr>
      </w:pPr>
    </w:p>
    <w:p w14:paraId="0DB86CBC" w14:textId="77777777" w:rsidR="00DB7613" w:rsidRDefault="0080211C">
      <w:pPr>
        <w:pStyle w:val="ListParagraph"/>
        <w:numPr>
          <w:ilvl w:val="0"/>
          <w:numId w:val="6"/>
        </w:numPr>
        <w:tabs>
          <w:tab w:val="left" w:pos="819"/>
          <w:tab w:val="left" w:pos="820"/>
        </w:tabs>
        <w:ind w:hanging="429"/>
        <w:rPr>
          <w:b/>
          <w:sz w:val="24"/>
        </w:rPr>
      </w:pPr>
      <w:r>
        <w:rPr>
          <w:b/>
          <w:sz w:val="24"/>
          <w:u w:val="single"/>
        </w:rPr>
        <w:t>Art</w:t>
      </w:r>
      <w:r>
        <w:rPr>
          <w:b/>
          <w:spacing w:val="-4"/>
          <w:sz w:val="24"/>
          <w:u w:val="single"/>
        </w:rPr>
        <w:t xml:space="preserve"> </w:t>
      </w:r>
      <w:r>
        <w:rPr>
          <w:b/>
          <w:sz w:val="24"/>
          <w:u w:val="single"/>
        </w:rPr>
        <w:t>der</w:t>
      </w:r>
      <w:r>
        <w:rPr>
          <w:b/>
          <w:spacing w:val="-2"/>
          <w:sz w:val="24"/>
          <w:u w:val="single"/>
        </w:rPr>
        <w:t xml:space="preserve"> Tätigkeit</w:t>
      </w:r>
    </w:p>
    <w:p w14:paraId="7730298E" w14:textId="77777777" w:rsidR="00DB7613" w:rsidRDefault="00DB7613">
      <w:pPr>
        <w:pStyle w:val="BodyText"/>
        <w:spacing w:before="7"/>
        <w:rPr>
          <w:b/>
          <w:sz w:val="15"/>
        </w:rPr>
      </w:pPr>
    </w:p>
    <w:p w14:paraId="0DB734CF" w14:textId="77777777" w:rsidR="00DB7613" w:rsidRDefault="0080211C">
      <w:pPr>
        <w:pStyle w:val="BodyText"/>
        <w:spacing w:before="91"/>
        <w:ind w:left="819" w:right="103"/>
        <w:jc w:val="both"/>
      </w:pPr>
      <w:r>
        <w:t>Das Referat RTD.A4 entwickelt, implementiert und überwacht die Strategien, Initiativen und Strukturen, die erforderlich sind, um die europäische Wissenschaft und Forschung zu öffnen und sie effizienter, robuster und reaktionsfähiger für die Bedürfnisse und</w:t>
      </w:r>
      <w:r>
        <w:t xml:space="preserve"> Erwartungen von Politik und Gesellschaft zu machen. Insbesondere leitet die Abteilung die Definition und Umsetzung der EU-Politik in den folgenden Dimensionen von Open Science: die Zukunft der wissenschaftlichen Kommunikation und des offenen Zugangs (open</w:t>
      </w:r>
      <w:r>
        <w:t xml:space="preserve"> access), die European Open Science Cloud (EOSC), FAIR Management von Forschungsdaten und -diensten, Forschungsintegrität, Citizen Science, Forschungsindikatoren und -metriken, Belohnungen und Anreize, Fähigkeiten und Bildung.</w:t>
      </w:r>
    </w:p>
    <w:p w14:paraId="4871A55E" w14:textId="77777777" w:rsidR="00DB7613" w:rsidRDefault="00DB7613">
      <w:pPr>
        <w:pStyle w:val="BodyText"/>
        <w:spacing w:before="1"/>
      </w:pPr>
    </w:p>
    <w:p w14:paraId="4AE1DB84" w14:textId="77777777" w:rsidR="00DB7613" w:rsidRDefault="0080211C">
      <w:pPr>
        <w:pStyle w:val="BodyText"/>
        <w:ind w:left="819" w:right="102"/>
        <w:jc w:val="both"/>
      </w:pPr>
      <w:r>
        <w:t>Das Referat leitet die Umset</w:t>
      </w:r>
      <w:r>
        <w:t>zung von EOSC in Zusammenarbeit mit der GD CNECT. EOSC zielt darauf ab, eine vertrauenswürdige, offene Umgebung für die wissenschaftliche Gemeinschaft zu entwickeln, um FAIR- wissenschaftliche Daten, Werkzeuge und Dienste über Grenzen und Gemeinschaften hi</w:t>
      </w:r>
      <w:r>
        <w:t>nweg zu speichern, zu teilen, zu finden und wiederzuverwenden. EOSC baut auf bestehenden Infrastrukturen und Diensten auf, die von der Europäischen Kommission, den Mitgliedstaaten und Forschungsgemeinschaften unterstützt werden.</w:t>
      </w:r>
      <w:r>
        <w:rPr>
          <w:spacing w:val="40"/>
        </w:rPr>
        <w:t xml:space="preserve"> </w:t>
      </w:r>
      <w:r>
        <w:t>Es bringt diese in einem fö</w:t>
      </w:r>
      <w:r>
        <w:t>derierten „System of Systems“-Ansatz zusammen. Europa ist der weltweit größte Produzent wissenschaftlicher Daten, bleibt jedoch von der Fragmentierung der Forschungsinfrastrukturlandschaft und der begrenzten gemeinsamen Nutzung und Verwaltung von FAIR- Dat</w:t>
      </w:r>
      <w:r>
        <w:t>en betroffen. Die EOSC wird als vorrangige Aktion der politischen Agenda des Europäischen Forschungsraums (ERA) mit dem spezifischen Ziel anerkannt, Open-Science-Praktiken in Europa zu</w:t>
      </w:r>
      <w:r>
        <w:rPr>
          <w:spacing w:val="80"/>
        </w:rPr>
        <w:t xml:space="preserve"> </w:t>
      </w:r>
      <w:r>
        <w:t>vertiefen.</w:t>
      </w:r>
      <w:r>
        <w:rPr>
          <w:spacing w:val="74"/>
        </w:rPr>
        <w:t xml:space="preserve"> </w:t>
      </w:r>
      <w:r>
        <w:t>Es</w:t>
      </w:r>
      <w:r>
        <w:rPr>
          <w:spacing w:val="75"/>
        </w:rPr>
        <w:t xml:space="preserve"> </w:t>
      </w:r>
      <w:r>
        <w:t>wird</w:t>
      </w:r>
      <w:r>
        <w:rPr>
          <w:spacing w:val="73"/>
        </w:rPr>
        <w:t xml:space="preserve"> </w:t>
      </w:r>
      <w:r>
        <w:t>auch</w:t>
      </w:r>
      <w:r>
        <w:rPr>
          <w:spacing w:val="72"/>
        </w:rPr>
        <w:t xml:space="preserve"> </w:t>
      </w:r>
      <w:r>
        <w:t>als</w:t>
      </w:r>
      <w:r>
        <w:rPr>
          <w:spacing w:val="75"/>
        </w:rPr>
        <w:t xml:space="preserve"> </w:t>
      </w:r>
      <w:r>
        <w:t>„Datenraum</w:t>
      </w:r>
      <w:r>
        <w:rPr>
          <w:spacing w:val="69"/>
        </w:rPr>
        <w:t xml:space="preserve"> </w:t>
      </w:r>
      <w:r>
        <w:t>für</w:t>
      </w:r>
      <w:r>
        <w:rPr>
          <w:spacing w:val="74"/>
        </w:rPr>
        <w:t xml:space="preserve"> </w:t>
      </w:r>
      <w:r>
        <w:t>Wissenschaft,</w:t>
      </w:r>
      <w:r>
        <w:rPr>
          <w:spacing w:val="73"/>
        </w:rPr>
        <w:t xml:space="preserve"> </w:t>
      </w:r>
      <w:r>
        <w:t>Forschung</w:t>
      </w:r>
      <w:r>
        <w:rPr>
          <w:spacing w:val="72"/>
        </w:rPr>
        <w:t xml:space="preserve"> </w:t>
      </w:r>
      <w:r>
        <w:t>und</w:t>
      </w:r>
      <w:r>
        <w:rPr>
          <w:spacing w:val="71"/>
        </w:rPr>
        <w:t xml:space="preserve"> </w:t>
      </w:r>
      <w:r>
        <w:t>Innovation“</w:t>
      </w:r>
      <w:r>
        <w:rPr>
          <w:spacing w:val="75"/>
        </w:rPr>
        <w:t xml:space="preserve"> </w:t>
      </w:r>
      <w:r>
        <w:t>anerkannt,</w:t>
      </w:r>
      <w:r>
        <w:rPr>
          <w:spacing w:val="75"/>
        </w:rPr>
        <w:t xml:space="preserve"> </w:t>
      </w:r>
      <w:r>
        <w:rPr>
          <w:spacing w:val="-5"/>
        </w:rPr>
        <w:t>der</w:t>
      </w:r>
    </w:p>
    <w:p w14:paraId="55AF4506" w14:textId="77777777" w:rsidR="00DB7613" w:rsidRDefault="00DB7613">
      <w:pPr>
        <w:pStyle w:val="BodyText"/>
        <w:rPr>
          <w:sz w:val="20"/>
        </w:rPr>
      </w:pPr>
    </w:p>
    <w:p w14:paraId="3FF7CA80" w14:textId="77777777" w:rsidR="00DB7613" w:rsidRDefault="0080211C">
      <w:pPr>
        <w:pStyle w:val="BodyText"/>
        <w:rPr>
          <w:sz w:val="27"/>
        </w:rPr>
      </w:pPr>
      <w:r>
        <w:pict w14:anchorId="58D36CD5">
          <v:rect id="docshape2" o:spid="_x0000_s1026" style="position:absolute;margin-left:42.6pt;margin-top:16.75pt;width:2in;height:.7pt;z-index:-251658752;mso-wrap-distance-left:0;mso-wrap-distance-right:0;mso-position-horizontal-relative:page" fillcolor="black" stroked="f">
            <w10:wrap type="topAndBottom" anchorx="page"/>
          </v:rect>
        </w:pict>
      </w:r>
    </w:p>
    <w:p w14:paraId="202069BE" w14:textId="77777777" w:rsidR="00DB7613" w:rsidRDefault="0080211C">
      <w:pPr>
        <w:spacing w:before="96"/>
        <w:ind w:left="391" w:right="1285"/>
        <w:rPr>
          <w:sz w:val="20"/>
        </w:rPr>
      </w:pPr>
      <w:r>
        <w:rPr>
          <w:sz w:val="20"/>
          <w:vertAlign w:val="superscript"/>
        </w:rPr>
        <w:t>1</w:t>
      </w:r>
      <w:r>
        <w:rPr>
          <w:spacing w:val="29"/>
          <w:sz w:val="20"/>
        </w:rPr>
        <w:t xml:space="preserve"> </w:t>
      </w:r>
      <w:r>
        <w:rPr>
          <w:sz w:val="20"/>
        </w:rPr>
        <w:t>Die</w:t>
      </w:r>
      <w:r>
        <w:rPr>
          <w:spacing w:val="32"/>
          <w:sz w:val="20"/>
        </w:rPr>
        <w:t xml:space="preserve"> </w:t>
      </w:r>
      <w:r>
        <w:rPr>
          <w:sz w:val="20"/>
        </w:rPr>
        <w:t>Angaben</w:t>
      </w:r>
      <w:r>
        <w:rPr>
          <w:spacing w:val="29"/>
          <w:sz w:val="20"/>
        </w:rPr>
        <w:t xml:space="preserve"> </w:t>
      </w:r>
      <w:r>
        <w:rPr>
          <w:sz w:val="20"/>
        </w:rPr>
        <w:t>zum</w:t>
      </w:r>
      <w:r>
        <w:rPr>
          <w:spacing w:val="28"/>
          <w:sz w:val="20"/>
        </w:rPr>
        <w:t xml:space="preserve"> </w:t>
      </w:r>
      <w:r>
        <w:rPr>
          <w:sz w:val="20"/>
        </w:rPr>
        <w:t>Datum</w:t>
      </w:r>
      <w:r>
        <w:rPr>
          <w:spacing w:val="28"/>
          <w:sz w:val="20"/>
        </w:rPr>
        <w:t xml:space="preserve"> </w:t>
      </w:r>
      <w:r>
        <w:rPr>
          <w:sz w:val="20"/>
        </w:rPr>
        <w:t>des</w:t>
      </w:r>
      <w:r>
        <w:rPr>
          <w:spacing w:val="27"/>
          <w:sz w:val="20"/>
        </w:rPr>
        <w:t xml:space="preserve"> </w:t>
      </w:r>
      <w:r>
        <w:rPr>
          <w:sz w:val="20"/>
        </w:rPr>
        <w:t>Dienstantritts</w:t>
      </w:r>
      <w:r>
        <w:rPr>
          <w:spacing w:val="31"/>
          <w:sz w:val="20"/>
        </w:rPr>
        <w:t xml:space="preserve"> </w:t>
      </w:r>
      <w:r>
        <w:rPr>
          <w:sz w:val="20"/>
        </w:rPr>
        <w:t>und</w:t>
      </w:r>
      <w:r>
        <w:rPr>
          <w:spacing w:val="29"/>
          <w:sz w:val="20"/>
        </w:rPr>
        <w:t xml:space="preserve"> </w:t>
      </w:r>
      <w:r>
        <w:rPr>
          <w:sz w:val="20"/>
        </w:rPr>
        <w:t>zur</w:t>
      </w:r>
      <w:r>
        <w:rPr>
          <w:spacing w:val="29"/>
          <w:sz w:val="20"/>
        </w:rPr>
        <w:t xml:space="preserve"> </w:t>
      </w:r>
      <w:r>
        <w:rPr>
          <w:sz w:val="20"/>
        </w:rPr>
        <w:t>Dauer</w:t>
      </w:r>
      <w:r>
        <w:rPr>
          <w:spacing w:val="29"/>
          <w:sz w:val="20"/>
        </w:rPr>
        <w:t xml:space="preserve"> </w:t>
      </w:r>
      <w:r>
        <w:rPr>
          <w:sz w:val="20"/>
        </w:rPr>
        <w:t>der</w:t>
      </w:r>
      <w:r>
        <w:rPr>
          <w:spacing w:val="31"/>
          <w:sz w:val="20"/>
        </w:rPr>
        <w:t xml:space="preserve"> </w:t>
      </w:r>
      <w:r>
        <w:rPr>
          <w:sz w:val="20"/>
        </w:rPr>
        <w:t>Abordnung</w:t>
      </w:r>
      <w:r>
        <w:rPr>
          <w:spacing w:val="31"/>
          <w:sz w:val="20"/>
        </w:rPr>
        <w:t xml:space="preserve"> </w:t>
      </w:r>
      <w:r>
        <w:rPr>
          <w:sz w:val="20"/>
        </w:rPr>
        <w:t>sind</w:t>
      </w:r>
      <w:r>
        <w:rPr>
          <w:spacing w:val="31"/>
          <w:sz w:val="20"/>
        </w:rPr>
        <w:t xml:space="preserve"> </w:t>
      </w:r>
      <w:r>
        <w:rPr>
          <w:sz w:val="20"/>
        </w:rPr>
        <w:t>unverbindlich</w:t>
      </w:r>
      <w:r>
        <w:rPr>
          <w:spacing w:val="27"/>
          <w:sz w:val="20"/>
        </w:rPr>
        <w:t xml:space="preserve"> </w:t>
      </w:r>
      <w:r>
        <w:rPr>
          <w:sz w:val="20"/>
        </w:rPr>
        <w:t>(Art.</w:t>
      </w:r>
      <w:r>
        <w:rPr>
          <w:spacing w:val="29"/>
          <w:sz w:val="20"/>
        </w:rPr>
        <w:t xml:space="preserve"> </w:t>
      </w:r>
      <w:r>
        <w:rPr>
          <w:sz w:val="20"/>
        </w:rPr>
        <w:t>4</w:t>
      </w:r>
      <w:r>
        <w:rPr>
          <w:spacing w:val="31"/>
          <w:sz w:val="20"/>
        </w:rPr>
        <w:t xml:space="preserve"> </w:t>
      </w:r>
      <w:r>
        <w:rPr>
          <w:sz w:val="20"/>
        </w:rPr>
        <w:t xml:space="preserve">des </w:t>
      </w:r>
      <w:r>
        <w:rPr>
          <w:spacing w:val="-2"/>
          <w:sz w:val="20"/>
        </w:rPr>
        <w:t>ANS-Beschlusses).</w:t>
      </w:r>
    </w:p>
    <w:p w14:paraId="16855E51" w14:textId="77777777" w:rsidR="00DB7613" w:rsidRDefault="00DB7613">
      <w:pPr>
        <w:rPr>
          <w:sz w:val="20"/>
        </w:rPr>
        <w:sectPr w:rsidR="00DB7613">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60" w:header="0" w:footer="692" w:gutter="0"/>
          <w:pgNumType w:start="1"/>
          <w:cols w:space="720"/>
        </w:sectPr>
      </w:pPr>
    </w:p>
    <w:p w14:paraId="157FF70F" w14:textId="77777777" w:rsidR="00DB7613" w:rsidRDefault="0080211C">
      <w:pPr>
        <w:pStyle w:val="BodyText"/>
        <w:spacing w:before="68"/>
        <w:ind w:left="819" w:right="106"/>
        <w:jc w:val="both"/>
      </w:pPr>
      <w:r>
        <w:lastRenderedPageBreak/>
        <w:t xml:space="preserve">vollständig mit den anderen in der Europäischen Datenstrategie definierten sektoralen Datenräumen artikuliert </w:t>
      </w:r>
      <w:r>
        <w:rPr>
          <w:spacing w:val="-2"/>
        </w:rPr>
        <w:t>wird.</w:t>
      </w:r>
    </w:p>
    <w:p w14:paraId="6935C5AD" w14:textId="77777777" w:rsidR="00DB7613" w:rsidRDefault="00DB7613">
      <w:pPr>
        <w:pStyle w:val="BodyText"/>
        <w:spacing w:before="2"/>
      </w:pPr>
    </w:p>
    <w:p w14:paraId="4EED65C6" w14:textId="77777777" w:rsidR="00DB7613" w:rsidRDefault="0080211C">
      <w:pPr>
        <w:pStyle w:val="BodyText"/>
        <w:ind w:left="819" w:right="104"/>
        <w:jc w:val="both"/>
      </w:pPr>
      <w:r>
        <w:t>Das Referat baut die Kapazitäten und Expertise im Hinblick auf die Implementierung des EOSC und die Entwicklung</w:t>
      </w:r>
      <w:r>
        <w:rPr>
          <w:spacing w:val="-4"/>
        </w:rPr>
        <w:t xml:space="preserve"> </w:t>
      </w:r>
      <w:r>
        <w:t>eines</w:t>
      </w:r>
      <w:r>
        <w:rPr>
          <w:spacing w:val="-4"/>
        </w:rPr>
        <w:t xml:space="preserve"> </w:t>
      </w:r>
      <w:r>
        <w:t>Netzes</w:t>
      </w:r>
      <w:r>
        <w:rPr>
          <w:spacing w:val="-2"/>
        </w:rPr>
        <w:t xml:space="preserve"> </w:t>
      </w:r>
      <w:r>
        <w:t>von</w:t>
      </w:r>
      <w:r>
        <w:rPr>
          <w:spacing w:val="-2"/>
        </w:rPr>
        <w:t xml:space="preserve"> </w:t>
      </w:r>
      <w:r>
        <w:t>FAIR-Daten</w:t>
      </w:r>
      <w:r>
        <w:rPr>
          <w:spacing w:val="-2"/>
        </w:rPr>
        <w:t xml:space="preserve"> </w:t>
      </w:r>
      <w:r>
        <w:t>und</w:t>
      </w:r>
      <w:r>
        <w:rPr>
          <w:spacing w:val="-2"/>
        </w:rPr>
        <w:t xml:space="preserve"> </w:t>
      </w:r>
      <w:r>
        <w:t>-Diensten</w:t>
      </w:r>
      <w:r>
        <w:rPr>
          <w:spacing w:val="-2"/>
        </w:rPr>
        <w:t xml:space="preserve"> </w:t>
      </w:r>
      <w:r>
        <w:t>für</w:t>
      </w:r>
      <w:r>
        <w:rPr>
          <w:spacing w:val="-2"/>
        </w:rPr>
        <w:t xml:space="preserve"> </w:t>
      </w:r>
      <w:r>
        <w:t>die</w:t>
      </w:r>
      <w:r>
        <w:rPr>
          <w:spacing w:val="-1"/>
        </w:rPr>
        <w:t xml:space="preserve"> </w:t>
      </w:r>
      <w:r>
        <w:t>Wissenschaft aus. In</w:t>
      </w:r>
      <w:r>
        <w:rPr>
          <w:spacing w:val="-2"/>
        </w:rPr>
        <w:t xml:space="preserve"> </w:t>
      </w:r>
      <w:r>
        <w:t>diesem</w:t>
      </w:r>
      <w:r>
        <w:rPr>
          <w:spacing w:val="-4"/>
        </w:rPr>
        <w:t xml:space="preserve"> </w:t>
      </w:r>
      <w:r>
        <w:t>Zusammenhang schreibt das Referat eine neue Stelle als Abgeordneter Nationaler Experte: „Policy Officer – European Open Science Cloud and FAIR data services“ aus.</w:t>
      </w:r>
    </w:p>
    <w:p w14:paraId="0466344D" w14:textId="77777777" w:rsidR="00DB7613" w:rsidRDefault="00DB7613">
      <w:pPr>
        <w:pStyle w:val="BodyText"/>
        <w:spacing w:before="11"/>
        <w:rPr>
          <w:sz w:val="21"/>
        </w:rPr>
      </w:pPr>
    </w:p>
    <w:p w14:paraId="5FF11981" w14:textId="77777777" w:rsidR="00DB7613" w:rsidRDefault="0080211C">
      <w:pPr>
        <w:pStyle w:val="BodyText"/>
        <w:ind w:left="819" w:right="103"/>
        <w:jc w:val="both"/>
      </w:pPr>
      <w:r>
        <w:t>Unter der Aufsicht eines AD-Mitarbeiters wird der Experte/die Expertin Aspekte der Umsetzung</w:t>
      </w:r>
      <w:r>
        <w:t xml:space="preserve"> der EOSC unterstützen und / oder leiten, die (a) die EOSC-Governance-Struktur, (b) die Überwachung der Einführung von EOSC und allgemeiner von Open Wissenschaft in Europa, (c) die Entwicklung eines Netzes von FAIR- Daten und -Diensten für die Wissenschaft</w:t>
      </w:r>
      <w:r>
        <w:t>, (d) Nachhaltigkeitsmodelle für die EOSC-Föderation und die</w:t>
      </w:r>
      <w:r>
        <w:rPr>
          <w:spacing w:val="80"/>
        </w:rPr>
        <w:t xml:space="preserve"> </w:t>
      </w:r>
      <w:r>
        <w:t>Open-Science-Überwachungskapazität, (e) die Einhaltung der EU-Gesetzgebung (einschließlich im Kontext des Digital Binnenmarkt). beinhalten.</w:t>
      </w:r>
    </w:p>
    <w:p w14:paraId="3F6C5828" w14:textId="77777777" w:rsidR="00DB7613" w:rsidRDefault="00DB7613">
      <w:pPr>
        <w:pStyle w:val="BodyText"/>
      </w:pPr>
    </w:p>
    <w:p w14:paraId="3A7EDEC2" w14:textId="77777777" w:rsidR="00DB7613" w:rsidRDefault="0080211C">
      <w:pPr>
        <w:pStyle w:val="BodyText"/>
        <w:spacing w:before="1" w:line="252" w:lineRule="exact"/>
        <w:ind w:left="819"/>
        <w:jc w:val="both"/>
      </w:pPr>
      <w:r>
        <w:t>Dieses</w:t>
      </w:r>
      <w:r>
        <w:rPr>
          <w:spacing w:val="-3"/>
        </w:rPr>
        <w:t xml:space="preserve"> </w:t>
      </w:r>
      <w:r>
        <w:t>beinhaltet</w:t>
      </w:r>
      <w:r>
        <w:rPr>
          <w:spacing w:val="-2"/>
        </w:rPr>
        <w:t xml:space="preserve"> weiterhin:</w:t>
      </w:r>
    </w:p>
    <w:p w14:paraId="3034855B" w14:textId="77777777" w:rsidR="00DB7613" w:rsidRDefault="0080211C">
      <w:pPr>
        <w:pStyle w:val="ListParagraph"/>
        <w:numPr>
          <w:ilvl w:val="1"/>
          <w:numId w:val="6"/>
        </w:numPr>
        <w:tabs>
          <w:tab w:val="left" w:pos="1245"/>
        </w:tabs>
        <w:ind w:left="1243" w:right="102" w:hanging="425"/>
        <w:jc w:val="both"/>
      </w:pPr>
      <w:r>
        <w:t>Beitrag zur Arbeit engagierter Expertengruppen zu bestimmten EOSC-Themen; insbesondere Unterstützung bei der Leitung des Sekretariats der Expertengruppe des EOSC-Lenkungsausschusses der Europäischen Kommission</w:t>
      </w:r>
    </w:p>
    <w:p w14:paraId="69ECB578" w14:textId="77777777" w:rsidR="00DB7613" w:rsidRDefault="0080211C">
      <w:pPr>
        <w:pStyle w:val="ListParagraph"/>
        <w:numPr>
          <w:ilvl w:val="1"/>
          <w:numId w:val="6"/>
        </w:numPr>
        <w:tabs>
          <w:tab w:val="left" w:pos="1245"/>
        </w:tabs>
        <w:ind w:left="1243" w:right="101" w:hanging="425"/>
        <w:jc w:val="both"/>
      </w:pPr>
      <w:r>
        <w:t>Beobachtung von Trends und Analyse politischer</w:t>
      </w:r>
      <w:r>
        <w:t xml:space="preserve"> Entwicklungen in Bezug auf offene Wissenschaft, die Verbindung öffentlicher Dateninfrastrukturen mit dem EOSC-Verband und die Umsetzung der FAIR- Prinzipien in den Mitgliedstaaten und im globalen Kontext; Schnittstelle zum ERA Monitoring </w:t>
      </w:r>
      <w:r>
        <w:rPr>
          <w:spacing w:val="-2"/>
        </w:rPr>
        <w:t>Mechanism;</w:t>
      </w:r>
    </w:p>
    <w:p w14:paraId="38FAAC63" w14:textId="77777777" w:rsidR="00DB7613" w:rsidRDefault="0080211C">
      <w:pPr>
        <w:pStyle w:val="ListParagraph"/>
        <w:numPr>
          <w:ilvl w:val="1"/>
          <w:numId w:val="6"/>
        </w:numPr>
        <w:tabs>
          <w:tab w:val="left" w:pos="1244"/>
        </w:tabs>
        <w:ind w:left="1243" w:right="105" w:hanging="425"/>
        <w:jc w:val="both"/>
      </w:pPr>
      <w:r>
        <w:t>Sammlu</w:t>
      </w:r>
      <w:r>
        <w:t xml:space="preserve">ng von Informationen, Best Practices und Analyse relevanter Daten und Informationen zur Entwicklung, Unterstützung und Umsetzung der EOSC als „Förderer“ von Open-Science- und Open- </w:t>
      </w:r>
      <w:r>
        <w:rPr>
          <w:spacing w:val="-2"/>
        </w:rPr>
        <w:t>Innovation-Strategien;</w:t>
      </w:r>
    </w:p>
    <w:p w14:paraId="03B42C1C" w14:textId="77777777" w:rsidR="00DB7613" w:rsidRDefault="0080211C">
      <w:pPr>
        <w:pStyle w:val="ListParagraph"/>
        <w:numPr>
          <w:ilvl w:val="1"/>
          <w:numId w:val="6"/>
        </w:numPr>
        <w:tabs>
          <w:tab w:val="left" w:pos="1245"/>
        </w:tabs>
        <w:ind w:left="1243" w:right="103" w:hanging="425"/>
        <w:jc w:val="both"/>
      </w:pPr>
      <w:r>
        <w:t>Durchführung von Studien und Konsultationen, Analyse</w:t>
      </w:r>
      <w:r>
        <w:t xml:space="preserve"> und Verbreitung ihrer Ergebnisse im Kontext</w:t>
      </w:r>
      <w:r>
        <w:rPr>
          <w:spacing w:val="80"/>
        </w:rPr>
        <w:t xml:space="preserve"> </w:t>
      </w:r>
      <w:r>
        <w:t>der EU-Politik ;</w:t>
      </w:r>
    </w:p>
    <w:p w14:paraId="320CCEFE" w14:textId="77777777" w:rsidR="00DB7613" w:rsidRDefault="0080211C">
      <w:pPr>
        <w:pStyle w:val="ListParagraph"/>
        <w:numPr>
          <w:ilvl w:val="1"/>
          <w:numId w:val="6"/>
        </w:numPr>
        <w:tabs>
          <w:tab w:val="left" w:pos="1244"/>
        </w:tabs>
        <w:ind w:left="1243" w:right="104" w:hanging="425"/>
        <w:jc w:val="both"/>
      </w:pPr>
      <w:r>
        <w:t>Teilnahme an internen und externen Kommunikationsaktivitäten, wie z. B., aber nicht nicht nur, Newsletter, Blogs, Konferenzen und EOSC Tripartite Veranstaltungen.</w:t>
      </w:r>
    </w:p>
    <w:p w14:paraId="306DAF2E" w14:textId="77777777" w:rsidR="00DB7613" w:rsidRDefault="00DB7613">
      <w:pPr>
        <w:pStyle w:val="BodyText"/>
        <w:spacing w:before="4"/>
      </w:pPr>
    </w:p>
    <w:p w14:paraId="7AE6476E" w14:textId="77777777" w:rsidR="00DB7613" w:rsidRDefault="0080211C">
      <w:pPr>
        <w:pStyle w:val="ListParagraph"/>
        <w:numPr>
          <w:ilvl w:val="0"/>
          <w:numId w:val="6"/>
        </w:numPr>
        <w:tabs>
          <w:tab w:val="left" w:pos="819"/>
          <w:tab w:val="left" w:pos="820"/>
        </w:tabs>
        <w:ind w:hanging="429"/>
        <w:rPr>
          <w:b/>
          <w:sz w:val="24"/>
        </w:rPr>
      </w:pPr>
      <w:r>
        <w:rPr>
          <w:b/>
          <w:sz w:val="24"/>
          <w:u w:val="single"/>
        </w:rPr>
        <w:t>Erforderliche</w:t>
      </w:r>
      <w:r>
        <w:rPr>
          <w:b/>
          <w:spacing w:val="-1"/>
          <w:sz w:val="24"/>
          <w:u w:val="single"/>
        </w:rPr>
        <w:t xml:space="preserve"> </w:t>
      </w:r>
      <w:r>
        <w:rPr>
          <w:b/>
          <w:spacing w:val="-2"/>
          <w:sz w:val="24"/>
          <w:u w:val="single"/>
        </w:rPr>
        <w:t>Qualifikationen</w:t>
      </w:r>
    </w:p>
    <w:p w14:paraId="6F4F515A" w14:textId="77777777" w:rsidR="00DB7613" w:rsidRDefault="00DB7613">
      <w:pPr>
        <w:pStyle w:val="BodyText"/>
        <w:rPr>
          <w:b/>
          <w:sz w:val="16"/>
        </w:rPr>
      </w:pPr>
    </w:p>
    <w:p w14:paraId="50F0D66A" w14:textId="77777777" w:rsidR="00DB7613" w:rsidRDefault="0080211C">
      <w:pPr>
        <w:pStyle w:val="Heading1"/>
        <w:numPr>
          <w:ilvl w:val="0"/>
          <w:numId w:val="3"/>
        </w:numPr>
        <w:tabs>
          <w:tab w:val="left" w:pos="1060"/>
        </w:tabs>
        <w:spacing w:before="92"/>
      </w:pPr>
      <w:r>
        <w:rPr>
          <w:spacing w:val="-2"/>
          <w:u w:val="single"/>
        </w:rPr>
        <w:t>Zulassungskriterien</w:t>
      </w:r>
    </w:p>
    <w:p w14:paraId="425E8FED" w14:textId="77777777" w:rsidR="00DB7613" w:rsidRDefault="00DB7613">
      <w:pPr>
        <w:pStyle w:val="BodyText"/>
        <w:spacing w:before="7"/>
        <w:rPr>
          <w:b/>
          <w:sz w:val="13"/>
        </w:rPr>
      </w:pPr>
    </w:p>
    <w:p w14:paraId="40C454C2" w14:textId="77777777" w:rsidR="00DB7613" w:rsidRDefault="0080211C">
      <w:pPr>
        <w:pStyle w:val="BodyText"/>
        <w:spacing w:before="92"/>
        <w:ind w:left="819" w:right="103"/>
        <w:jc w:val="both"/>
      </w:pPr>
      <w:r>
        <w:t>Nationale Sachverständige können zur Kommission abgeordnet werden, wenn sie alle Zulassungskriterien erfüllen. Bewerberinnen und Bewerber, die nicht alle dieser Kriterien erfüllen, werden automatisch vom Auswahlverfahren ausgeschlossen.</w:t>
      </w:r>
    </w:p>
    <w:p w14:paraId="46F47243" w14:textId="77777777" w:rsidR="00DB7613" w:rsidRDefault="00DB7613">
      <w:pPr>
        <w:pStyle w:val="BodyText"/>
      </w:pPr>
    </w:p>
    <w:p w14:paraId="2AD061BD" w14:textId="77777777" w:rsidR="00DB7613" w:rsidRDefault="0080211C">
      <w:pPr>
        <w:pStyle w:val="ListParagraph"/>
        <w:numPr>
          <w:ilvl w:val="0"/>
          <w:numId w:val="2"/>
        </w:numPr>
        <w:tabs>
          <w:tab w:val="left" w:pos="1100"/>
        </w:tabs>
        <w:spacing w:before="1"/>
        <w:ind w:right="105"/>
        <w:jc w:val="both"/>
      </w:pPr>
      <w:r>
        <w:rPr>
          <w:u w:val="single"/>
        </w:rPr>
        <w:t>Berufserfahrung</w:t>
      </w:r>
      <w:r>
        <w:t xml:space="preserve"> : </w:t>
      </w:r>
      <w:r>
        <w:t>Bewerberinnen und Bewerber müssen mindestens fünf Jahre Berufserfahrung mit Aufgaben im administrativen, justiziellen, wissenschaftlichen oder technischen Bereich in beratender oder leitender Funktion verfügen, die mit den Tätigkeiten der Funktionsgruppe A</w:t>
      </w:r>
      <w:r>
        <w:t>dministration (AD) vergleichbar ist.</w:t>
      </w:r>
    </w:p>
    <w:p w14:paraId="17424AA2" w14:textId="77777777" w:rsidR="00DB7613" w:rsidRDefault="00DB7613">
      <w:pPr>
        <w:pStyle w:val="BodyText"/>
        <w:spacing w:before="11"/>
        <w:rPr>
          <w:sz w:val="21"/>
        </w:rPr>
      </w:pPr>
    </w:p>
    <w:p w14:paraId="6535DA74" w14:textId="77777777" w:rsidR="00DB7613" w:rsidRDefault="0080211C">
      <w:pPr>
        <w:pStyle w:val="ListParagraph"/>
        <w:numPr>
          <w:ilvl w:val="0"/>
          <w:numId w:val="2"/>
        </w:numPr>
        <w:tabs>
          <w:tab w:val="left" w:pos="1100"/>
        </w:tabs>
        <w:ind w:right="104"/>
        <w:jc w:val="both"/>
      </w:pPr>
      <w:r>
        <w:rPr>
          <w:u w:val="single"/>
        </w:rPr>
        <w:t>Dienstalter</w:t>
      </w:r>
      <w:r>
        <w:t xml:space="preserve"> : Bewerberinnen und Bewerber müssen ein Dienstalter von mindestens einem Jahr bei ihrem Arbeitgeber nachweisen, das heißt seit mindestens einem Jahr in einem dienst- oder vertragsrechtlichen Verhältnis mit </w:t>
      </w:r>
      <w:r>
        <w:t>einem Arbeitgeber im Sinne von Artikel 1 des ANS-Beschlusses stehen.</w:t>
      </w:r>
    </w:p>
    <w:p w14:paraId="5E0A776B" w14:textId="77777777" w:rsidR="00DB7613" w:rsidRDefault="00DB7613">
      <w:pPr>
        <w:pStyle w:val="BodyText"/>
        <w:spacing w:before="10"/>
        <w:rPr>
          <w:sz w:val="21"/>
        </w:rPr>
      </w:pPr>
    </w:p>
    <w:p w14:paraId="5294378F" w14:textId="77777777" w:rsidR="00DB7613" w:rsidRDefault="0080211C">
      <w:pPr>
        <w:pStyle w:val="ListParagraph"/>
        <w:numPr>
          <w:ilvl w:val="0"/>
          <w:numId w:val="2"/>
        </w:numPr>
        <w:tabs>
          <w:tab w:val="left" w:pos="1100"/>
        </w:tabs>
        <w:ind w:right="105"/>
        <w:jc w:val="both"/>
      </w:pPr>
      <w:r>
        <w:rPr>
          <w:u w:val="single"/>
        </w:rPr>
        <w:t>Sprachkenntnisse</w:t>
      </w:r>
      <w:r>
        <w:t xml:space="preserve"> : Bewerberinnen und Bewerber müssen gründliche Kenntnisse in einer Sprache der Europäischen Union und ausreichende Kenntnisse in einer weiteren Sprache der Europäischen </w:t>
      </w:r>
      <w:r>
        <w:t>Union in dem für die Wahrnehmung ihrer Funktion erforderlichen Maße besitzen. Ein abgeordneter nationaler Sachverständiger (ANS) aus einem</w:t>
      </w:r>
      <w:r>
        <w:rPr>
          <w:spacing w:val="-2"/>
        </w:rPr>
        <w:t xml:space="preserve"> </w:t>
      </w:r>
      <w:r>
        <w:t>Drittland muss nachweisen, dass er über</w:t>
      </w:r>
      <w:r>
        <w:rPr>
          <w:spacing w:val="-1"/>
        </w:rPr>
        <w:t xml:space="preserve"> </w:t>
      </w:r>
      <w:r>
        <w:t>gründliche Kenntnisse in einer zur Ausübung seiner Tätigkeit erforderlichen S</w:t>
      </w:r>
      <w:r>
        <w:t>prache der Europäischen Union verfügt.</w:t>
      </w:r>
    </w:p>
    <w:p w14:paraId="1B24542D" w14:textId="77777777" w:rsidR="00DB7613" w:rsidRDefault="00DB7613">
      <w:pPr>
        <w:pStyle w:val="BodyText"/>
        <w:spacing w:before="5"/>
        <w:rPr>
          <w:sz w:val="24"/>
        </w:rPr>
      </w:pPr>
    </w:p>
    <w:p w14:paraId="5BBDF30D" w14:textId="77777777" w:rsidR="00DB7613" w:rsidRDefault="0080211C">
      <w:pPr>
        <w:pStyle w:val="Heading1"/>
        <w:numPr>
          <w:ilvl w:val="0"/>
          <w:numId w:val="3"/>
        </w:numPr>
        <w:tabs>
          <w:tab w:val="left" w:pos="1100"/>
        </w:tabs>
        <w:ind w:left="1099" w:hanging="281"/>
      </w:pPr>
      <w:r>
        <w:rPr>
          <w:spacing w:val="-2"/>
          <w:u w:val="single"/>
        </w:rPr>
        <w:t>Auswahlkriterien</w:t>
      </w:r>
    </w:p>
    <w:p w14:paraId="2122161D" w14:textId="77777777" w:rsidR="00DB7613" w:rsidRDefault="00DB7613">
      <w:pPr>
        <w:pStyle w:val="BodyText"/>
        <w:spacing w:before="8"/>
        <w:rPr>
          <w:b/>
          <w:sz w:val="15"/>
        </w:rPr>
      </w:pPr>
    </w:p>
    <w:p w14:paraId="33B70897" w14:textId="77777777" w:rsidR="00DB7613" w:rsidRDefault="0080211C">
      <w:pPr>
        <w:pStyle w:val="BodyText"/>
        <w:spacing w:before="92"/>
        <w:ind w:left="1100"/>
      </w:pPr>
      <w:r>
        <w:rPr>
          <w:spacing w:val="-2"/>
          <w:u w:val="single"/>
        </w:rPr>
        <w:t>Bildungsabschluss</w:t>
      </w:r>
    </w:p>
    <w:p w14:paraId="0FD14939" w14:textId="77777777" w:rsidR="00DB7613" w:rsidRDefault="00DB7613">
      <w:pPr>
        <w:sectPr w:rsidR="00DB7613">
          <w:pgSz w:w="11910" w:h="16840"/>
          <w:pgMar w:top="1040" w:right="740" w:bottom="880" w:left="460" w:header="0" w:footer="692" w:gutter="0"/>
          <w:cols w:space="720"/>
        </w:sectPr>
      </w:pPr>
    </w:p>
    <w:p w14:paraId="6AF2C44E" w14:textId="77777777" w:rsidR="00DB7613" w:rsidRDefault="0080211C">
      <w:pPr>
        <w:pStyle w:val="ListParagraph"/>
        <w:numPr>
          <w:ilvl w:val="1"/>
          <w:numId w:val="3"/>
        </w:numPr>
        <w:tabs>
          <w:tab w:val="left" w:pos="1226"/>
        </w:tabs>
        <w:spacing w:before="68"/>
      </w:pPr>
      <w:r>
        <w:lastRenderedPageBreak/>
        <w:t>ein</w:t>
      </w:r>
      <w:r>
        <w:rPr>
          <w:spacing w:val="-5"/>
        </w:rPr>
        <w:t xml:space="preserve"> </w:t>
      </w:r>
      <w:r>
        <w:t>Universitätsabschluss</w:t>
      </w:r>
      <w:r>
        <w:rPr>
          <w:spacing w:val="-5"/>
        </w:rPr>
        <w:t xml:space="preserve"> </w:t>
      </w:r>
      <w:r>
        <w:rPr>
          <w:spacing w:val="-4"/>
        </w:rPr>
        <w:t>oder</w:t>
      </w:r>
    </w:p>
    <w:p w14:paraId="7E61D1CD" w14:textId="77777777" w:rsidR="00DB7613" w:rsidRDefault="0080211C">
      <w:pPr>
        <w:pStyle w:val="ListParagraph"/>
        <w:numPr>
          <w:ilvl w:val="1"/>
          <w:numId w:val="3"/>
        </w:numPr>
        <w:tabs>
          <w:tab w:val="left" w:pos="1226"/>
        </w:tabs>
        <w:spacing w:before="1"/>
      </w:pPr>
      <w:r>
        <w:t>eine</w:t>
      </w:r>
      <w:r>
        <w:rPr>
          <w:spacing w:val="-3"/>
        </w:rPr>
        <w:t xml:space="preserve"> </w:t>
      </w:r>
      <w:r>
        <w:t>gleichwertige</w:t>
      </w:r>
      <w:r>
        <w:rPr>
          <w:spacing w:val="-4"/>
        </w:rPr>
        <w:t xml:space="preserve"> </w:t>
      </w:r>
      <w:r>
        <w:t>Berufsausbildung</w:t>
      </w:r>
      <w:r>
        <w:rPr>
          <w:spacing w:val="-6"/>
        </w:rPr>
        <w:t xml:space="preserve"> </w:t>
      </w:r>
      <w:r>
        <w:t>oder</w:t>
      </w:r>
      <w:r>
        <w:rPr>
          <w:spacing w:val="-2"/>
        </w:rPr>
        <w:t xml:space="preserve"> Berufserfahrung</w:t>
      </w:r>
    </w:p>
    <w:p w14:paraId="09BAB437" w14:textId="77777777" w:rsidR="00DB7613" w:rsidRDefault="00DB7613">
      <w:pPr>
        <w:pStyle w:val="BodyText"/>
        <w:spacing w:before="1"/>
      </w:pPr>
    </w:p>
    <w:p w14:paraId="5AA05681" w14:textId="77777777" w:rsidR="00DB7613" w:rsidRDefault="0080211C">
      <w:pPr>
        <w:pStyle w:val="BodyText"/>
        <w:ind w:left="1100" w:right="166" w:firstLine="110"/>
        <w:jc w:val="both"/>
      </w:pPr>
      <w:r>
        <w:t>im Bereich: der Experte verfügt über einen multidisziplinären Hintergrund, der ein gründliches Verständnis von Politik und Wirtschaft mit ausgezeichneten Kenntnissen in Wissenschaft, F &amp; E und Innovation verbindet.</w:t>
      </w:r>
    </w:p>
    <w:p w14:paraId="5423795D" w14:textId="77777777" w:rsidR="00DB7613" w:rsidRDefault="00DB7613">
      <w:pPr>
        <w:pStyle w:val="BodyText"/>
        <w:spacing w:before="10"/>
        <w:rPr>
          <w:sz w:val="21"/>
        </w:rPr>
      </w:pPr>
    </w:p>
    <w:p w14:paraId="6FF3D134" w14:textId="77777777" w:rsidR="00DB7613" w:rsidRDefault="0080211C">
      <w:pPr>
        <w:pStyle w:val="BodyText"/>
        <w:ind w:left="1100"/>
      </w:pPr>
      <w:r>
        <w:rPr>
          <w:spacing w:val="-2"/>
          <w:u w:val="single"/>
        </w:rPr>
        <w:t>Berufserfahrung</w:t>
      </w:r>
    </w:p>
    <w:p w14:paraId="77ADB1B9" w14:textId="77777777" w:rsidR="00DB7613" w:rsidRDefault="00DB7613">
      <w:pPr>
        <w:pStyle w:val="BodyText"/>
        <w:spacing w:before="1"/>
        <w:rPr>
          <w:sz w:val="14"/>
        </w:rPr>
      </w:pPr>
    </w:p>
    <w:p w14:paraId="5D87ED88" w14:textId="77777777" w:rsidR="00DB7613" w:rsidRDefault="0080211C">
      <w:pPr>
        <w:pStyle w:val="BodyText"/>
        <w:spacing w:before="91"/>
        <w:ind w:left="1100" w:right="164"/>
        <w:jc w:val="both"/>
      </w:pPr>
      <w:r>
        <w:t>mindestens zwei Jahre B</w:t>
      </w:r>
      <w:r>
        <w:t>erufserfahrung im Bereich der Politikanalyse und/oder im Bereich der Wirtschaftsanalyse. Zusätzlich</w:t>
      </w:r>
      <w:r>
        <w:rPr>
          <w:spacing w:val="-2"/>
        </w:rPr>
        <w:t xml:space="preserve"> </w:t>
      </w:r>
      <w:r>
        <w:t>sind nachgewiesene</w:t>
      </w:r>
      <w:r>
        <w:rPr>
          <w:spacing w:val="-5"/>
        </w:rPr>
        <w:t xml:space="preserve"> </w:t>
      </w:r>
      <w:r>
        <w:t>Kenntnisse</w:t>
      </w:r>
      <w:r>
        <w:rPr>
          <w:spacing w:val="-1"/>
        </w:rPr>
        <w:t xml:space="preserve"> </w:t>
      </w:r>
      <w:r>
        <w:t>im</w:t>
      </w:r>
      <w:r>
        <w:rPr>
          <w:spacing w:val="-2"/>
        </w:rPr>
        <w:t xml:space="preserve"> </w:t>
      </w:r>
      <w:r>
        <w:t>Politikbereich</w:t>
      </w:r>
      <w:r>
        <w:rPr>
          <w:spacing w:val="-4"/>
        </w:rPr>
        <w:t xml:space="preserve"> </w:t>
      </w:r>
      <w:r>
        <w:t>von Open Science</w:t>
      </w:r>
      <w:r>
        <w:rPr>
          <w:spacing w:val="-1"/>
        </w:rPr>
        <w:t xml:space="preserve"> </w:t>
      </w:r>
      <w:r>
        <w:t>/</w:t>
      </w:r>
      <w:r>
        <w:rPr>
          <w:spacing w:val="-2"/>
        </w:rPr>
        <w:t xml:space="preserve"> </w:t>
      </w:r>
      <w:r>
        <w:t>Open Access sind von großen Vorteil.</w:t>
      </w:r>
    </w:p>
    <w:p w14:paraId="42B066D4" w14:textId="77777777" w:rsidR="00DB7613" w:rsidRDefault="00DB7613">
      <w:pPr>
        <w:pStyle w:val="BodyText"/>
        <w:spacing w:before="1"/>
      </w:pPr>
    </w:p>
    <w:p w14:paraId="0465A67D" w14:textId="77777777" w:rsidR="00DB7613" w:rsidRDefault="0080211C">
      <w:pPr>
        <w:pStyle w:val="BodyText"/>
        <w:ind w:left="1100"/>
      </w:pPr>
      <w:r>
        <w:rPr>
          <w:u w:val="single"/>
        </w:rPr>
        <w:t>Zur</w:t>
      </w:r>
      <w:r>
        <w:rPr>
          <w:spacing w:val="-4"/>
          <w:u w:val="single"/>
        </w:rPr>
        <w:t xml:space="preserve"> </w:t>
      </w:r>
      <w:r>
        <w:rPr>
          <w:u w:val="single"/>
        </w:rPr>
        <w:t>Ausübung</w:t>
      </w:r>
      <w:r>
        <w:rPr>
          <w:spacing w:val="-4"/>
          <w:u w:val="single"/>
        </w:rPr>
        <w:t xml:space="preserve"> </w:t>
      </w:r>
      <w:r>
        <w:rPr>
          <w:u w:val="single"/>
        </w:rPr>
        <w:t>der</w:t>
      </w:r>
      <w:r>
        <w:rPr>
          <w:spacing w:val="-4"/>
          <w:u w:val="single"/>
        </w:rPr>
        <w:t xml:space="preserve"> </w:t>
      </w:r>
      <w:r>
        <w:rPr>
          <w:u w:val="single"/>
        </w:rPr>
        <w:t>Tätigkeit</w:t>
      </w:r>
      <w:r>
        <w:rPr>
          <w:spacing w:val="-1"/>
          <w:u w:val="single"/>
        </w:rPr>
        <w:t xml:space="preserve"> </w:t>
      </w:r>
      <w:r>
        <w:rPr>
          <w:u w:val="single"/>
        </w:rPr>
        <w:t>erforderliche</w:t>
      </w:r>
      <w:r>
        <w:rPr>
          <w:spacing w:val="-3"/>
          <w:u w:val="single"/>
        </w:rPr>
        <w:t xml:space="preserve"> </w:t>
      </w:r>
      <w:r>
        <w:rPr>
          <w:spacing w:val="-2"/>
          <w:u w:val="single"/>
        </w:rPr>
        <w:t>Sprachkenn</w:t>
      </w:r>
      <w:r>
        <w:rPr>
          <w:spacing w:val="-2"/>
          <w:u w:val="single"/>
        </w:rPr>
        <w:t>tnisse</w:t>
      </w:r>
    </w:p>
    <w:p w14:paraId="4AB0CA39" w14:textId="77777777" w:rsidR="00DB7613" w:rsidRDefault="00DB7613">
      <w:pPr>
        <w:pStyle w:val="BodyText"/>
        <w:spacing w:before="1"/>
        <w:rPr>
          <w:sz w:val="14"/>
        </w:rPr>
      </w:pPr>
    </w:p>
    <w:p w14:paraId="7B4ACB1D" w14:textId="77777777" w:rsidR="00DB7613" w:rsidRDefault="0080211C">
      <w:pPr>
        <w:pStyle w:val="BodyText"/>
        <w:spacing w:before="92"/>
        <w:ind w:left="1100" w:right="165"/>
        <w:jc w:val="both"/>
      </w:pPr>
      <w:r>
        <w:t xml:space="preserve">Gründliche Kenntnisse in einer Sprache der Europäischen Union und ausreichende Kenntnisse in einer weiteren Sprache der Europäischen Union. Es werden exzellente Englischkenntnisse in Wort und Schrift </w:t>
      </w:r>
      <w:r>
        <w:rPr>
          <w:spacing w:val="-2"/>
        </w:rPr>
        <w:t>erwartet.</w:t>
      </w:r>
    </w:p>
    <w:p w14:paraId="7F5F12A4" w14:textId="77777777" w:rsidR="00DB7613" w:rsidRDefault="00DB7613">
      <w:pPr>
        <w:pStyle w:val="BodyText"/>
        <w:spacing w:before="3"/>
      </w:pPr>
    </w:p>
    <w:p w14:paraId="7D5B0833" w14:textId="77777777" w:rsidR="00DB7613" w:rsidRDefault="0080211C">
      <w:pPr>
        <w:pStyle w:val="ListParagraph"/>
        <w:numPr>
          <w:ilvl w:val="0"/>
          <w:numId w:val="6"/>
        </w:numPr>
        <w:tabs>
          <w:tab w:val="left" w:pos="819"/>
          <w:tab w:val="left" w:pos="820"/>
        </w:tabs>
        <w:ind w:hanging="429"/>
        <w:rPr>
          <w:b/>
          <w:sz w:val="24"/>
        </w:rPr>
      </w:pPr>
      <w:r>
        <w:rPr>
          <w:b/>
          <w:sz w:val="24"/>
          <w:u w:val="single"/>
        </w:rPr>
        <w:t xml:space="preserve">Bewerbung und </w:t>
      </w:r>
      <w:r>
        <w:rPr>
          <w:b/>
          <w:spacing w:val="-2"/>
          <w:sz w:val="24"/>
          <w:u w:val="single"/>
        </w:rPr>
        <w:t>Auswahlverfahren</w:t>
      </w:r>
    </w:p>
    <w:p w14:paraId="285678A7" w14:textId="77777777" w:rsidR="00DB7613" w:rsidRDefault="00DB7613">
      <w:pPr>
        <w:pStyle w:val="BodyText"/>
        <w:spacing w:before="7"/>
        <w:rPr>
          <w:b/>
          <w:sz w:val="15"/>
        </w:rPr>
      </w:pPr>
    </w:p>
    <w:p w14:paraId="185F5658" w14:textId="77777777" w:rsidR="00DB7613" w:rsidRDefault="0080211C">
      <w:pPr>
        <w:spacing w:before="92"/>
        <w:ind w:left="819" w:right="279"/>
        <w:jc w:val="both"/>
      </w:pPr>
      <w:r>
        <w:t xml:space="preserve">Die Bewerberinnen und Bewerber senden ihren </w:t>
      </w:r>
      <w:r>
        <w:rPr>
          <w:b/>
        </w:rPr>
        <w:t xml:space="preserve">Lebenslauf im Europass-Format </w:t>
      </w:r>
      <w:r>
        <w:t>(</w:t>
      </w:r>
      <w:hyperlink r:id="rId15">
        <w:r>
          <w:rPr>
            <w:color w:val="0000FF"/>
            <w:u w:val="single" w:color="0000FF"/>
          </w:rPr>
          <w:t>http://europass.cedefop.europa.eu/de/documents/curriculum-vitae</w:t>
        </w:r>
        <w:r>
          <w:t>)</w:t>
        </w:r>
      </w:hyperlink>
      <w:r>
        <w:t xml:space="preserve"> auf deutsch, englisch oder franz</w:t>
      </w:r>
      <w:r>
        <w:t xml:space="preserve">ösisch </w:t>
      </w:r>
      <w:r>
        <w:rPr>
          <w:b/>
          <w:u w:val="single"/>
        </w:rPr>
        <w:t>ausschließlich an die Ständige Vertretung / diplomatische Mission ihres Landes bei der EU</w:t>
      </w:r>
      <w:r>
        <w:t>. Diese</w:t>
      </w:r>
      <w:r>
        <w:rPr>
          <w:spacing w:val="40"/>
        </w:rPr>
        <w:t xml:space="preserve"> </w:t>
      </w:r>
      <w:r>
        <w:t>leitet die Bewerbungen innerhalb der Fristen für das Auswahlverfahren an die zuständigen Kommissionsdienststellen weiter. Der Lebenslauf muss das Geburt</w:t>
      </w:r>
      <w:r>
        <w:t xml:space="preserve">sdatum und die Staatsangehörigkeit des Kandidaten enthalten. </w:t>
      </w:r>
      <w:r>
        <w:rPr>
          <w:b/>
        </w:rPr>
        <w:t xml:space="preserve">Bei Nichteinhaltung dieses Verfahrens oder der Fristen wird die Bewerbung automatisch ungültig. </w:t>
      </w:r>
      <w:r>
        <w:t xml:space="preserve">Die Bewerberinnen und Bewerber werden gebeten, ihrer Bewerbung keine anderen Dokumente (wie Kopien </w:t>
      </w:r>
      <w:r>
        <w:t>des Personalausweises, Kopien von Abschlusszeugnissen, Nachweise der Berufserfahrung usw.) beizufügen. Diese Dokumente sind gegebenenfalls in einem späteren Stadium des Auswahlverfahrens vorzulegen.</w:t>
      </w:r>
    </w:p>
    <w:p w14:paraId="1C801FE0" w14:textId="77777777" w:rsidR="00DB7613" w:rsidRDefault="0080211C">
      <w:pPr>
        <w:pStyle w:val="BodyText"/>
        <w:ind w:left="819" w:right="277"/>
        <w:jc w:val="both"/>
      </w:pPr>
      <w:r>
        <w:t xml:space="preserve">Die Bewerberinnen und Bewerber werden von dem einstellenden Referat über den Stand ihrer Bewerbung </w:t>
      </w:r>
      <w:r>
        <w:rPr>
          <w:spacing w:val="-2"/>
        </w:rPr>
        <w:t>informiert.</w:t>
      </w:r>
    </w:p>
    <w:p w14:paraId="7A5386CC" w14:textId="77777777" w:rsidR="00DB7613" w:rsidRDefault="00DB7613">
      <w:pPr>
        <w:pStyle w:val="BodyText"/>
        <w:spacing w:before="6"/>
      </w:pPr>
    </w:p>
    <w:p w14:paraId="716749AD" w14:textId="77777777" w:rsidR="00DB7613" w:rsidRDefault="0080211C">
      <w:pPr>
        <w:pStyle w:val="ListParagraph"/>
        <w:numPr>
          <w:ilvl w:val="0"/>
          <w:numId w:val="6"/>
        </w:numPr>
        <w:tabs>
          <w:tab w:val="left" w:pos="819"/>
          <w:tab w:val="left" w:pos="820"/>
        </w:tabs>
        <w:spacing w:before="1"/>
        <w:ind w:hanging="429"/>
        <w:rPr>
          <w:b/>
          <w:sz w:val="24"/>
        </w:rPr>
      </w:pPr>
      <w:r>
        <w:rPr>
          <w:b/>
          <w:sz w:val="24"/>
          <w:u w:val="single"/>
        </w:rPr>
        <w:t>Bedingungen</w:t>
      </w:r>
      <w:r>
        <w:rPr>
          <w:b/>
          <w:spacing w:val="-2"/>
          <w:sz w:val="24"/>
          <w:u w:val="single"/>
        </w:rPr>
        <w:t xml:space="preserve"> </w:t>
      </w:r>
      <w:r>
        <w:rPr>
          <w:b/>
          <w:sz w:val="24"/>
          <w:u w:val="single"/>
        </w:rPr>
        <w:t>für die Abordnung</w:t>
      </w:r>
      <w:r>
        <w:rPr>
          <w:b/>
          <w:spacing w:val="2"/>
          <w:sz w:val="24"/>
          <w:u w:val="single"/>
        </w:rPr>
        <w:t xml:space="preserve"> </w:t>
      </w:r>
      <w:r>
        <w:rPr>
          <w:b/>
          <w:sz w:val="24"/>
          <w:u w:val="single"/>
        </w:rPr>
        <w:t>nationaler</w:t>
      </w:r>
      <w:r>
        <w:rPr>
          <w:b/>
          <w:spacing w:val="-3"/>
          <w:sz w:val="24"/>
          <w:u w:val="single"/>
        </w:rPr>
        <w:t xml:space="preserve"> </w:t>
      </w:r>
      <w:r>
        <w:rPr>
          <w:b/>
          <w:spacing w:val="-2"/>
          <w:sz w:val="24"/>
          <w:u w:val="single"/>
        </w:rPr>
        <w:t>Sachverständiger</w:t>
      </w:r>
    </w:p>
    <w:p w14:paraId="22825E92" w14:textId="77777777" w:rsidR="00DB7613" w:rsidRDefault="00DB7613">
      <w:pPr>
        <w:pStyle w:val="BodyText"/>
        <w:spacing w:before="6"/>
        <w:rPr>
          <w:b/>
          <w:sz w:val="15"/>
        </w:rPr>
      </w:pPr>
    </w:p>
    <w:p w14:paraId="7E72D017" w14:textId="77777777" w:rsidR="00DB7613" w:rsidRDefault="0080211C">
      <w:pPr>
        <w:spacing w:before="92"/>
        <w:ind w:left="819" w:right="278"/>
        <w:jc w:val="both"/>
      </w:pPr>
      <w:r>
        <w:t xml:space="preserve">Abordnungen fallen unter den </w:t>
      </w:r>
      <w:r>
        <w:rPr>
          <w:b/>
        </w:rPr>
        <w:t>Beschluss C(2008)</w:t>
      </w:r>
      <w:r>
        <w:rPr>
          <w:b/>
          <w:spacing w:val="-3"/>
        </w:rPr>
        <w:t xml:space="preserve"> </w:t>
      </w:r>
      <w:r>
        <w:rPr>
          <w:b/>
        </w:rPr>
        <w:t xml:space="preserve">6866 der Kommission vom 12.11.2008 </w:t>
      </w:r>
      <w:r>
        <w:t>übe</w:t>
      </w:r>
      <w:r>
        <w:t>r die Regelung für zur Kommission abgeordnete oder sich zu Zwecken der beruflichen Weiterbildung bei der Kommission aufhaltende nationale Sachverständige (ANS-Beschluss).</w:t>
      </w:r>
    </w:p>
    <w:p w14:paraId="15A60662" w14:textId="77777777" w:rsidR="00DB7613" w:rsidRDefault="0080211C">
      <w:pPr>
        <w:pStyle w:val="BodyText"/>
        <w:ind w:left="819" w:right="279"/>
        <w:jc w:val="both"/>
      </w:pPr>
      <w:r>
        <w:t>Der ANS bleibt während der gesamten Dauer der Abordnung bei seinem Arbeitgeber angest</w:t>
      </w:r>
      <w:r>
        <w:t>ellt und erhält seine Bezüge von diesem. Zudem ist er während der Abordnung auch weiterhin seinem nationalen Sozialversicherungssystem angeschlossen.</w:t>
      </w:r>
    </w:p>
    <w:p w14:paraId="1D4F932E" w14:textId="77777777" w:rsidR="00DB7613" w:rsidRDefault="00DB7613">
      <w:pPr>
        <w:pStyle w:val="BodyText"/>
        <w:spacing w:before="9"/>
        <w:rPr>
          <w:sz w:val="21"/>
        </w:rPr>
      </w:pPr>
    </w:p>
    <w:p w14:paraId="10CDFA52" w14:textId="77777777" w:rsidR="00DB7613" w:rsidRDefault="0080211C">
      <w:pPr>
        <w:pStyle w:val="BodyText"/>
        <w:ind w:left="819" w:right="281"/>
        <w:jc w:val="both"/>
      </w:pPr>
      <w:r>
        <w:t>Mit Ausnahme der unentgeltlich abgeordneten Sachverständigen können den ANS, die die Bedingungen nach Art</w:t>
      </w:r>
      <w:r>
        <w:t>ikel 17 des ANS-Beschlusses erfüllen, Tagegelder gezahlt werden.</w:t>
      </w:r>
    </w:p>
    <w:p w14:paraId="4908CE84" w14:textId="77777777" w:rsidR="00DB7613" w:rsidRDefault="0080211C">
      <w:pPr>
        <w:pStyle w:val="BodyText"/>
        <w:spacing w:before="1"/>
        <w:ind w:left="819" w:right="278"/>
        <w:jc w:val="both"/>
      </w:pPr>
      <w:r>
        <w:t>Während der Abordnung unterliegen die ANS den in den Artikeln</w:t>
      </w:r>
      <w:r>
        <w:rPr>
          <w:spacing w:val="-3"/>
        </w:rPr>
        <w:t xml:space="preserve"> </w:t>
      </w:r>
      <w:r>
        <w:t>6 und</w:t>
      </w:r>
      <w:r>
        <w:rPr>
          <w:spacing w:val="-1"/>
        </w:rPr>
        <w:t xml:space="preserve"> </w:t>
      </w:r>
      <w:r>
        <w:t xml:space="preserve">7 des ANS-Beschlusses vorgesehenen Verpflichtungen zur Vertraulichkeit, zur Loyalität und zum Nichtbestehen von </w:t>
      </w:r>
      <w:r>
        <w:rPr>
          <w:spacing w:val="-2"/>
        </w:rPr>
        <w:t>Interessenk</w:t>
      </w:r>
      <w:r>
        <w:rPr>
          <w:spacing w:val="-2"/>
        </w:rPr>
        <w:t>onflikten.</w:t>
      </w:r>
    </w:p>
    <w:p w14:paraId="71E776AA" w14:textId="77777777" w:rsidR="00DB7613" w:rsidRDefault="00DB7613">
      <w:pPr>
        <w:pStyle w:val="BodyText"/>
      </w:pPr>
    </w:p>
    <w:p w14:paraId="57C05A5B" w14:textId="77777777" w:rsidR="00DB7613" w:rsidRDefault="0080211C">
      <w:pPr>
        <w:pStyle w:val="BodyText"/>
        <w:spacing w:before="1"/>
        <w:ind w:left="816"/>
        <w:jc w:val="both"/>
      </w:pPr>
      <w:r>
        <w:t>Bei</w:t>
      </w:r>
      <w:r>
        <w:rPr>
          <w:spacing w:val="-6"/>
        </w:rPr>
        <w:t xml:space="preserve"> </w:t>
      </w:r>
      <w:r>
        <w:t>unvollständigen</w:t>
      </w:r>
      <w:r>
        <w:rPr>
          <w:spacing w:val="-5"/>
        </w:rPr>
        <w:t xml:space="preserve"> </w:t>
      </w:r>
      <w:r>
        <w:t>oder</w:t>
      </w:r>
      <w:r>
        <w:rPr>
          <w:spacing w:val="-4"/>
        </w:rPr>
        <w:t xml:space="preserve"> </w:t>
      </w:r>
      <w:r>
        <w:t>falschen</w:t>
      </w:r>
      <w:r>
        <w:rPr>
          <w:spacing w:val="-3"/>
        </w:rPr>
        <w:t xml:space="preserve"> </w:t>
      </w:r>
      <w:r>
        <w:t>Angaben</w:t>
      </w:r>
      <w:r>
        <w:rPr>
          <w:spacing w:val="-4"/>
        </w:rPr>
        <w:t xml:space="preserve"> </w:t>
      </w:r>
      <w:r>
        <w:t>kann</w:t>
      </w:r>
      <w:r>
        <w:rPr>
          <w:spacing w:val="-3"/>
        </w:rPr>
        <w:t xml:space="preserve"> </w:t>
      </w:r>
      <w:r>
        <w:t>die</w:t>
      </w:r>
      <w:r>
        <w:rPr>
          <w:spacing w:val="-2"/>
        </w:rPr>
        <w:t xml:space="preserve"> </w:t>
      </w:r>
      <w:r>
        <w:t>Bewerbung</w:t>
      </w:r>
      <w:r>
        <w:rPr>
          <w:spacing w:val="-5"/>
        </w:rPr>
        <w:t xml:space="preserve"> </w:t>
      </w:r>
      <w:r>
        <w:t>abgelehnt</w:t>
      </w:r>
      <w:r>
        <w:rPr>
          <w:spacing w:val="-3"/>
        </w:rPr>
        <w:t xml:space="preserve"> </w:t>
      </w:r>
      <w:r>
        <w:rPr>
          <w:spacing w:val="-2"/>
        </w:rPr>
        <w:t>werden.</w:t>
      </w:r>
    </w:p>
    <w:p w14:paraId="095745FB" w14:textId="77777777" w:rsidR="00DB7613" w:rsidRDefault="00DB7613">
      <w:pPr>
        <w:pStyle w:val="BodyText"/>
      </w:pPr>
    </w:p>
    <w:p w14:paraId="74245764" w14:textId="77777777" w:rsidR="00DB7613" w:rsidRDefault="0080211C">
      <w:pPr>
        <w:pStyle w:val="BodyText"/>
        <w:ind w:left="819" w:right="266"/>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(EU-Euratom) 2015/444, O.J. L 72, 17.03.2015, p.53).</w:t>
      </w:r>
      <w:r>
        <w:rPr>
          <w:spacing w:val="40"/>
        </w:rPr>
        <w:t xml:space="preserve"> </w:t>
      </w:r>
      <w:r>
        <w:t xml:space="preserve">Der ausgewählte Bewerber ist verpflichtet, das Überprüfungsverfahren vor der </w:t>
      </w:r>
      <w:r>
        <w:t>Abordnung einzuleiten.</w:t>
      </w:r>
    </w:p>
    <w:p w14:paraId="313993C9" w14:textId="77777777" w:rsidR="00DB7613" w:rsidRDefault="00DB7613">
      <w:pPr>
        <w:jc w:val="both"/>
        <w:sectPr w:rsidR="00DB7613">
          <w:pgSz w:w="11910" w:h="16840"/>
          <w:pgMar w:top="1040" w:right="740" w:bottom="880" w:left="460" w:header="0" w:footer="692" w:gutter="0"/>
          <w:cols w:space="720"/>
        </w:sectPr>
      </w:pPr>
    </w:p>
    <w:p w14:paraId="08E7549F" w14:textId="77777777" w:rsidR="00DB7613" w:rsidRDefault="0080211C">
      <w:pPr>
        <w:pStyle w:val="ListParagraph"/>
        <w:numPr>
          <w:ilvl w:val="0"/>
          <w:numId w:val="6"/>
        </w:numPr>
        <w:tabs>
          <w:tab w:val="left" w:pos="819"/>
          <w:tab w:val="left" w:pos="820"/>
        </w:tabs>
        <w:spacing w:before="73"/>
        <w:ind w:hanging="429"/>
        <w:rPr>
          <w:b/>
          <w:sz w:val="24"/>
        </w:rPr>
      </w:pPr>
      <w:r>
        <w:rPr>
          <w:b/>
          <w:sz w:val="24"/>
          <w:u w:val="single"/>
        </w:rPr>
        <w:lastRenderedPageBreak/>
        <w:t>Verarbeitung</w:t>
      </w:r>
      <w:r>
        <w:rPr>
          <w:b/>
          <w:spacing w:val="-2"/>
          <w:sz w:val="24"/>
          <w:u w:val="single"/>
        </w:rPr>
        <w:t xml:space="preserve"> </w:t>
      </w:r>
      <w:r>
        <w:rPr>
          <w:b/>
          <w:sz w:val="24"/>
          <w:u w:val="single"/>
        </w:rPr>
        <w:t>personenbezogener</w:t>
      </w:r>
      <w:r>
        <w:rPr>
          <w:b/>
          <w:spacing w:val="-2"/>
          <w:sz w:val="24"/>
          <w:u w:val="single"/>
        </w:rPr>
        <w:t xml:space="preserve"> </w:t>
      </w:r>
      <w:r>
        <w:rPr>
          <w:b/>
          <w:spacing w:val="-4"/>
          <w:sz w:val="24"/>
          <w:u w:val="single"/>
        </w:rPr>
        <w:t>Daten</w:t>
      </w:r>
    </w:p>
    <w:p w14:paraId="2DA61FFE" w14:textId="77777777" w:rsidR="00DB7613" w:rsidRDefault="00DB7613">
      <w:pPr>
        <w:pStyle w:val="BodyText"/>
        <w:spacing w:before="7"/>
        <w:rPr>
          <w:b/>
          <w:sz w:val="15"/>
        </w:rPr>
      </w:pPr>
    </w:p>
    <w:p w14:paraId="59263102" w14:textId="77777777" w:rsidR="00DB7613" w:rsidRDefault="0080211C">
      <w:pPr>
        <w:pStyle w:val="BodyText"/>
        <w:spacing w:before="91"/>
        <w:ind w:left="819" w:right="103"/>
        <w:jc w:val="both"/>
      </w:pPr>
      <w:r>
        <w:t>Bei der Durchführung des Auswahlverfahrens, der Abordnung und des Endes der Abordnung der ANS verarbeiten die zuständigen Dienststellen der GD HR, des PMO, der GD BUDG und der von dieser Ausschreibung betroffenen GD personenbezogene Daten der ANS unter der</w:t>
      </w:r>
      <w:r>
        <w:t xml:space="preserve"> Verantwortung des Leiters des Referats GD HR.B.1. Diese Datenverarbeitung erfolgt auf der Grundlage des ANS-Beschlusses der Kommission und unterliegt der Verordnung (EU) Nr. 2018/1725.</w:t>
      </w:r>
    </w:p>
    <w:p w14:paraId="2932FC7C" w14:textId="77777777" w:rsidR="00DB7613" w:rsidRDefault="0080211C">
      <w:pPr>
        <w:pStyle w:val="BodyText"/>
        <w:spacing w:before="3"/>
        <w:ind w:left="819" w:right="280"/>
        <w:jc w:val="both"/>
      </w:pPr>
      <w:r>
        <w:t>Die Daten der ANS werden</w:t>
      </w:r>
      <w:r>
        <w:rPr>
          <w:spacing w:val="-1"/>
        </w:rPr>
        <w:t xml:space="preserve"> </w:t>
      </w:r>
      <w:r>
        <w:t>für die Dauer von 7 Jahren</w:t>
      </w:r>
      <w:r>
        <w:rPr>
          <w:spacing w:val="-3"/>
        </w:rPr>
        <w:t xml:space="preserve"> </w:t>
      </w:r>
      <w:r>
        <w:t>ab dem</w:t>
      </w:r>
      <w:r>
        <w:rPr>
          <w:spacing w:val="-3"/>
        </w:rPr>
        <w:t xml:space="preserve"> </w:t>
      </w:r>
      <w:r>
        <w:t>Ende der Ab</w:t>
      </w:r>
      <w:r>
        <w:t>ordnung</w:t>
      </w:r>
      <w:r>
        <w:rPr>
          <w:spacing w:val="-1"/>
        </w:rPr>
        <w:t xml:space="preserve"> </w:t>
      </w:r>
      <w:r>
        <w:t>aufbewahrt (zwei</w:t>
      </w:r>
      <w:r>
        <w:rPr>
          <w:spacing w:val="-1"/>
        </w:rPr>
        <w:t xml:space="preserve"> </w:t>
      </w:r>
      <w:r>
        <w:t>Jahre bei ANS, deren Bewerbung zurückgezogen wurde).</w:t>
      </w:r>
    </w:p>
    <w:p w14:paraId="240CE3F6" w14:textId="77777777" w:rsidR="00DB7613" w:rsidRDefault="0080211C">
      <w:pPr>
        <w:pStyle w:val="BodyText"/>
        <w:ind w:left="819" w:right="106"/>
        <w:jc w:val="both"/>
      </w:pPr>
      <w:r>
        <w:t>Gemäß Kapitel III (Artikel 14-25) der Verordnung (EU) 2018/1725 haben Sie als „betroffene Person“ bestimmte</w:t>
      </w:r>
      <w:r>
        <w:rPr>
          <w:spacing w:val="-2"/>
        </w:rPr>
        <w:t xml:space="preserve"> </w:t>
      </w:r>
      <w:r>
        <w:t>Rechte,</w:t>
      </w:r>
      <w:r>
        <w:rPr>
          <w:spacing w:val="-3"/>
        </w:rPr>
        <w:t xml:space="preserve"> </w:t>
      </w:r>
      <w:r>
        <w:t>insbesondere</w:t>
      </w:r>
      <w:r>
        <w:rPr>
          <w:spacing w:val="-5"/>
        </w:rPr>
        <w:t xml:space="preserve"> </w:t>
      </w:r>
      <w:r>
        <w:t>das</w:t>
      </w:r>
      <w:r>
        <w:rPr>
          <w:spacing w:val="-3"/>
        </w:rPr>
        <w:t xml:space="preserve"> </w:t>
      </w:r>
      <w:r>
        <w:t>Recht</w:t>
      </w:r>
      <w:r>
        <w:rPr>
          <w:spacing w:val="-5"/>
        </w:rPr>
        <w:t xml:space="preserve"> </w:t>
      </w:r>
      <w:r>
        <w:t>auf</w:t>
      </w:r>
      <w:r>
        <w:rPr>
          <w:spacing w:val="-2"/>
        </w:rPr>
        <w:t xml:space="preserve"> </w:t>
      </w:r>
      <w:r>
        <w:t>Zugang</w:t>
      </w:r>
      <w:r>
        <w:rPr>
          <w:spacing w:val="-3"/>
        </w:rPr>
        <w:t xml:space="preserve"> </w:t>
      </w:r>
      <w:r>
        <w:t>zu</w:t>
      </w:r>
      <w:r>
        <w:rPr>
          <w:spacing w:val="-1"/>
        </w:rPr>
        <w:t xml:space="preserve"> </w:t>
      </w:r>
      <w:r>
        <w:t>Ihren</w:t>
      </w:r>
      <w:r>
        <w:rPr>
          <w:spacing w:val="-3"/>
        </w:rPr>
        <w:t xml:space="preserve"> </w:t>
      </w:r>
      <w:r>
        <w:t>personenbezogenen</w:t>
      </w:r>
      <w:r>
        <w:rPr>
          <w:spacing w:val="-3"/>
        </w:rPr>
        <w:t xml:space="preserve"> </w:t>
      </w:r>
      <w:r>
        <w:t>D</w:t>
      </w:r>
      <w:r>
        <w:t>aten,</w:t>
      </w:r>
      <w:r>
        <w:rPr>
          <w:spacing w:val="-3"/>
        </w:rPr>
        <w:t xml:space="preserve"> </w:t>
      </w:r>
      <w:r>
        <w:t>deren</w:t>
      </w:r>
      <w:r>
        <w:rPr>
          <w:spacing w:val="-3"/>
        </w:rPr>
        <w:t xml:space="preserve"> </w:t>
      </w:r>
      <w:r>
        <w:t>Berichtigung oder Löschung und das Recht, die Verarbeitung Ihrer persönliche Daten zu beschränken. Gegebenenfalls</w:t>
      </w:r>
      <w:r>
        <w:rPr>
          <w:spacing w:val="40"/>
        </w:rPr>
        <w:t xml:space="preserve"> </w:t>
      </w:r>
      <w:r>
        <w:t>haben Sie auch das Recht, der Verarbeitung oder dem Datenübertragungsrecht zu widersprechen.</w:t>
      </w:r>
    </w:p>
    <w:p w14:paraId="1D920FB6" w14:textId="77777777" w:rsidR="00DB7613" w:rsidRDefault="0080211C">
      <w:pPr>
        <w:pStyle w:val="BodyText"/>
        <w:ind w:left="819" w:right="103"/>
        <w:jc w:val="both"/>
      </w:pPr>
      <w:r>
        <w:t>Sie können Ihre Rechte ausüben, indem</w:t>
      </w:r>
      <w:r>
        <w:t xml:space="preserve"> Sie sich an den Data Controller oder im Falle eines Konflikts an den Datenschutzbeauftragten wenden. Bei Bedarf können Sie sich auch an den Europäischen Datenschutzbeauftragten wenden. Ihre Kontaktinformationen sind unten angegeben.</w:t>
      </w:r>
    </w:p>
    <w:p w14:paraId="07718D91" w14:textId="77777777" w:rsidR="00DB7613" w:rsidRDefault="00DB7613">
      <w:pPr>
        <w:pStyle w:val="BodyText"/>
        <w:spacing w:before="4"/>
      </w:pPr>
    </w:p>
    <w:p w14:paraId="2A509BFD" w14:textId="77777777" w:rsidR="00DB7613" w:rsidRDefault="0080211C">
      <w:pPr>
        <w:pStyle w:val="Heading1"/>
        <w:spacing w:line="250" w:lineRule="exact"/>
        <w:ind w:left="819" w:firstLine="0"/>
      </w:pPr>
      <w:r>
        <w:rPr>
          <w:spacing w:val="-2"/>
          <w:u w:val="single"/>
        </w:rPr>
        <w:t>Kontaktinformationen</w:t>
      </w:r>
    </w:p>
    <w:p w14:paraId="717D081B" w14:textId="77777777" w:rsidR="00DB7613" w:rsidRDefault="0080211C">
      <w:pPr>
        <w:pStyle w:val="ListParagraph"/>
        <w:numPr>
          <w:ilvl w:val="0"/>
          <w:numId w:val="1"/>
        </w:numPr>
        <w:tabs>
          <w:tab w:val="left" w:pos="1099"/>
          <w:tab w:val="left" w:pos="1100"/>
        </w:tabs>
        <w:spacing w:line="250" w:lineRule="exact"/>
        <w:rPr>
          <w:b/>
        </w:rPr>
      </w:pPr>
      <w:r>
        <w:rPr>
          <w:b/>
        </w:rPr>
        <w:t xml:space="preserve">Data </w:t>
      </w:r>
      <w:r>
        <w:rPr>
          <w:b/>
          <w:spacing w:val="-2"/>
        </w:rPr>
        <w:t>Controller</w:t>
      </w:r>
    </w:p>
    <w:p w14:paraId="64ACF3C9" w14:textId="77777777" w:rsidR="00DB7613" w:rsidRDefault="0080211C">
      <w:pPr>
        <w:pStyle w:val="BodyText"/>
        <w:ind w:left="1100" w:right="103"/>
        <w:jc w:val="both"/>
      </w:pPr>
      <w:r>
        <w:t>Wenn Sie Ihre Rechte gemäß der Verordnung (EU) 2018/1725 geltend machen möchten, Kommentare, Fragen oder Bedenken haben, oder eine Beschwerde bezüglich der Erhebung und Verwendung Ihrer personenbezogenen Daten einreichen möchten, können Sie sich gerne dire</w:t>
      </w:r>
      <w:r>
        <w:t xml:space="preserve">kt an den für die Datenverarbeitung Verantwortlichen, HR.B.1, </w:t>
      </w:r>
      <w:hyperlink r:id="rId16">
        <w:r>
          <w:rPr>
            <w:color w:val="0000FF"/>
            <w:u w:val="single" w:color="0000FF"/>
          </w:rPr>
          <w:t>HR-B1-DPR@ec.europa.eu</w:t>
        </w:r>
      </w:hyperlink>
      <w:r>
        <w:rPr>
          <w:color w:val="0000FF"/>
        </w:rPr>
        <w:t xml:space="preserve"> </w:t>
      </w:r>
      <w:r>
        <w:t>wenden.</w:t>
      </w:r>
    </w:p>
    <w:p w14:paraId="5A114926" w14:textId="77777777" w:rsidR="00DB7613" w:rsidRDefault="00DB7613">
      <w:pPr>
        <w:pStyle w:val="BodyText"/>
        <w:rPr>
          <w:sz w:val="14"/>
        </w:rPr>
      </w:pPr>
    </w:p>
    <w:p w14:paraId="64301C8E" w14:textId="77777777" w:rsidR="00DB7613" w:rsidRDefault="0080211C">
      <w:pPr>
        <w:pStyle w:val="Heading1"/>
        <w:numPr>
          <w:ilvl w:val="0"/>
          <w:numId w:val="1"/>
        </w:numPr>
        <w:tabs>
          <w:tab w:val="left" w:pos="1100"/>
        </w:tabs>
        <w:spacing w:before="92"/>
        <w:jc w:val="both"/>
      </w:pPr>
      <w:r>
        <w:t>Datenschutzbeauftragte</w:t>
      </w:r>
      <w:r>
        <w:rPr>
          <w:spacing w:val="-8"/>
        </w:rPr>
        <w:t xml:space="preserve"> </w:t>
      </w:r>
      <w:r>
        <w:t>(DPO)</w:t>
      </w:r>
      <w:r>
        <w:rPr>
          <w:spacing w:val="-6"/>
        </w:rPr>
        <w:t xml:space="preserve"> </w:t>
      </w:r>
      <w:r>
        <w:t>der</w:t>
      </w:r>
      <w:r>
        <w:rPr>
          <w:spacing w:val="-5"/>
        </w:rPr>
        <w:t xml:space="preserve"> </w:t>
      </w:r>
      <w:r>
        <w:rPr>
          <w:spacing w:val="-2"/>
        </w:rPr>
        <w:t>Kommission</w:t>
      </w:r>
    </w:p>
    <w:p w14:paraId="24C4670D" w14:textId="77777777" w:rsidR="00DB7613" w:rsidRDefault="0080211C">
      <w:pPr>
        <w:pStyle w:val="BodyText"/>
        <w:spacing w:before="1"/>
        <w:ind w:left="1100" w:right="106"/>
        <w:jc w:val="both"/>
      </w:pPr>
      <w:r>
        <w:t>Sie können sich an den Datenschutzbeauftragten (</w:t>
      </w:r>
      <w:r>
        <w:rPr>
          <w:color w:val="0000FF"/>
          <w:u w:val="single" w:color="0000FF"/>
        </w:rPr>
        <w:t>DATA-PROTECTION-OFFICER@ec.europa.eu</w:t>
      </w:r>
      <w:r>
        <w:t>) wenden, wenn Sie Fragen zur Verarbeitung Ihrer personenbezogenen Daten gemäß der Verordnung (EU) 2018/1725 haben.</w:t>
      </w:r>
    </w:p>
    <w:p w14:paraId="1DB2340B" w14:textId="77777777" w:rsidR="00DB7613" w:rsidRDefault="00DB7613">
      <w:pPr>
        <w:pStyle w:val="BodyText"/>
        <w:spacing w:before="10"/>
        <w:rPr>
          <w:sz w:val="21"/>
        </w:rPr>
      </w:pPr>
    </w:p>
    <w:p w14:paraId="58834710" w14:textId="77777777" w:rsidR="00DB7613" w:rsidRDefault="0080211C">
      <w:pPr>
        <w:pStyle w:val="Heading1"/>
        <w:numPr>
          <w:ilvl w:val="0"/>
          <w:numId w:val="1"/>
        </w:numPr>
        <w:tabs>
          <w:tab w:val="left" w:pos="1100"/>
        </w:tabs>
        <w:jc w:val="both"/>
      </w:pPr>
      <w:r>
        <w:t>Europäische</w:t>
      </w:r>
      <w:r>
        <w:rPr>
          <w:spacing w:val="-10"/>
        </w:rPr>
        <w:t xml:space="preserve"> </w:t>
      </w:r>
      <w:r>
        <w:t>Datenschutzbeauftragte</w:t>
      </w:r>
      <w:r>
        <w:rPr>
          <w:spacing w:val="-10"/>
        </w:rPr>
        <w:t xml:space="preserve"> </w:t>
      </w:r>
      <w:r>
        <w:rPr>
          <w:spacing w:val="-2"/>
        </w:rPr>
        <w:t>(EDSB)</w:t>
      </w:r>
    </w:p>
    <w:p w14:paraId="3F4A0C13" w14:textId="77777777" w:rsidR="00DB7613" w:rsidRDefault="0080211C">
      <w:pPr>
        <w:pStyle w:val="BodyText"/>
        <w:spacing w:before="2"/>
        <w:ind w:left="1100" w:right="104"/>
        <w:jc w:val="both"/>
      </w:pPr>
      <w:r>
        <w:t>Sie haben das</w:t>
      </w:r>
      <w:r>
        <w:t xml:space="preserve"> Recht, sich an den Europäischen Datenschutzbeauftragten (</w:t>
      </w:r>
      <w:r>
        <w:rPr>
          <w:color w:val="0000FF"/>
          <w:u w:val="single" w:color="0000FF"/>
        </w:rPr>
        <w:t>edps@edps.europa.eu</w:t>
      </w:r>
      <w:r>
        <w:t>) zu</w:t>
      </w:r>
      <w:r>
        <w:rPr>
          <w:spacing w:val="80"/>
        </w:rPr>
        <w:t xml:space="preserve"> </w:t>
      </w:r>
      <w:r>
        <w:t>wenden (d.h. Sie können eine Beschwerde einlegen), wenn Sie der Ansicht sind, dass Ihre Rechte gemäß der Verordnung (EU) 2018/1725 bei der Verarbeitung Ihrer persönlichen Dat</w:t>
      </w:r>
      <w:r>
        <w:t>en durch den Data Controller verletzt wurden.</w:t>
      </w:r>
    </w:p>
    <w:p w14:paraId="16BE17E3" w14:textId="77777777" w:rsidR="00DB7613" w:rsidRDefault="00DB7613">
      <w:pPr>
        <w:pStyle w:val="BodyText"/>
        <w:spacing w:before="11"/>
        <w:rPr>
          <w:sz w:val="21"/>
        </w:rPr>
      </w:pPr>
    </w:p>
    <w:p w14:paraId="15A710EC" w14:textId="77777777" w:rsidR="00DB7613" w:rsidRDefault="0080211C">
      <w:pPr>
        <w:pStyle w:val="BodyText"/>
        <w:ind w:left="1100" w:right="106"/>
        <w:jc w:val="both"/>
      </w:pPr>
      <w:r>
        <w:t>Hinweis für Bewerber aus Drittländern: Ihre personenbezogenen Daten können für erforderliche Überprüfungen herangezogen werden.</w:t>
      </w:r>
    </w:p>
    <w:sectPr w:rsidR="00DB7613">
      <w:pgSz w:w="11910" w:h="16840"/>
      <w:pgMar w:top="1040" w:right="740" w:bottom="880" w:left="460" w:header="0"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0FB63" w14:textId="77777777" w:rsidR="00000000" w:rsidRDefault="0080211C">
      <w:r>
        <w:separator/>
      </w:r>
    </w:p>
  </w:endnote>
  <w:endnote w:type="continuationSeparator" w:id="0">
    <w:p w14:paraId="7F595FD1" w14:textId="77777777" w:rsidR="00000000" w:rsidRDefault="00802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0AF26" w14:textId="77777777" w:rsidR="0080211C" w:rsidRDefault="008021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DF719" w14:textId="77777777" w:rsidR="00DB7613" w:rsidRDefault="0080211C">
    <w:pPr>
      <w:pStyle w:val="BodyText"/>
      <w:spacing w:line="14" w:lineRule="auto"/>
      <w:rPr>
        <w:sz w:val="20"/>
      </w:rPr>
    </w:pPr>
    <w:r>
      <w:pict w14:anchorId="00C46F73">
        <v:shapetype id="_x0000_t202" coordsize="21600,21600" o:spt="202" path="m,l,21600r21600,l21600,xe">
          <v:stroke joinstyle="miter"/>
          <v:path gradientshapeok="t" o:connecttype="rect"/>
        </v:shapetype>
        <v:shape id="docshape1" o:spid="_x0000_s2049" type="#_x0000_t202" style="position:absolute;margin-left:497.85pt;margin-top:796.3pt;width:56.1pt;height:10.95pt;z-index:-251658752;mso-position-horizontal-relative:page;mso-position-vertical-relative:page" filled="f" stroked="f">
          <v:textbox inset="0,0,0,0">
            <w:txbxContent>
              <w:p w14:paraId="0AF43B37" w14:textId="77777777" w:rsidR="00DB7613" w:rsidRDefault="0080211C">
                <w:pPr>
                  <w:spacing w:before="14"/>
                  <w:ind w:left="20"/>
                  <w:rPr>
                    <w:sz w:val="16"/>
                  </w:rPr>
                </w:pPr>
                <w:r>
                  <w:rPr>
                    <w:sz w:val="16"/>
                  </w:rPr>
                  <w:t>Version</w:t>
                </w:r>
                <w:r>
                  <w:rPr>
                    <w:spacing w:val="-7"/>
                    <w:sz w:val="16"/>
                  </w:rPr>
                  <w:t xml:space="preserve"> </w:t>
                </w:r>
                <w:r>
                  <w:rPr>
                    <w:sz w:val="16"/>
                  </w:rPr>
                  <w:t>01-</w:t>
                </w:r>
                <w:r>
                  <w:rPr>
                    <w:spacing w:val="-4"/>
                    <w:sz w:val="16"/>
                  </w:rPr>
                  <w:t>2022</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1903B" w14:textId="77777777" w:rsidR="0080211C" w:rsidRDefault="008021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66BA6" w14:textId="77777777" w:rsidR="00000000" w:rsidRDefault="0080211C">
      <w:r>
        <w:separator/>
      </w:r>
    </w:p>
  </w:footnote>
  <w:footnote w:type="continuationSeparator" w:id="0">
    <w:p w14:paraId="5655DD40" w14:textId="77777777" w:rsidR="00000000" w:rsidRDefault="00802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21FE" w14:textId="77777777" w:rsidR="0080211C" w:rsidRDefault="008021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2778E" w14:textId="77777777" w:rsidR="0080211C" w:rsidRDefault="008021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23DA" w14:textId="77777777" w:rsidR="0080211C" w:rsidRDefault="008021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947CD"/>
    <w:multiLevelType w:val="hybridMultilevel"/>
    <w:tmpl w:val="8D8E25DE"/>
    <w:lvl w:ilvl="0" w:tplc="2D58F870">
      <w:start w:val="1"/>
      <w:numFmt w:val="decimal"/>
      <w:lvlText w:val="%1."/>
      <w:lvlJc w:val="left"/>
      <w:pPr>
        <w:ind w:left="819" w:hanging="428"/>
        <w:jc w:val="left"/>
      </w:pPr>
      <w:rPr>
        <w:rFonts w:ascii="Times New Roman" w:eastAsia="Times New Roman" w:hAnsi="Times New Roman" w:cs="Times New Roman" w:hint="default"/>
        <w:b/>
        <w:bCs/>
        <w:i w:val="0"/>
        <w:iCs w:val="0"/>
        <w:w w:val="100"/>
        <w:sz w:val="24"/>
        <w:szCs w:val="24"/>
        <w:lang w:val="de-DE" w:eastAsia="en-US" w:bidi="ar-SA"/>
      </w:rPr>
    </w:lvl>
    <w:lvl w:ilvl="1" w:tplc="9C525BDE">
      <w:start w:val="1"/>
      <w:numFmt w:val="lowerRoman"/>
      <w:lvlText w:val="%2."/>
      <w:lvlJc w:val="left"/>
      <w:pPr>
        <w:ind w:left="1244" w:hanging="426"/>
        <w:jc w:val="left"/>
      </w:pPr>
      <w:rPr>
        <w:rFonts w:ascii="Times New Roman" w:eastAsia="Times New Roman" w:hAnsi="Times New Roman" w:cs="Times New Roman" w:hint="default"/>
        <w:b w:val="0"/>
        <w:bCs w:val="0"/>
        <w:i w:val="0"/>
        <w:iCs w:val="0"/>
        <w:w w:val="100"/>
        <w:sz w:val="22"/>
        <w:szCs w:val="22"/>
        <w:lang w:val="de-DE" w:eastAsia="en-US" w:bidi="ar-SA"/>
      </w:rPr>
    </w:lvl>
    <w:lvl w:ilvl="2" w:tplc="AC0E1834">
      <w:numFmt w:val="bullet"/>
      <w:lvlText w:val="•"/>
      <w:lvlJc w:val="left"/>
      <w:pPr>
        <w:ind w:left="2291" w:hanging="426"/>
      </w:pPr>
      <w:rPr>
        <w:rFonts w:hint="default"/>
        <w:lang w:val="de-DE" w:eastAsia="en-US" w:bidi="ar-SA"/>
      </w:rPr>
    </w:lvl>
    <w:lvl w:ilvl="3" w:tplc="C540E2B2">
      <w:numFmt w:val="bullet"/>
      <w:lvlText w:val="•"/>
      <w:lvlJc w:val="left"/>
      <w:pPr>
        <w:ind w:left="3343" w:hanging="426"/>
      </w:pPr>
      <w:rPr>
        <w:rFonts w:hint="default"/>
        <w:lang w:val="de-DE" w:eastAsia="en-US" w:bidi="ar-SA"/>
      </w:rPr>
    </w:lvl>
    <w:lvl w:ilvl="4" w:tplc="6A0241CC">
      <w:numFmt w:val="bullet"/>
      <w:lvlText w:val="•"/>
      <w:lvlJc w:val="left"/>
      <w:pPr>
        <w:ind w:left="4395" w:hanging="426"/>
      </w:pPr>
      <w:rPr>
        <w:rFonts w:hint="default"/>
        <w:lang w:val="de-DE" w:eastAsia="en-US" w:bidi="ar-SA"/>
      </w:rPr>
    </w:lvl>
    <w:lvl w:ilvl="5" w:tplc="7A42B6A2">
      <w:numFmt w:val="bullet"/>
      <w:lvlText w:val="•"/>
      <w:lvlJc w:val="left"/>
      <w:pPr>
        <w:ind w:left="5447" w:hanging="426"/>
      </w:pPr>
      <w:rPr>
        <w:rFonts w:hint="default"/>
        <w:lang w:val="de-DE" w:eastAsia="en-US" w:bidi="ar-SA"/>
      </w:rPr>
    </w:lvl>
    <w:lvl w:ilvl="6" w:tplc="F940BAA8">
      <w:numFmt w:val="bullet"/>
      <w:lvlText w:val="•"/>
      <w:lvlJc w:val="left"/>
      <w:pPr>
        <w:ind w:left="6499" w:hanging="426"/>
      </w:pPr>
      <w:rPr>
        <w:rFonts w:hint="default"/>
        <w:lang w:val="de-DE" w:eastAsia="en-US" w:bidi="ar-SA"/>
      </w:rPr>
    </w:lvl>
    <w:lvl w:ilvl="7" w:tplc="433A9E68">
      <w:numFmt w:val="bullet"/>
      <w:lvlText w:val="•"/>
      <w:lvlJc w:val="left"/>
      <w:pPr>
        <w:ind w:left="7550" w:hanging="426"/>
      </w:pPr>
      <w:rPr>
        <w:rFonts w:hint="default"/>
        <w:lang w:val="de-DE" w:eastAsia="en-US" w:bidi="ar-SA"/>
      </w:rPr>
    </w:lvl>
    <w:lvl w:ilvl="8" w:tplc="76D442B8">
      <w:numFmt w:val="bullet"/>
      <w:lvlText w:val="•"/>
      <w:lvlJc w:val="left"/>
      <w:pPr>
        <w:ind w:left="8602" w:hanging="426"/>
      </w:pPr>
      <w:rPr>
        <w:rFonts w:hint="default"/>
        <w:lang w:val="de-DE" w:eastAsia="en-US" w:bidi="ar-SA"/>
      </w:rPr>
    </w:lvl>
  </w:abstractNum>
  <w:abstractNum w:abstractNumId="1" w15:restartNumberingAfterBreak="0">
    <w:nsid w:val="1901634B"/>
    <w:multiLevelType w:val="hybridMultilevel"/>
    <w:tmpl w:val="EFE83ADC"/>
    <w:lvl w:ilvl="0" w:tplc="8272BEC8">
      <w:numFmt w:val="bullet"/>
      <w:lvlText w:val="•"/>
      <w:lvlJc w:val="left"/>
      <w:pPr>
        <w:ind w:left="1100" w:hanging="281"/>
      </w:pPr>
      <w:rPr>
        <w:rFonts w:ascii="Times New Roman" w:eastAsia="Times New Roman" w:hAnsi="Times New Roman" w:cs="Times New Roman" w:hint="default"/>
        <w:b w:val="0"/>
        <w:bCs w:val="0"/>
        <w:i w:val="0"/>
        <w:iCs w:val="0"/>
        <w:w w:val="100"/>
        <w:sz w:val="22"/>
        <w:szCs w:val="22"/>
        <w:lang w:val="de-DE" w:eastAsia="en-US" w:bidi="ar-SA"/>
      </w:rPr>
    </w:lvl>
    <w:lvl w:ilvl="1" w:tplc="A11C1F2C">
      <w:numFmt w:val="bullet"/>
      <w:lvlText w:val="•"/>
      <w:lvlJc w:val="left"/>
      <w:pPr>
        <w:ind w:left="2060" w:hanging="281"/>
      </w:pPr>
      <w:rPr>
        <w:rFonts w:hint="default"/>
        <w:lang w:val="de-DE" w:eastAsia="en-US" w:bidi="ar-SA"/>
      </w:rPr>
    </w:lvl>
    <w:lvl w:ilvl="2" w:tplc="49302FA0">
      <w:numFmt w:val="bullet"/>
      <w:lvlText w:val="•"/>
      <w:lvlJc w:val="left"/>
      <w:pPr>
        <w:ind w:left="3021" w:hanging="281"/>
      </w:pPr>
      <w:rPr>
        <w:rFonts w:hint="default"/>
        <w:lang w:val="de-DE" w:eastAsia="en-US" w:bidi="ar-SA"/>
      </w:rPr>
    </w:lvl>
    <w:lvl w:ilvl="3" w:tplc="7B54BD20">
      <w:numFmt w:val="bullet"/>
      <w:lvlText w:val="•"/>
      <w:lvlJc w:val="left"/>
      <w:pPr>
        <w:ind w:left="3981" w:hanging="281"/>
      </w:pPr>
      <w:rPr>
        <w:rFonts w:hint="default"/>
        <w:lang w:val="de-DE" w:eastAsia="en-US" w:bidi="ar-SA"/>
      </w:rPr>
    </w:lvl>
    <w:lvl w:ilvl="4" w:tplc="1F160A1A">
      <w:numFmt w:val="bullet"/>
      <w:lvlText w:val="•"/>
      <w:lvlJc w:val="left"/>
      <w:pPr>
        <w:ind w:left="4942" w:hanging="281"/>
      </w:pPr>
      <w:rPr>
        <w:rFonts w:hint="default"/>
        <w:lang w:val="de-DE" w:eastAsia="en-US" w:bidi="ar-SA"/>
      </w:rPr>
    </w:lvl>
    <w:lvl w:ilvl="5" w:tplc="EA844D80">
      <w:numFmt w:val="bullet"/>
      <w:lvlText w:val="•"/>
      <w:lvlJc w:val="left"/>
      <w:pPr>
        <w:ind w:left="5903" w:hanging="281"/>
      </w:pPr>
      <w:rPr>
        <w:rFonts w:hint="default"/>
        <w:lang w:val="de-DE" w:eastAsia="en-US" w:bidi="ar-SA"/>
      </w:rPr>
    </w:lvl>
    <w:lvl w:ilvl="6" w:tplc="C0AE79E2">
      <w:numFmt w:val="bullet"/>
      <w:lvlText w:val="•"/>
      <w:lvlJc w:val="left"/>
      <w:pPr>
        <w:ind w:left="6863" w:hanging="281"/>
      </w:pPr>
      <w:rPr>
        <w:rFonts w:hint="default"/>
        <w:lang w:val="de-DE" w:eastAsia="en-US" w:bidi="ar-SA"/>
      </w:rPr>
    </w:lvl>
    <w:lvl w:ilvl="7" w:tplc="5686B942">
      <w:numFmt w:val="bullet"/>
      <w:lvlText w:val="•"/>
      <w:lvlJc w:val="left"/>
      <w:pPr>
        <w:ind w:left="7824" w:hanging="281"/>
      </w:pPr>
      <w:rPr>
        <w:rFonts w:hint="default"/>
        <w:lang w:val="de-DE" w:eastAsia="en-US" w:bidi="ar-SA"/>
      </w:rPr>
    </w:lvl>
    <w:lvl w:ilvl="8" w:tplc="A3349B4A">
      <w:numFmt w:val="bullet"/>
      <w:lvlText w:val="•"/>
      <w:lvlJc w:val="left"/>
      <w:pPr>
        <w:ind w:left="8785" w:hanging="281"/>
      </w:pPr>
      <w:rPr>
        <w:rFonts w:hint="default"/>
        <w:lang w:val="de-DE" w:eastAsia="en-US" w:bidi="ar-SA"/>
      </w:rPr>
    </w:lvl>
  </w:abstractNum>
  <w:abstractNum w:abstractNumId="2" w15:restartNumberingAfterBreak="0">
    <w:nsid w:val="38240C01"/>
    <w:multiLevelType w:val="hybridMultilevel"/>
    <w:tmpl w:val="57EEA12E"/>
    <w:lvl w:ilvl="0" w:tplc="D5E078F8">
      <w:numFmt w:val="bullet"/>
      <w:lvlText w:val=""/>
      <w:lvlJc w:val="left"/>
      <w:pPr>
        <w:ind w:left="815" w:hanging="252"/>
      </w:pPr>
      <w:rPr>
        <w:rFonts w:ascii="Wingdings 2" w:eastAsia="Wingdings 2" w:hAnsi="Wingdings 2" w:cs="Wingdings 2" w:hint="default"/>
        <w:b w:val="0"/>
        <w:bCs w:val="0"/>
        <w:i w:val="0"/>
        <w:iCs w:val="0"/>
        <w:w w:val="100"/>
        <w:sz w:val="22"/>
        <w:szCs w:val="22"/>
        <w:lang w:val="de-DE" w:eastAsia="en-US" w:bidi="ar-SA"/>
      </w:rPr>
    </w:lvl>
    <w:lvl w:ilvl="1" w:tplc="27C89BF4">
      <w:numFmt w:val="bullet"/>
      <w:lvlText w:val="•"/>
      <w:lvlJc w:val="left"/>
      <w:pPr>
        <w:ind w:left="1732" w:hanging="252"/>
      </w:pPr>
      <w:rPr>
        <w:rFonts w:hint="default"/>
        <w:lang w:val="de-DE" w:eastAsia="en-US" w:bidi="ar-SA"/>
      </w:rPr>
    </w:lvl>
    <w:lvl w:ilvl="2" w:tplc="55E49CF2">
      <w:numFmt w:val="bullet"/>
      <w:lvlText w:val="•"/>
      <w:lvlJc w:val="left"/>
      <w:pPr>
        <w:ind w:left="2644" w:hanging="252"/>
      </w:pPr>
      <w:rPr>
        <w:rFonts w:hint="default"/>
        <w:lang w:val="de-DE" w:eastAsia="en-US" w:bidi="ar-SA"/>
      </w:rPr>
    </w:lvl>
    <w:lvl w:ilvl="3" w:tplc="6C6C05B8">
      <w:numFmt w:val="bullet"/>
      <w:lvlText w:val="•"/>
      <w:lvlJc w:val="left"/>
      <w:pPr>
        <w:ind w:left="3557" w:hanging="252"/>
      </w:pPr>
      <w:rPr>
        <w:rFonts w:hint="default"/>
        <w:lang w:val="de-DE" w:eastAsia="en-US" w:bidi="ar-SA"/>
      </w:rPr>
    </w:lvl>
    <w:lvl w:ilvl="4" w:tplc="E1A897DE">
      <w:numFmt w:val="bullet"/>
      <w:lvlText w:val="•"/>
      <w:lvlJc w:val="left"/>
      <w:pPr>
        <w:ind w:left="4469" w:hanging="252"/>
      </w:pPr>
      <w:rPr>
        <w:rFonts w:hint="default"/>
        <w:lang w:val="de-DE" w:eastAsia="en-US" w:bidi="ar-SA"/>
      </w:rPr>
    </w:lvl>
    <w:lvl w:ilvl="5" w:tplc="A31A9E02">
      <w:numFmt w:val="bullet"/>
      <w:lvlText w:val="•"/>
      <w:lvlJc w:val="left"/>
      <w:pPr>
        <w:ind w:left="5382" w:hanging="252"/>
      </w:pPr>
      <w:rPr>
        <w:rFonts w:hint="default"/>
        <w:lang w:val="de-DE" w:eastAsia="en-US" w:bidi="ar-SA"/>
      </w:rPr>
    </w:lvl>
    <w:lvl w:ilvl="6" w:tplc="3C1C924A">
      <w:numFmt w:val="bullet"/>
      <w:lvlText w:val="•"/>
      <w:lvlJc w:val="left"/>
      <w:pPr>
        <w:ind w:left="6294" w:hanging="252"/>
      </w:pPr>
      <w:rPr>
        <w:rFonts w:hint="default"/>
        <w:lang w:val="de-DE" w:eastAsia="en-US" w:bidi="ar-SA"/>
      </w:rPr>
    </w:lvl>
    <w:lvl w:ilvl="7" w:tplc="C172C5BE">
      <w:numFmt w:val="bullet"/>
      <w:lvlText w:val="•"/>
      <w:lvlJc w:val="left"/>
      <w:pPr>
        <w:ind w:left="7206" w:hanging="252"/>
      </w:pPr>
      <w:rPr>
        <w:rFonts w:hint="default"/>
        <w:lang w:val="de-DE" w:eastAsia="en-US" w:bidi="ar-SA"/>
      </w:rPr>
    </w:lvl>
    <w:lvl w:ilvl="8" w:tplc="969E9A44">
      <w:numFmt w:val="bullet"/>
      <w:lvlText w:val="•"/>
      <w:lvlJc w:val="left"/>
      <w:pPr>
        <w:ind w:left="8119" w:hanging="252"/>
      </w:pPr>
      <w:rPr>
        <w:rFonts w:hint="default"/>
        <w:lang w:val="de-DE" w:eastAsia="en-US" w:bidi="ar-SA"/>
      </w:rPr>
    </w:lvl>
  </w:abstractNum>
  <w:abstractNum w:abstractNumId="3" w15:restartNumberingAfterBreak="0">
    <w:nsid w:val="406E0532"/>
    <w:multiLevelType w:val="hybridMultilevel"/>
    <w:tmpl w:val="F42AB1D8"/>
    <w:lvl w:ilvl="0" w:tplc="2B30188A">
      <w:numFmt w:val="bullet"/>
      <w:lvlText w:val="-"/>
      <w:lvlJc w:val="left"/>
      <w:pPr>
        <w:ind w:left="1100" w:hanging="281"/>
      </w:pPr>
      <w:rPr>
        <w:rFonts w:ascii="Times New Roman" w:eastAsia="Times New Roman" w:hAnsi="Times New Roman" w:cs="Times New Roman" w:hint="default"/>
        <w:b w:val="0"/>
        <w:bCs w:val="0"/>
        <w:i w:val="0"/>
        <w:iCs w:val="0"/>
        <w:w w:val="100"/>
        <w:sz w:val="22"/>
        <w:szCs w:val="22"/>
        <w:lang w:val="de-DE" w:eastAsia="en-US" w:bidi="ar-SA"/>
      </w:rPr>
    </w:lvl>
    <w:lvl w:ilvl="1" w:tplc="A80C6C92">
      <w:numFmt w:val="bullet"/>
      <w:lvlText w:val="•"/>
      <w:lvlJc w:val="left"/>
      <w:pPr>
        <w:ind w:left="2060" w:hanging="281"/>
      </w:pPr>
      <w:rPr>
        <w:rFonts w:hint="default"/>
        <w:lang w:val="de-DE" w:eastAsia="en-US" w:bidi="ar-SA"/>
      </w:rPr>
    </w:lvl>
    <w:lvl w:ilvl="2" w:tplc="75BAEFB4">
      <w:numFmt w:val="bullet"/>
      <w:lvlText w:val="•"/>
      <w:lvlJc w:val="left"/>
      <w:pPr>
        <w:ind w:left="3021" w:hanging="281"/>
      </w:pPr>
      <w:rPr>
        <w:rFonts w:hint="default"/>
        <w:lang w:val="de-DE" w:eastAsia="en-US" w:bidi="ar-SA"/>
      </w:rPr>
    </w:lvl>
    <w:lvl w:ilvl="3" w:tplc="5914F1BA">
      <w:numFmt w:val="bullet"/>
      <w:lvlText w:val="•"/>
      <w:lvlJc w:val="left"/>
      <w:pPr>
        <w:ind w:left="3981" w:hanging="281"/>
      </w:pPr>
      <w:rPr>
        <w:rFonts w:hint="default"/>
        <w:lang w:val="de-DE" w:eastAsia="en-US" w:bidi="ar-SA"/>
      </w:rPr>
    </w:lvl>
    <w:lvl w:ilvl="4" w:tplc="08DAD482">
      <w:numFmt w:val="bullet"/>
      <w:lvlText w:val="•"/>
      <w:lvlJc w:val="left"/>
      <w:pPr>
        <w:ind w:left="4942" w:hanging="281"/>
      </w:pPr>
      <w:rPr>
        <w:rFonts w:hint="default"/>
        <w:lang w:val="de-DE" w:eastAsia="en-US" w:bidi="ar-SA"/>
      </w:rPr>
    </w:lvl>
    <w:lvl w:ilvl="5" w:tplc="2404226E">
      <w:numFmt w:val="bullet"/>
      <w:lvlText w:val="•"/>
      <w:lvlJc w:val="left"/>
      <w:pPr>
        <w:ind w:left="5903" w:hanging="281"/>
      </w:pPr>
      <w:rPr>
        <w:rFonts w:hint="default"/>
        <w:lang w:val="de-DE" w:eastAsia="en-US" w:bidi="ar-SA"/>
      </w:rPr>
    </w:lvl>
    <w:lvl w:ilvl="6" w:tplc="2C6C7A3C">
      <w:numFmt w:val="bullet"/>
      <w:lvlText w:val="•"/>
      <w:lvlJc w:val="left"/>
      <w:pPr>
        <w:ind w:left="6863" w:hanging="281"/>
      </w:pPr>
      <w:rPr>
        <w:rFonts w:hint="default"/>
        <w:lang w:val="de-DE" w:eastAsia="en-US" w:bidi="ar-SA"/>
      </w:rPr>
    </w:lvl>
    <w:lvl w:ilvl="7" w:tplc="C77ECD84">
      <w:numFmt w:val="bullet"/>
      <w:lvlText w:val="•"/>
      <w:lvlJc w:val="left"/>
      <w:pPr>
        <w:ind w:left="7824" w:hanging="281"/>
      </w:pPr>
      <w:rPr>
        <w:rFonts w:hint="default"/>
        <w:lang w:val="de-DE" w:eastAsia="en-US" w:bidi="ar-SA"/>
      </w:rPr>
    </w:lvl>
    <w:lvl w:ilvl="8" w:tplc="E11696AA">
      <w:numFmt w:val="bullet"/>
      <w:lvlText w:val="•"/>
      <w:lvlJc w:val="left"/>
      <w:pPr>
        <w:ind w:left="8785" w:hanging="281"/>
      </w:pPr>
      <w:rPr>
        <w:rFonts w:hint="default"/>
        <w:lang w:val="de-DE" w:eastAsia="en-US" w:bidi="ar-SA"/>
      </w:rPr>
    </w:lvl>
  </w:abstractNum>
  <w:abstractNum w:abstractNumId="4" w15:restartNumberingAfterBreak="0">
    <w:nsid w:val="51BC6D36"/>
    <w:multiLevelType w:val="hybridMultilevel"/>
    <w:tmpl w:val="160A061C"/>
    <w:lvl w:ilvl="0" w:tplc="AEAA52C2">
      <w:numFmt w:val="bullet"/>
      <w:lvlText w:val=""/>
      <w:lvlJc w:val="left"/>
      <w:pPr>
        <w:ind w:left="523" w:hanging="418"/>
      </w:pPr>
      <w:rPr>
        <w:rFonts w:ascii="Wingdings 2" w:eastAsia="Wingdings 2" w:hAnsi="Wingdings 2" w:cs="Wingdings 2" w:hint="default"/>
        <w:b w:val="0"/>
        <w:bCs w:val="0"/>
        <w:i w:val="0"/>
        <w:iCs w:val="0"/>
        <w:w w:val="100"/>
        <w:sz w:val="22"/>
        <w:szCs w:val="22"/>
        <w:lang w:val="de-DE" w:eastAsia="en-US" w:bidi="ar-SA"/>
      </w:rPr>
    </w:lvl>
    <w:lvl w:ilvl="1" w:tplc="3776F12C">
      <w:numFmt w:val="bullet"/>
      <w:lvlText w:val="•"/>
      <w:lvlJc w:val="left"/>
      <w:pPr>
        <w:ind w:left="1462" w:hanging="418"/>
      </w:pPr>
      <w:rPr>
        <w:rFonts w:hint="default"/>
        <w:lang w:val="de-DE" w:eastAsia="en-US" w:bidi="ar-SA"/>
      </w:rPr>
    </w:lvl>
    <w:lvl w:ilvl="2" w:tplc="ABC89CD6">
      <w:numFmt w:val="bullet"/>
      <w:lvlText w:val="•"/>
      <w:lvlJc w:val="left"/>
      <w:pPr>
        <w:ind w:left="2404" w:hanging="418"/>
      </w:pPr>
      <w:rPr>
        <w:rFonts w:hint="default"/>
        <w:lang w:val="de-DE" w:eastAsia="en-US" w:bidi="ar-SA"/>
      </w:rPr>
    </w:lvl>
    <w:lvl w:ilvl="3" w:tplc="42C0343C">
      <w:numFmt w:val="bullet"/>
      <w:lvlText w:val="•"/>
      <w:lvlJc w:val="left"/>
      <w:pPr>
        <w:ind w:left="3347" w:hanging="418"/>
      </w:pPr>
      <w:rPr>
        <w:rFonts w:hint="default"/>
        <w:lang w:val="de-DE" w:eastAsia="en-US" w:bidi="ar-SA"/>
      </w:rPr>
    </w:lvl>
    <w:lvl w:ilvl="4" w:tplc="53E01050">
      <w:numFmt w:val="bullet"/>
      <w:lvlText w:val="•"/>
      <w:lvlJc w:val="left"/>
      <w:pPr>
        <w:ind w:left="4289" w:hanging="418"/>
      </w:pPr>
      <w:rPr>
        <w:rFonts w:hint="default"/>
        <w:lang w:val="de-DE" w:eastAsia="en-US" w:bidi="ar-SA"/>
      </w:rPr>
    </w:lvl>
    <w:lvl w:ilvl="5" w:tplc="1728D2F0">
      <w:numFmt w:val="bullet"/>
      <w:lvlText w:val="•"/>
      <w:lvlJc w:val="left"/>
      <w:pPr>
        <w:ind w:left="5232" w:hanging="418"/>
      </w:pPr>
      <w:rPr>
        <w:rFonts w:hint="default"/>
        <w:lang w:val="de-DE" w:eastAsia="en-US" w:bidi="ar-SA"/>
      </w:rPr>
    </w:lvl>
    <w:lvl w:ilvl="6" w:tplc="BC769914">
      <w:numFmt w:val="bullet"/>
      <w:lvlText w:val="•"/>
      <w:lvlJc w:val="left"/>
      <w:pPr>
        <w:ind w:left="6174" w:hanging="418"/>
      </w:pPr>
      <w:rPr>
        <w:rFonts w:hint="default"/>
        <w:lang w:val="de-DE" w:eastAsia="en-US" w:bidi="ar-SA"/>
      </w:rPr>
    </w:lvl>
    <w:lvl w:ilvl="7" w:tplc="FEC8DA06">
      <w:numFmt w:val="bullet"/>
      <w:lvlText w:val="•"/>
      <w:lvlJc w:val="left"/>
      <w:pPr>
        <w:ind w:left="7116" w:hanging="418"/>
      </w:pPr>
      <w:rPr>
        <w:rFonts w:hint="default"/>
        <w:lang w:val="de-DE" w:eastAsia="en-US" w:bidi="ar-SA"/>
      </w:rPr>
    </w:lvl>
    <w:lvl w:ilvl="8" w:tplc="D51407DE">
      <w:numFmt w:val="bullet"/>
      <w:lvlText w:val="•"/>
      <w:lvlJc w:val="left"/>
      <w:pPr>
        <w:ind w:left="8059" w:hanging="418"/>
      </w:pPr>
      <w:rPr>
        <w:rFonts w:hint="default"/>
        <w:lang w:val="de-DE" w:eastAsia="en-US" w:bidi="ar-SA"/>
      </w:rPr>
    </w:lvl>
  </w:abstractNum>
  <w:abstractNum w:abstractNumId="5" w15:restartNumberingAfterBreak="0">
    <w:nsid w:val="5D5124FE"/>
    <w:multiLevelType w:val="hybridMultilevel"/>
    <w:tmpl w:val="9BEEA90A"/>
    <w:lvl w:ilvl="0" w:tplc="5254D8AA">
      <w:start w:val="1"/>
      <w:numFmt w:val="lowerLetter"/>
      <w:lvlText w:val="%1)"/>
      <w:lvlJc w:val="left"/>
      <w:pPr>
        <w:ind w:left="1059" w:hanging="241"/>
        <w:jc w:val="left"/>
      </w:pPr>
      <w:rPr>
        <w:rFonts w:ascii="Times New Roman" w:eastAsia="Times New Roman" w:hAnsi="Times New Roman" w:cs="Times New Roman" w:hint="default"/>
        <w:b/>
        <w:bCs/>
        <w:i w:val="0"/>
        <w:iCs w:val="0"/>
        <w:w w:val="100"/>
        <w:sz w:val="22"/>
        <w:szCs w:val="22"/>
        <w:lang w:val="de-DE" w:eastAsia="en-US" w:bidi="ar-SA"/>
      </w:rPr>
    </w:lvl>
    <w:lvl w:ilvl="1" w:tplc="A04040FC">
      <w:numFmt w:val="bullet"/>
      <w:lvlText w:val="-"/>
      <w:lvlJc w:val="left"/>
      <w:pPr>
        <w:ind w:left="1225" w:hanging="126"/>
      </w:pPr>
      <w:rPr>
        <w:rFonts w:ascii="Times New Roman" w:eastAsia="Times New Roman" w:hAnsi="Times New Roman" w:cs="Times New Roman" w:hint="default"/>
        <w:b w:val="0"/>
        <w:bCs w:val="0"/>
        <w:i w:val="0"/>
        <w:iCs w:val="0"/>
        <w:w w:val="100"/>
        <w:sz w:val="22"/>
        <w:szCs w:val="22"/>
        <w:lang w:val="de-DE" w:eastAsia="en-US" w:bidi="ar-SA"/>
      </w:rPr>
    </w:lvl>
    <w:lvl w:ilvl="2" w:tplc="61705D62">
      <w:numFmt w:val="bullet"/>
      <w:lvlText w:val="•"/>
      <w:lvlJc w:val="left"/>
      <w:pPr>
        <w:ind w:left="2274" w:hanging="126"/>
      </w:pPr>
      <w:rPr>
        <w:rFonts w:hint="default"/>
        <w:lang w:val="de-DE" w:eastAsia="en-US" w:bidi="ar-SA"/>
      </w:rPr>
    </w:lvl>
    <w:lvl w:ilvl="3" w:tplc="D422B1A6">
      <w:numFmt w:val="bullet"/>
      <w:lvlText w:val="•"/>
      <w:lvlJc w:val="left"/>
      <w:pPr>
        <w:ind w:left="3328" w:hanging="126"/>
      </w:pPr>
      <w:rPr>
        <w:rFonts w:hint="default"/>
        <w:lang w:val="de-DE" w:eastAsia="en-US" w:bidi="ar-SA"/>
      </w:rPr>
    </w:lvl>
    <w:lvl w:ilvl="4" w:tplc="B8007DDE">
      <w:numFmt w:val="bullet"/>
      <w:lvlText w:val="•"/>
      <w:lvlJc w:val="left"/>
      <w:pPr>
        <w:ind w:left="4382" w:hanging="126"/>
      </w:pPr>
      <w:rPr>
        <w:rFonts w:hint="default"/>
        <w:lang w:val="de-DE" w:eastAsia="en-US" w:bidi="ar-SA"/>
      </w:rPr>
    </w:lvl>
    <w:lvl w:ilvl="5" w:tplc="1556C67E">
      <w:numFmt w:val="bullet"/>
      <w:lvlText w:val="•"/>
      <w:lvlJc w:val="left"/>
      <w:pPr>
        <w:ind w:left="5436" w:hanging="126"/>
      </w:pPr>
      <w:rPr>
        <w:rFonts w:hint="default"/>
        <w:lang w:val="de-DE" w:eastAsia="en-US" w:bidi="ar-SA"/>
      </w:rPr>
    </w:lvl>
    <w:lvl w:ilvl="6" w:tplc="44F4B5E6">
      <w:numFmt w:val="bullet"/>
      <w:lvlText w:val="•"/>
      <w:lvlJc w:val="left"/>
      <w:pPr>
        <w:ind w:left="6490" w:hanging="126"/>
      </w:pPr>
      <w:rPr>
        <w:rFonts w:hint="default"/>
        <w:lang w:val="de-DE" w:eastAsia="en-US" w:bidi="ar-SA"/>
      </w:rPr>
    </w:lvl>
    <w:lvl w:ilvl="7" w:tplc="A5F421CA">
      <w:numFmt w:val="bullet"/>
      <w:lvlText w:val="•"/>
      <w:lvlJc w:val="left"/>
      <w:pPr>
        <w:ind w:left="7544" w:hanging="126"/>
      </w:pPr>
      <w:rPr>
        <w:rFonts w:hint="default"/>
        <w:lang w:val="de-DE" w:eastAsia="en-US" w:bidi="ar-SA"/>
      </w:rPr>
    </w:lvl>
    <w:lvl w:ilvl="8" w:tplc="9F68E17C">
      <w:numFmt w:val="bullet"/>
      <w:lvlText w:val="•"/>
      <w:lvlJc w:val="left"/>
      <w:pPr>
        <w:ind w:left="8598" w:hanging="126"/>
      </w:pPr>
      <w:rPr>
        <w:rFonts w:hint="default"/>
        <w:lang w:val="de-DE" w:eastAsia="en-US" w:bidi="ar-SA"/>
      </w:rPr>
    </w:lvl>
  </w:abstractNum>
  <w:num w:numId="1" w16cid:durableId="2110929646">
    <w:abstractNumId w:val="3"/>
  </w:num>
  <w:num w:numId="2" w16cid:durableId="1998797732">
    <w:abstractNumId w:val="1"/>
  </w:num>
  <w:num w:numId="3" w16cid:durableId="1939022824">
    <w:abstractNumId w:val="5"/>
  </w:num>
  <w:num w:numId="4" w16cid:durableId="726732493">
    <w:abstractNumId w:val="4"/>
  </w:num>
  <w:num w:numId="5" w16cid:durableId="2041858952">
    <w:abstractNumId w:val="2"/>
  </w:num>
  <w:num w:numId="6" w16cid:durableId="1192717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B7613"/>
    <w:rsid w:val="0080211C"/>
    <w:rsid w:val="00DB7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9316662"/>
  <w15:docId w15:val="{09FBA8F3-7DF1-4B2A-A62B-BB9B491D2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ind w:left="1100" w:hanging="281"/>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00" w:hanging="281"/>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80211C"/>
    <w:pPr>
      <w:tabs>
        <w:tab w:val="center" w:pos="4513"/>
        <w:tab w:val="right" w:pos="9026"/>
      </w:tabs>
    </w:pPr>
  </w:style>
  <w:style w:type="character" w:customStyle="1" w:styleId="HeaderChar">
    <w:name w:val="Header Char"/>
    <w:basedOn w:val="DefaultParagraphFont"/>
    <w:link w:val="Header"/>
    <w:uiPriority w:val="99"/>
    <w:rsid w:val="0080211C"/>
    <w:rPr>
      <w:rFonts w:ascii="Times New Roman" w:eastAsia="Times New Roman" w:hAnsi="Times New Roman" w:cs="Times New Roman"/>
      <w:lang w:val="de-DE"/>
    </w:rPr>
  </w:style>
  <w:style w:type="paragraph" w:styleId="Footer">
    <w:name w:val="footer"/>
    <w:basedOn w:val="Normal"/>
    <w:link w:val="FooterChar"/>
    <w:uiPriority w:val="99"/>
    <w:unhideWhenUsed/>
    <w:rsid w:val="0080211C"/>
    <w:pPr>
      <w:tabs>
        <w:tab w:val="center" w:pos="4513"/>
        <w:tab w:val="right" w:pos="9026"/>
      </w:tabs>
    </w:pPr>
  </w:style>
  <w:style w:type="character" w:customStyle="1" w:styleId="FooterChar">
    <w:name w:val="Footer Char"/>
    <w:basedOn w:val="DefaultParagraphFont"/>
    <w:link w:val="Footer"/>
    <w:uiPriority w:val="99"/>
    <w:rsid w:val="0080211C"/>
    <w:rPr>
      <w:rFonts w:ascii="Times New Roman" w:eastAsia="Times New Roman" w:hAnsi="Times New Roman"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ichael.Arentoft@ec.europa.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HR-B1-DPR@ec.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de/documents/curriculum-vitae)"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1502</Words>
  <Characters>10504</Characters>
  <Application>Microsoft Office Word</Application>
  <DocSecurity>0</DocSecurity>
  <Lines>218</Lines>
  <Paragraphs>85</Paragraphs>
  <ScaleCrop>false</ScaleCrop>
  <Company>European Commission </Company>
  <LinksUpToDate>false</LinksUpToDate>
  <CharactersWithSpaces>11921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RTD-A-4_DE.docx</dc:title>
  <dc:creator>ferrema</dc:creator>
  <cp:lastModifiedBy>JADOT Catherine (HR)</cp:lastModifiedBy>
  <cp:revision>2</cp:revision>
  <dcterms:created xsi:type="dcterms:W3CDTF">2023-07-11T07:53:00Z</dcterms:created>
  <dcterms:modified xsi:type="dcterms:W3CDTF">2023-07-11T07:54:00Z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2023-02-09T00:00:00Z</vt:filetime>
  </property>
  <property fmtid="{D5CDD505-2E9C-101B-9397-08002B2CF9AE}" pid="3" name="LastSaved">
    <vt:filetime>2023-07-11T00:00:00Z</vt:filetime>
  </property>
  <property fmtid="{D5CDD505-2E9C-101B-9397-08002B2CF9AE}" pid="4" name="Producer">
    <vt:lpwstr>Microsoft: Print To PDF</vt:lpwstr>
  </property>
  <property fmtid="{D5CDD505-2E9C-101B-9397-08002B2CF9AE}" pid="5" name="MSIP_Label_6bd9ddd1-4d20-43f6-abfa-fc3c07406f94_Enabled">
    <vt:lpwstr>true</vt:lpwstr>
  </property>
  <property fmtid="{D5CDD505-2E9C-101B-9397-08002B2CF9AE}" pid="6" name="MSIP_Label_6bd9ddd1-4d20-43f6-abfa-fc3c07406f94_SetDate">
    <vt:lpwstr>2023-07-11T07:53:50Z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6e981425-b62c-4c1b-8df4-f1e5438cfefd</vt:lpwstr>
  </property>
  <property fmtid="{D5CDD505-2E9C-101B-9397-08002B2CF9AE}" pid="11" name="MSIP_Label_6bd9ddd1-4d20-43f6-abfa-fc3c07406f94_ContentBits">
    <vt:lpwstr>0</vt:lpwstr>
  </property>
</Properties>
</file>